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5017" w14:textId="77777777" w:rsidR="0050638F" w:rsidRDefault="009616CF" w:rsidP="00596F1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Brief</w:t>
      </w:r>
      <w:r w:rsidR="00D95447">
        <w:rPr>
          <w:b/>
          <w:sz w:val="36"/>
          <w:szCs w:val="36"/>
        </w:rPr>
        <w:t xml:space="preserve"> </w:t>
      </w:r>
      <w:r w:rsidR="0050638F">
        <w:rPr>
          <w:b/>
          <w:sz w:val="36"/>
          <w:szCs w:val="36"/>
        </w:rPr>
        <w:t>Summary of</w:t>
      </w:r>
    </w:p>
    <w:p w14:paraId="662675F8" w14:textId="77777777" w:rsidR="00F421C2" w:rsidRDefault="0050638F" w:rsidP="00596F1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5479C8" w:rsidRPr="00596F1C">
        <w:rPr>
          <w:b/>
          <w:sz w:val="36"/>
          <w:szCs w:val="36"/>
        </w:rPr>
        <w:t xml:space="preserve">he contribution of </w:t>
      </w:r>
      <w:r w:rsidR="00937A57">
        <w:rPr>
          <w:b/>
          <w:sz w:val="36"/>
          <w:szCs w:val="36"/>
        </w:rPr>
        <w:t xml:space="preserve">the IAEA </w:t>
      </w:r>
      <w:r w:rsidR="005479C8" w:rsidRPr="00596F1C">
        <w:rPr>
          <w:b/>
          <w:sz w:val="36"/>
          <w:szCs w:val="36"/>
        </w:rPr>
        <w:t>TC programme to the first national NPP in Iran</w:t>
      </w:r>
    </w:p>
    <w:p w14:paraId="6C888F6C" w14:textId="77777777" w:rsidR="00E94CB2" w:rsidRPr="00ED0765" w:rsidRDefault="00E94CB2" w:rsidP="00596F1C">
      <w:pPr>
        <w:pStyle w:val="NoSpacing"/>
        <w:jc w:val="center"/>
        <w:rPr>
          <w:sz w:val="24"/>
          <w:szCs w:val="24"/>
        </w:rPr>
      </w:pPr>
      <w:r w:rsidRPr="00ED0765">
        <w:rPr>
          <w:sz w:val="24"/>
          <w:szCs w:val="24"/>
        </w:rPr>
        <w:t>Boris Gueorguiev</w:t>
      </w:r>
    </w:p>
    <w:p w14:paraId="4DF30464" w14:textId="77777777" w:rsidR="00E94CB2" w:rsidRPr="00ED0765" w:rsidRDefault="00E94CB2" w:rsidP="00596F1C">
      <w:pPr>
        <w:pStyle w:val="NoSpacing"/>
        <w:jc w:val="center"/>
        <w:rPr>
          <w:sz w:val="24"/>
          <w:szCs w:val="24"/>
        </w:rPr>
      </w:pPr>
      <w:r w:rsidRPr="00ED0765">
        <w:rPr>
          <w:sz w:val="24"/>
          <w:szCs w:val="24"/>
        </w:rPr>
        <w:t xml:space="preserve">Special Project Coordinator </w:t>
      </w:r>
    </w:p>
    <w:p w14:paraId="7EFC485E" w14:textId="77777777" w:rsidR="00E94CB2" w:rsidRPr="00ED0765" w:rsidRDefault="00E94CB2" w:rsidP="00596F1C">
      <w:pPr>
        <w:pStyle w:val="NoSpacing"/>
        <w:jc w:val="center"/>
        <w:rPr>
          <w:sz w:val="24"/>
          <w:szCs w:val="24"/>
        </w:rPr>
      </w:pPr>
      <w:r w:rsidRPr="00ED0765">
        <w:rPr>
          <w:sz w:val="24"/>
          <w:szCs w:val="24"/>
        </w:rPr>
        <w:t>of the IAEA TC assistance related to the Bushehr NPP in Iran</w:t>
      </w:r>
    </w:p>
    <w:p w14:paraId="2F712866" w14:textId="77777777" w:rsidR="002A57A6" w:rsidRPr="00ED0765" w:rsidRDefault="002A57A6" w:rsidP="00596F1C">
      <w:pPr>
        <w:pStyle w:val="NoSpacing"/>
        <w:ind w:firstLine="720"/>
        <w:rPr>
          <w:rFonts w:asciiTheme="minorHAnsi" w:hAnsiTheme="minorHAnsi"/>
          <w:sz w:val="24"/>
          <w:szCs w:val="24"/>
        </w:rPr>
      </w:pPr>
    </w:p>
    <w:p w14:paraId="23279A69" w14:textId="77777777" w:rsidR="00937A57" w:rsidRPr="00ED0765" w:rsidRDefault="00937A57" w:rsidP="00C7169A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415B8151" w14:textId="77777777" w:rsidR="00E776A3" w:rsidRDefault="00E776A3" w:rsidP="00C7169A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Background:</w:t>
      </w:r>
    </w:p>
    <w:p w14:paraId="5E5FE179" w14:textId="61F026A3" w:rsidR="002B19A8" w:rsidRDefault="00A46099" w:rsidP="002B19A8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Turnkey contract for the construction, installation and deliv</w:t>
      </w:r>
      <w:r w:rsidR="003A0C41">
        <w:rPr>
          <w:rFonts w:asciiTheme="minorHAnsi" w:hAnsiTheme="minorHAnsi"/>
          <w:sz w:val="24"/>
          <w:szCs w:val="24"/>
        </w:rPr>
        <w:t>er</w:t>
      </w:r>
      <w:r>
        <w:rPr>
          <w:rFonts w:asciiTheme="minorHAnsi" w:hAnsiTheme="minorHAnsi"/>
          <w:sz w:val="24"/>
          <w:szCs w:val="24"/>
        </w:rPr>
        <w:t>y of two</w:t>
      </w:r>
      <w:r w:rsidR="003A0C41">
        <w:rPr>
          <w:rFonts w:asciiTheme="minorHAnsi" w:hAnsiTheme="minorHAnsi"/>
          <w:sz w:val="24"/>
          <w:szCs w:val="24"/>
        </w:rPr>
        <w:t xml:space="preserve"> 1293 MW PWR units at Bushehr site was signed between the Atomic Energy Organization of Iran (AEOI) and German </w:t>
      </w:r>
      <w:proofErr w:type="spellStart"/>
      <w:r w:rsidR="003A0C41">
        <w:rPr>
          <w:rFonts w:asciiTheme="minorHAnsi" w:hAnsiTheme="minorHAnsi"/>
          <w:sz w:val="24"/>
          <w:szCs w:val="24"/>
        </w:rPr>
        <w:t>Kraftwerk</w:t>
      </w:r>
      <w:proofErr w:type="spellEnd"/>
      <w:r w:rsidR="003A0C41">
        <w:rPr>
          <w:rFonts w:asciiTheme="minorHAnsi" w:hAnsiTheme="minorHAnsi"/>
          <w:sz w:val="24"/>
          <w:szCs w:val="24"/>
        </w:rPr>
        <w:t xml:space="preserve"> Union (KWU) in 1975.</w:t>
      </w:r>
      <w:r w:rsidR="003C0DDD">
        <w:rPr>
          <w:rFonts w:asciiTheme="minorHAnsi" w:hAnsiTheme="minorHAnsi"/>
          <w:sz w:val="24"/>
          <w:szCs w:val="24"/>
        </w:rPr>
        <w:t xml:space="preserve"> Significant part of construction works and delivery of some equipment were completed by 1978</w:t>
      </w:r>
      <w:r w:rsidR="001F0747">
        <w:rPr>
          <w:rFonts w:asciiTheme="minorHAnsi" w:hAnsiTheme="minorHAnsi"/>
          <w:sz w:val="24"/>
          <w:szCs w:val="24"/>
        </w:rPr>
        <w:t>,</w:t>
      </w:r>
      <w:r w:rsidR="003C0DDD">
        <w:rPr>
          <w:rFonts w:asciiTheme="minorHAnsi" w:hAnsiTheme="minorHAnsi"/>
          <w:sz w:val="24"/>
          <w:szCs w:val="24"/>
        </w:rPr>
        <w:t xml:space="preserve"> when the KWU suspended the implementation of the contract.</w:t>
      </w:r>
      <w:r w:rsidR="00EF4B28">
        <w:rPr>
          <w:rFonts w:asciiTheme="minorHAnsi" w:hAnsiTheme="minorHAnsi"/>
          <w:sz w:val="24"/>
          <w:szCs w:val="24"/>
        </w:rPr>
        <w:t xml:space="preserve"> </w:t>
      </w:r>
      <w:r w:rsidR="003C0DDD">
        <w:rPr>
          <w:rFonts w:asciiTheme="minorHAnsi" w:hAnsiTheme="minorHAnsi"/>
          <w:sz w:val="24"/>
          <w:szCs w:val="24"/>
        </w:rPr>
        <w:t xml:space="preserve">In 1995 a contract for </w:t>
      </w:r>
      <w:r w:rsidR="001F0747">
        <w:rPr>
          <w:rFonts w:asciiTheme="minorHAnsi" w:hAnsiTheme="minorHAnsi"/>
          <w:sz w:val="24"/>
          <w:szCs w:val="24"/>
        </w:rPr>
        <w:t xml:space="preserve">the </w:t>
      </w:r>
      <w:r w:rsidR="003C0DDD">
        <w:rPr>
          <w:rFonts w:asciiTheme="minorHAnsi" w:hAnsiTheme="minorHAnsi"/>
          <w:sz w:val="24"/>
          <w:szCs w:val="24"/>
        </w:rPr>
        <w:t xml:space="preserve">completion of the first unit </w:t>
      </w:r>
      <w:r w:rsidR="00024E85">
        <w:rPr>
          <w:rFonts w:asciiTheme="minorHAnsi" w:hAnsiTheme="minorHAnsi"/>
          <w:sz w:val="24"/>
          <w:szCs w:val="24"/>
        </w:rPr>
        <w:t xml:space="preserve">with </w:t>
      </w:r>
      <w:r w:rsidR="00A8257D">
        <w:rPr>
          <w:rFonts w:asciiTheme="minorHAnsi" w:hAnsiTheme="minorHAnsi"/>
          <w:sz w:val="24"/>
          <w:szCs w:val="24"/>
        </w:rPr>
        <w:t xml:space="preserve">integration of </w:t>
      </w:r>
      <w:r w:rsidR="00024E85">
        <w:rPr>
          <w:rFonts w:asciiTheme="minorHAnsi" w:hAnsiTheme="minorHAnsi"/>
          <w:sz w:val="24"/>
          <w:szCs w:val="24"/>
        </w:rPr>
        <w:t>VVER-1000 MW</w:t>
      </w:r>
      <w:r w:rsidR="007075DA">
        <w:rPr>
          <w:rFonts w:asciiTheme="minorHAnsi" w:hAnsiTheme="minorHAnsi"/>
          <w:sz w:val="24"/>
          <w:szCs w:val="24"/>
        </w:rPr>
        <w:t xml:space="preserve"> type </w:t>
      </w:r>
      <w:r w:rsidR="00024E85">
        <w:rPr>
          <w:rFonts w:asciiTheme="minorHAnsi" w:hAnsiTheme="minorHAnsi"/>
          <w:sz w:val="24"/>
          <w:szCs w:val="24"/>
        </w:rPr>
        <w:t xml:space="preserve">V-446 </w:t>
      </w:r>
      <w:r w:rsidR="007075DA">
        <w:rPr>
          <w:rFonts w:asciiTheme="minorHAnsi" w:hAnsiTheme="minorHAnsi"/>
          <w:sz w:val="24"/>
          <w:szCs w:val="24"/>
        </w:rPr>
        <w:t xml:space="preserve">(modified version of 320 </w:t>
      </w:r>
      <w:r w:rsidR="00024E85">
        <w:rPr>
          <w:rFonts w:asciiTheme="minorHAnsi" w:hAnsiTheme="minorHAnsi"/>
          <w:sz w:val="24"/>
          <w:szCs w:val="24"/>
        </w:rPr>
        <w:t xml:space="preserve">model) Russian technology </w:t>
      </w:r>
      <w:r w:rsidR="007075DA">
        <w:rPr>
          <w:rFonts w:asciiTheme="minorHAnsi" w:hAnsiTheme="minorHAnsi"/>
          <w:sz w:val="24"/>
          <w:szCs w:val="24"/>
        </w:rPr>
        <w:t xml:space="preserve">with </w:t>
      </w:r>
      <w:r w:rsidR="00EF4B28">
        <w:rPr>
          <w:rFonts w:asciiTheme="minorHAnsi" w:hAnsiTheme="minorHAnsi"/>
          <w:sz w:val="24"/>
          <w:szCs w:val="24"/>
        </w:rPr>
        <w:t xml:space="preserve">utilizing most </w:t>
      </w:r>
      <w:r w:rsidR="007075DA">
        <w:rPr>
          <w:rFonts w:asciiTheme="minorHAnsi" w:hAnsiTheme="minorHAnsi"/>
          <w:sz w:val="24"/>
          <w:szCs w:val="24"/>
        </w:rPr>
        <w:t xml:space="preserve">of </w:t>
      </w:r>
      <w:r w:rsidR="00EF4B28">
        <w:rPr>
          <w:rFonts w:asciiTheme="minorHAnsi" w:hAnsiTheme="minorHAnsi"/>
          <w:sz w:val="24"/>
          <w:szCs w:val="24"/>
        </w:rPr>
        <w:t xml:space="preserve">the </w:t>
      </w:r>
      <w:r w:rsidR="007075DA">
        <w:rPr>
          <w:rFonts w:asciiTheme="minorHAnsi" w:hAnsiTheme="minorHAnsi"/>
          <w:sz w:val="24"/>
          <w:szCs w:val="24"/>
        </w:rPr>
        <w:t xml:space="preserve">KWU available buildings and equipment </w:t>
      </w:r>
      <w:r w:rsidR="003C0DDD">
        <w:rPr>
          <w:rFonts w:asciiTheme="minorHAnsi" w:hAnsiTheme="minorHAnsi"/>
          <w:sz w:val="24"/>
          <w:szCs w:val="24"/>
        </w:rPr>
        <w:t xml:space="preserve">was signed between AEOI and </w:t>
      </w:r>
      <w:proofErr w:type="spellStart"/>
      <w:r w:rsidR="003C0DDD">
        <w:rPr>
          <w:rFonts w:asciiTheme="minorHAnsi" w:hAnsiTheme="minorHAnsi"/>
          <w:sz w:val="24"/>
          <w:szCs w:val="24"/>
        </w:rPr>
        <w:t>Atomstroyexport</w:t>
      </w:r>
      <w:proofErr w:type="spellEnd"/>
      <w:r w:rsidR="00024E85">
        <w:rPr>
          <w:rFonts w:asciiTheme="minorHAnsi" w:hAnsiTheme="minorHAnsi"/>
          <w:sz w:val="24"/>
          <w:szCs w:val="24"/>
        </w:rPr>
        <w:t xml:space="preserve"> (ASE), Russia, which in 1998 was upgrad</w:t>
      </w:r>
      <w:r w:rsidR="003C0DDD">
        <w:rPr>
          <w:rFonts w:asciiTheme="minorHAnsi" w:hAnsiTheme="minorHAnsi"/>
          <w:sz w:val="24"/>
          <w:szCs w:val="24"/>
        </w:rPr>
        <w:t>ed to turnkey</w:t>
      </w:r>
      <w:r w:rsidR="00024E85">
        <w:rPr>
          <w:rFonts w:asciiTheme="minorHAnsi" w:hAnsiTheme="minorHAnsi"/>
          <w:sz w:val="24"/>
          <w:szCs w:val="24"/>
        </w:rPr>
        <w:t xml:space="preserve"> contract.</w:t>
      </w:r>
      <w:r w:rsidR="00EF4B28">
        <w:rPr>
          <w:rFonts w:asciiTheme="minorHAnsi" w:hAnsiTheme="minorHAnsi"/>
          <w:sz w:val="24"/>
          <w:szCs w:val="24"/>
        </w:rPr>
        <w:t xml:space="preserve"> </w:t>
      </w:r>
      <w:r w:rsidR="00024E85">
        <w:rPr>
          <w:rFonts w:asciiTheme="minorHAnsi" w:hAnsiTheme="minorHAnsi"/>
          <w:sz w:val="24"/>
          <w:szCs w:val="24"/>
        </w:rPr>
        <w:t>The scheduled commission</w:t>
      </w:r>
      <w:r w:rsidR="00EF4B28">
        <w:rPr>
          <w:rFonts w:asciiTheme="minorHAnsi" w:hAnsiTheme="minorHAnsi"/>
          <w:sz w:val="24"/>
          <w:szCs w:val="24"/>
        </w:rPr>
        <w:t>ing</w:t>
      </w:r>
      <w:r w:rsidR="00024E85">
        <w:rPr>
          <w:rFonts w:asciiTheme="minorHAnsi" w:hAnsiTheme="minorHAnsi"/>
          <w:sz w:val="24"/>
          <w:szCs w:val="24"/>
        </w:rPr>
        <w:t xml:space="preserve"> and start-up of the </w:t>
      </w:r>
      <w:r w:rsidR="00A8257D">
        <w:rPr>
          <w:rFonts w:asciiTheme="minorHAnsi" w:hAnsiTheme="minorHAnsi"/>
          <w:sz w:val="24"/>
          <w:szCs w:val="24"/>
        </w:rPr>
        <w:t xml:space="preserve">unit was delayed due to several complex reasons, and </w:t>
      </w:r>
      <w:r w:rsidR="00097E56">
        <w:rPr>
          <w:rFonts w:asciiTheme="minorHAnsi" w:hAnsiTheme="minorHAnsi"/>
          <w:sz w:val="24"/>
          <w:szCs w:val="24"/>
        </w:rPr>
        <w:t>proceeded with: first criticality on 08.05.2011, connection to the grid on 03.09.</w:t>
      </w:r>
      <w:r w:rsidR="002B19A8">
        <w:rPr>
          <w:rFonts w:asciiTheme="minorHAnsi" w:hAnsiTheme="minorHAnsi"/>
          <w:sz w:val="24"/>
          <w:szCs w:val="24"/>
        </w:rPr>
        <w:t>2011</w:t>
      </w:r>
      <w:r w:rsidR="00097E56">
        <w:rPr>
          <w:rFonts w:asciiTheme="minorHAnsi" w:hAnsiTheme="minorHAnsi"/>
          <w:sz w:val="24"/>
          <w:szCs w:val="24"/>
        </w:rPr>
        <w:t xml:space="preserve">, unit provisional acceptance on 23.09.2013, two refuelling conducted – first in February 2013, and second </w:t>
      </w:r>
      <w:r w:rsidR="00EB3D6B">
        <w:rPr>
          <w:rFonts w:asciiTheme="minorHAnsi" w:hAnsiTheme="minorHAnsi"/>
          <w:sz w:val="24"/>
          <w:szCs w:val="24"/>
        </w:rPr>
        <w:t>at the end of 2015, final accepta</w:t>
      </w:r>
      <w:r w:rsidR="002B19A8">
        <w:rPr>
          <w:rFonts w:asciiTheme="minorHAnsi" w:hAnsiTheme="minorHAnsi"/>
          <w:sz w:val="24"/>
          <w:szCs w:val="24"/>
        </w:rPr>
        <w:t xml:space="preserve">nce certificate </w:t>
      </w:r>
      <w:r w:rsidR="002B3640">
        <w:rPr>
          <w:rFonts w:asciiTheme="minorHAnsi" w:hAnsiTheme="minorHAnsi"/>
          <w:sz w:val="24"/>
          <w:szCs w:val="24"/>
        </w:rPr>
        <w:t xml:space="preserve">and licence for operation </w:t>
      </w:r>
      <w:r w:rsidR="002B19A8">
        <w:rPr>
          <w:rFonts w:asciiTheme="minorHAnsi" w:hAnsiTheme="minorHAnsi"/>
          <w:sz w:val="24"/>
          <w:szCs w:val="24"/>
        </w:rPr>
        <w:t>expected in 2016</w:t>
      </w:r>
      <w:r w:rsidR="00877AE5">
        <w:rPr>
          <w:rFonts w:asciiTheme="minorHAnsi" w:hAnsiTheme="minorHAnsi"/>
          <w:sz w:val="24"/>
          <w:szCs w:val="24"/>
        </w:rPr>
        <w:t>.</w:t>
      </w:r>
    </w:p>
    <w:p w14:paraId="54B0A6A1" w14:textId="1D684918" w:rsidR="002E0B0C" w:rsidRDefault="00CE4FD8" w:rsidP="00C7169A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According to the contract signed in November 2014 between the NPPD and ASE for two additional NPP units VVER-</w:t>
      </w:r>
      <w:r w:rsidR="00860C97">
        <w:rPr>
          <w:rFonts w:asciiTheme="minorHAnsi" w:hAnsiTheme="minorHAnsi"/>
          <w:sz w:val="24"/>
          <w:szCs w:val="24"/>
        </w:rPr>
        <w:t>1000 (</w:t>
      </w:r>
      <w:r w:rsidR="00E828CA">
        <w:rPr>
          <w:rFonts w:asciiTheme="minorHAnsi" w:hAnsiTheme="minorHAnsi"/>
          <w:sz w:val="24"/>
          <w:szCs w:val="24"/>
        </w:rPr>
        <w:t xml:space="preserve">latest </w:t>
      </w:r>
      <w:r w:rsidR="00860C97">
        <w:rPr>
          <w:rFonts w:asciiTheme="minorHAnsi" w:hAnsiTheme="minorHAnsi"/>
          <w:sz w:val="24"/>
          <w:szCs w:val="24"/>
        </w:rPr>
        <w:t xml:space="preserve">modified AES -92 </w:t>
      </w:r>
      <w:r>
        <w:rPr>
          <w:rFonts w:asciiTheme="minorHAnsi" w:hAnsiTheme="minorHAnsi"/>
          <w:sz w:val="24"/>
          <w:szCs w:val="24"/>
        </w:rPr>
        <w:t>version) at Bushehr site</w:t>
      </w:r>
      <w:r w:rsidR="00EF4B28">
        <w:rPr>
          <w:rFonts w:asciiTheme="minorHAnsi" w:hAnsiTheme="minorHAnsi"/>
          <w:sz w:val="24"/>
          <w:szCs w:val="24"/>
        </w:rPr>
        <w:t xml:space="preserve">, the </w:t>
      </w:r>
      <w:r>
        <w:rPr>
          <w:rFonts w:asciiTheme="minorHAnsi" w:hAnsiTheme="minorHAnsi"/>
          <w:sz w:val="24"/>
          <w:szCs w:val="24"/>
        </w:rPr>
        <w:t>final commitment</w:t>
      </w:r>
      <w:r w:rsidR="00860C97">
        <w:rPr>
          <w:rFonts w:asciiTheme="minorHAnsi" w:hAnsiTheme="minorHAnsi"/>
          <w:sz w:val="24"/>
          <w:szCs w:val="24"/>
        </w:rPr>
        <w:t xml:space="preserve"> and submission of documents fo</w:t>
      </w:r>
      <w:r w:rsidR="00B10AF6">
        <w:rPr>
          <w:rFonts w:asciiTheme="minorHAnsi" w:hAnsiTheme="minorHAnsi"/>
          <w:sz w:val="24"/>
          <w:szCs w:val="24"/>
        </w:rPr>
        <w:t xml:space="preserve">r </w:t>
      </w:r>
      <w:r w:rsidR="00EF4B28">
        <w:rPr>
          <w:rFonts w:asciiTheme="minorHAnsi" w:hAnsiTheme="minorHAnsi"/>
          <w:sz w:val="24"/>
          <w:szCs w:val="24"/>
        </w:rPr>
        <w:t xml:space="preserve">construction </w:t>
      </w:r>
      <w:r w:rsidR="00B10AF6">
        <w:rPr>
          <w:rFonts w:asciiTheme="minorHAnsi" w:hAnsiTheme="minorHAnsi"/>
          <w:sz w:val="24"/>
          <w:szCs w:val="24"/>
        </w:rPr>
        <w:t>licence</w:t>
      </w:r>
      <w:r w:rsidR="00EF4B28">
        <w:rPr>
          <w:rFonts w:asciiTheme="minorHAnsi" w:hAnsiTheme="minorHAnsi"/>
          <w:sz w:val="24"/>
          <w:szCs w:val="24"/>
        </w:rPr>
        <w:t xml:space="preserve"> will be</w:t>
      </w:r>
      <w:r w:rsidR="00B10AF6">
        <w:rPr>
          <w:rFonts w:asciiTheme="minorHAnsi" w:hAnsiTheme="minorHAnsi"/>
          <w:sz w:val="24"/>
          <w:szCs w:val="24"/>
        </w:rPr>
        <w:t xml:space="preserve"> in 2015/early 2016</w:t>
      </w:r>
      <w:r w:rsidR="00860C97">
        <w:rPr>
          <w:rFonts w:asciiTheme="minorHAnsi" w:hAnsiTheme="minorHAnsi"/>
          <w:sz w:val="24"/>
          <w:szCs w:val="24"/>
        </w:rPr>
        <w:t xml:space="preserve">, </w:t>
      </w:r>
      <w:r w:rsidR="00EF4B28">
        <w:rPr>
          <w:rFonts w:asciiTheme="minorHAnsi" w:hAnsiTheme="minorHAnsi"/>
          <w:sz w:val="24"/>
          <w:szCs w:val="24"/>
        </w:rPr>
        <w:t xml:space="preserve">and the </w:t>
      </w:r>
      <w:r w:rsidR="00860C97">
        <w:rPr>
          <w:rFonts w:asciiTheme="minorHAnsi" w:hAnsiTheme="minorHAnsi"/>
          <w:sz w:val="24"/>
          <w:szCs w:val="24"/>
        </w:rPr>
        <w:t>commercial operation of unit 2 in 2024 and unit 3 in 2026.</w:t>
      </w:r>
    </w:p>
    <w:p w14:paraId="17F5421C" w14:textId="77777777" w:rsidR="001F0747" w:rsidRDefault="001F0747" w:rsidP="00C7169A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36F5FAEC" w14:textId="7519F5F9" w:rsidR="00205688" w:rsidRPr="00ED0765" w:rsidRDefault="004A5726" w:rsidP="00C7169A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A8257D">
        <w:rPr>
          <w:rFonts w:asciiTheme="minorHAnsi" w:hAnsiTheme="minorHAnsi"/>
          <w:b/>
          <w:sz w:val="24"/>
          <w:szCs w:val="24"/>
        </w:rPr>
        <w:t xml:space="preserve">The IAEA </w:t>
      </w:r>
      <w:r w:rsidR="000D4352" w:rsidRPr="00A8257D">
        <w:rPr>
          <w:rFonts w:asciiTheme="minorHAnsi" w:hAnsiTheme="minorHAnsi"/>
          <w:b/>
          <w:sz w:val="24"/>
          <w:szCs w:val="24"/>
        </w:rPr>
        <w:t xml:space="preserve">TC </w:t>
      </w:r>
      <w:r w:rsidRPr="00A8257D">
        <w:rPr>
          <w:rFonts w:asciiTheme="minorHAnsi" w:hAnsiTheme="minorHAnsi"/>
          <w:b/>
          <w:sz w:val="24"/>
          <w:szCs w:val="24"/>
        </w:rPr>
        <w:t>assistance</w:t>
      </w:r>
      <w:r w:rsidRPr="00ED0765">
        <w:rPr>
          <w:rFonts w:asciiTheme="minorHAnsi" w:hAnsiTheme="minorHAnsi"/>
          <w:sz w:val="24"/>
          <w:szCs w:val="24"/>
        </w:rPr>
        <w:t xml:space="preserve"> </w:t>
      </w:r>
      <w:r w:rsidR="002A57A6" w:rsidRPr="00ED0765">
        <w:rPr>
          <w:rFonts w:asciiTheme="minorHAnsi" w:hAnsiTheme="minorHAnsi"/>
          <w:sz w:val="24"/>
          <w:szCs w:val="24"/>
        </w:rPr>
        <w:t xml:space="preserve">has </w:t>
      </w:r>
      <w:r w:rsidR="0028655A" w:rsidRPr="00ED0765">
        <w:rPr>
          <w:rFonts w:asciiTheme="minorHAnsi" w:hAnsiTheme="minorHAnsi"/>
          <w:sz w:val="24"/>
          <w:szCs w:val="24"/>
        </w:rPr>
        <w:t xml:space="preserve">contributed </w:t>
      </w:r>
      <w:r w:rsidR="002A57A6" w:rsidRPr="00ED0765">
        <w:rPr>
          <w:rFonts w:asciiTheme="minorHAnsi" w:hAnsiTheme="minorHAnsi"/>
          <w:sz w:val="24"/>
          <w:szCs w:val="24"/>
        </w:rPr>
        <w:t xml:space="preserve">to the successful construction, start-up, commissioning and initial operation of </w:t>
      </w:r>
      <w:r w:rsidRPr="00ED0765">
        <w:rPr>
          <w:rFonts w:asciiTheme="minorHAnsi" w:hAnsiTheme="minorHAnsi"/>
          <w:sz w:val="24"/>
          <w:szCs w:val="24"/>
        </w:rPr>
        <w:t xml:space="preserve">Bushehr NPP </w:t>
      </w:r>
      <w:r w:rsidR="002A57A6" w:rsidRPr="00ED0765">
        <w:rPr>
          <w:rFonts w:asciiTheme="minorHAnsi" w:hAnsiTheme="minorHAnsi"/>
          <w:sz w:val="24"/>
          <w:szCs w:val="24"/>
        </w:rPr>
        <w:t>unit 1 (BNPP-1</w:t>
      </w:r>
      <w:r w:rsidR="00EF4B28" w:rsidRPr="00ED0765">
        <w:rPr>
          <w:rFonts w:asciiTheme="minorHAnsi" w:hAnsiTheme="minorHAnsi"/>
          <w:sz w:val="24"/>
          <w:szCs w:val="24"/>
        </w:rPr>
        <w:t>)</w:t>
      </w:r>
      <w:r w:rsidR="00EF4B28">
        <w:rPr>
          <w:rFonts w:asciiTheme="minorHAnsi" w:hAnsiTheme="minorHAnsi"/>
          <w:sz w:val="24"/>
          <w:szCs w:val="24"/>
        </w:rPr>
        <w:t xml:space="preserve">. Continued assistance </w:t>
      </w:r>
      <w:r w:rsidR="00574BA7">
        <w:rPr>
          <w:rFonts w:asciiTheme="minorHAnsi" w:hAnsiTheme="minorHAnsi"/>
          <w:sz w:val="24"/>
          <w:szCs w:val="24"/>
        </w:rPr>
        <w:t xml:space="preserve">is being provided to </w:t>
      </w:r>
      <w:r w:rsidR="00C57AEA">
        <w:rPr>
          <w:rFonts w:asciiTheme="minorHAnsi" w:hAnsiTheme="minorHAnsi"/>
          <w:sz w:val="24"/>
          <w:szCs w:val="24"/>
        </w:rPr>
        <w:t xml:space="preserve">the </w:t>
      </w:r>
      <w:r w:rsidR="000D4352" w:rsidRPr="00ED0765">
        <w:rPr>
          <w:rFonts w:asciiTheme="minorHAnsi" w:hAnsiTheme="minorHAnsi"/>
          <w:sz w:val="24"/>
          <w:szCs w:val="24"/>
        </w:rPr>
        <w:t xml:space="preserve">owner of the plant (NPPD), the National Nuclear Regulatory Authority (INRA) and to the Waste Management Department (INWM) </w:t>
      </w:r>
      <w:r w:rsidR="0028655A" w:rsidRPr="00ED0765">
        <w:rPr>
          <w:rFonts w:asciiTheme="minorHAnsi" w:hAnsiTheme="minorHAnsi"/>
          <w:sz w:val="24"/>
          <w:szCs w:val="24"/>
        </w:rPr>
        <w:t xml:space="preserve">as a </w:t>
      </w:r>
      <w:r w:rsidR="00DF7538" w:rsidRPr="00ED0765">
        <w:rPr>
          <w:rFonts w:asciiTheme="minorHAnsi" w:hAnsiTheme="minorHAnsi"/>
          <w:sz w:val="24"/>
          <w:szCs w:val="24"/>
        </w:rPr>
        <w:t>“package” assistance in an integrated manner</w:t>
      </w:r>
      <w:r w:rsidR="00EF4B2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EF4B28">
        <w:rPr>
          <w:rFonts w:asciiTheme="minorHAnsi" w:hAnsiTheme="minorHAnsi"/>
          <w:sz w:val="24"/>
          <w:szCs w:val="24"/>
        </w:rPr>
        <w:t>to:</w:t>
      </w:r>
      <w:r w:rsidR="00DF7538" w:rsidRPr="00ED0765">
        <w:rPr>
          <w:rFonts w:asciiTheme="minorHAnsi" w:hAnsiTheme="minorHAnsi"/>
          <w:sz w:val="24"/>
          <w:szCs w:val="24"/>
        </w:rPr>
        <w:t>.</w:t>
      </w:r>
      <w:proofErr w:type="gramEnd"/>
    </w:p>
    <w:p w14:paraId="69F74469" w14:textId="7825A2C7" w:rsidR="00C7169A" w:rsidRPr="00ED0765" w:rsidRDefault="0028655A" w:rsidP="00425A6C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NPPD</w:t>
      </w:r>
      <w:r w:rsidR="00474625" w:rsidRPr="00ED0765">
        <w:rPr>
          <w:rFonts w:asciiTheme="minorHAnsi" w:hAnsiTheme="minorHAnsi"/>
          <w:sz w:val="24"/>
          <w:szCs w:val="24"/>
        </w:rPr>
        <w:t xml:space="preserve"> </w:t>
      </w:r>
      <w:r w:rsidR="001176B8" w:rsidRPr="00ED0765">
        <w:rPr>
          <w:rFonts w:asciiTheme="minorHAnsi" w:hAnsiTheme="minorHAnsi"/>
          <w:sz w:val="24"/>
          <w:szCs w:val="24"/>
        </w:rPr>
        <w:t>evolved fr</w:t>
      </w:r>
      <w:r w:rsidR="00101AC5">
        <w:rPr>
          <w:rFonts w:asciiTheme="minorHAnsi" w:hAnsiTheme="minorHAnsi"/>
          <w:sz w:val="24"/>
          <w:szCs w:val="24"/>
        </w:rPr>
        <w:t xml:space="preserve">om mostly </w:t>
      </w:r>
      <w:r w:rsidR="00EF4B28">
        <w:rPr>
          <w:rFonts w:asciiTheme="minorHAnsi" w:hAnsiTheme="minorHAnsi"/>
          <w:sz w:val="24"/>
          <w:szCs w:val="24"/>
        </w:rPr>
        <w:t xml:space="preserve">an </w:t>
      </w:r>
      <w:r w:rsidR="00101AC5">
        <w:rPr>
          <w:rFonts w:asciiTheme="minorHAnsi" w:hAnsiTheme="minorHAnsi"/>
          <w:sz w:val="24"/>
          <w:szCs w:val="24"/>
        </w:rPr>
        <w:t>education type</w:t>
      </w:r>
      <w:r w:rsidR="00EF4B28">
        <w:rPr>
          <w:rFonts w:asciiTheme="minorHAnsi" w:hAnsiTheme="minorHAnsi"/>
          <w:sz w:val="24"/>
          <w:szCs w:val="24"/>
        </w:rPr>
        <w:t xml:space="preserve"> institution</w:t>
      </w:r>
      <w:r w:rsidR="00101AC5">
        <w:rPr>
          <w:rFonts w:asciiTheme="minorHAnsi" w:hAnsiTheme="minorHAnsi"/>
          <w:sz w:val="24"/>
          <w:szCs w:val="24"/>
        </w:rPr>
        <w:t xml:space="preserve"> (1995-1998</w:t>
      </w:r>
      <w:r w:rsidR="001176B8" w:rsidRPr="00ED0765">
        <w:rPr>
          <w:rFonts w:asciiTheme="minorHAnsi" w:hAnsiTheme="minorHAnsi"/>
          <w:sz w:val="24"/>
          <w:szCs w:val="24"/>
        </w:rPr>
        <w:t xml:space="preserve">), through </w:t>
      </w:r>
      <w:r w:rsidR="00EF4B28">
        <w:rPr>
          <w:rFonts w:asciiTheme="minorHAnsi" w:hAnsiTheme="minorHAnsi"/>
          <w:sz w:val="24"/>
          <w:szCs w:val="24"/>
        </w:rPr>
        <w:t xml:space="preserve">the </w:t>
      </w:r>
      <w:r w:rsidR="001176B8" w:rsidRPr="00ED0765">
        <w:rPr>
          <w:rFonts w:asciiTheme="minorHAnsi" w:hAnsiTheme="minorHAnsi"/>
          <w:sz w:val="24"/>
          <w:szCs w:val="24"/>
        </w:rPr>
        <w:t>devel</w:t>
      </w:r>
      <w:r w:rsidR="00862441">
        <w:rPr>
          <w:rFonts w:asciiTheme="minorHAnsi" w:hAnsiTheme="minorHAnsi"/>
          <w:sz w:val="24"/>
          <w:szCs w:val="24"/>
        </w:rPr>
        <w:t>opment of core competences (1999</w:t>
      </w:r>
      <w:r w:rsidR="001176B8" w:rsidRPr="00ED0765">
        <w:rPr>
          <w:rFonts w:asciiTheme="minorHAnsi" w:hAnsiTheme="minorHAnsi"/>
          <w:sz w:val="24"/>
          <w:szCs w:val="24"/>
        </w:rPr>
        <w:t xml:space="preserve">-2003), to strengthening </w:t>
      </w:r>
      <w:r w:rsidR="00EF4B28">
        <w:rPr>
          <w:rFonts w:asciiTheme="minorHAnsi" w:hAnsiTheme="minorHAnsi"/>
          <w:sz w:val="24"/>
          <w:szCs w:val="24"/>
        </w:rPr>
        <w:t xml:space="preserve">its capabilities with responsibilities as </w:t>
      </w:r>
      <w:r w:rsidR="001176B8" w:rsidRPr="00ED0765">
        <w:rPr>
          <w:rFonts w:asciiTheme="minorHAnsi" w:hAnsiTheme="minorHAnsi"/>
          <w:sz w:val="24"/>
          <w:szCs w:val="24"/>
        </w:rPr>
        <w:t>owner</w:t>
      </w:r>
      <w:r w:rsidR="00EF4B28">
        <w:rPr>
          <w:rFonts w:asciiTheme="minorHAnsi" w:hAnsiTheme="minorHAnsi"/>
          <w:sz w:val="24"/>
          <w:szCs w:val="24"/>
        </w:rPr>
        <w:t xml:space="preserve"> </w:t>
      </w:r>
      <w:r w:rsidR="001176B8" w:rsidRPr="00ED0765">
        <w:rPr>
          <w:rFonts w:asciiTheme="minorHAnsi" w:hAnsiTheme="minorHAnsi"/>
          <w:sz w:val="24"/>
          <w:szCs w:val="24"/>
        </w:rPr>
        <w:t xml:space="preserve">(2004 and beyond) </w:t>
      </w:r>
      <w:r w:rsidR="00EF4B28">
        <w:rPr>
          <w:rFonts w:asciiTheme="minorHAnsi" w:hAnsiTheme="minorHAnsi"/>
          <w:sz w:val="24"/>
          <w:szCs w:val="24"/>
        </w:rPr>
        <w:t>through the</w:t>
      </w:r>
      <w:r w:rsidR="00EF4B28" w:rsidRPr="00ED0765">
        <w:rPr>
          <w:rFonts w:asciiTheme="minorHAnsi" w:hAnsiTheme="minorHAnsi"/>
          <w:sz w:val="24"/>
          <w:szCs w:val="24"/>
        </w:rPr>
        <w:t xml:space="preserve"> </w:t>
      </w:r>
      <w:r w:rsidR="0078189C" w:rsidRPr="00ED0765">
        <w:rPr>
          <w:rFonts w:asciiTheme="minorHAnsi" w:hAnsiTheme="minorHAnsi"/>
          <w:sz w:val="24"/>
          <w:szCs w:val="24"/>
        </w:rPr>
        <w:t>projects:</w:t>
      </w:r>
      <w:r w:rsidR="00474625" w:rsidRPr="00ED0765">
        <w:rPr>
          <w:rFonts w:asciiTheme="minorHAnsi" w:hAnsiTheme="minorHAnsi"/>
          <w:sz w:val="24"/>
          <w:szCs w:val="24"/>
        </w:rPr>
        <w:t xml:space="preserve"> </w:t>
      </w:r>
    </w:p>
    <w:p w14:paraId="4E0853A6" w14:textId="77777777" w:rsidR="00101AC5" w:rsidRPr="00B251C3" w:rsidRDefault="00101AC5" w:rsidP="00425A6C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IRA4024:</w:t>
      </w:r>
      <w:r w:rsidR="00B251C3">
        <w:rPr>
          <w:rFonts w:asciiTheme="minorHAnsi" w:hAnsiTheme="minorHAnsi"/>
          <w:b/>
          <w:sz w:val="24"/>
          <w:szCs w:val="24"/>
        </w:rPr>
        <w:t xml:space="preserve"> </w:t>
      </w:r>
      <w:r w:rsidR="00B251C3" w:rsidRPr="00B251C3">
        <w:rPr>
          <w:rFonts w:asciiTheme="minorHAnsi" w:hAnsiTheme="minorHAnsi"/>
          <w:sz w:val="24"/>
          <w:szCs w:val="24"/>
        </w:rPr>
        <w:t>Infrastructure for Implementation of Nuclear Power Programme</w:t>
      </w:r>
      <w:r w:rsidR="00B251C3">
        <w:rPr>
          <w:rFonts w:asciiTheme="minorHAnsi" w:hAnsiTheme="minorHAnsi"/>
          <w:sz w:val="24"/>
          <w:szCs w:val="24"/>
        </w:rPr>
        <w:t xml:space="preserve">, </w:t>
      </w:r>
      <w:r w:rsidR="00B251C3">
        <w:rPr>
          <w:rFonts w:asciiTheme="minorHAnsi" w:hAnsiTheme="minorHAnsi"/>
          <w:b/>
          <w:sz w:val="24"/>
          <w:szCs w:val="24"/>
        </w:rPr>
        <w:t>1995-1998</w:t>
      </w:r>
    </w:p>
    <w:p w14:paraId="307DE989" w14:textId="77777777" w:rsidR="00C7169A" w:rsidRPr="00ED0765" w:rsidRDefault="00C7169A" w:rsidP="00425A6C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IRA4029</w:t>
      </w:r>
      <w:r w:rsidR="00411860" w:rsidRPr="00ED0765">
        <w:rPr>
          <w:rFonts w:asciiTheme="minorHAnsi" w:hAnsiTheme="minorHAnsi"/>
          <w:sz w:val="24"/>
          <w:szCs w:val="24"/>
        </w:rPr>
        <w:t>:</w:t>
      </w:r>
      <w:r w:rsidRPr="00ED0765">
        <w:rPr>
          <w:rFonts w:asciiTheme="minorHAnsi" w:hAnsiTheme="minorHAnsi"/>
          <w:sz w:val="24"/>
          <w:szCs w:val="24"/>
        </w:rPr>
        <w:t xml:space="preserve"> Strengthening Owner’s Function for BNPP-1</w:t>
      </w:r>
      <w:r w:rsidR="00E71EA6" w:rsidRPr="00ED0765">
        <w:rPr>
          <w:rFonts w:asciiTheme="minorHAnsi" w:hAnsiTheme="minorHAnsi"/>
          <w:sz w:val="24"/>
          <w:szCs w:val="24"/>
        </w:rPr>
        <w:t>,</w:t>
      </w:r>
      <w:r w:rsidRPr="00ED0765">
        <w:rPr>
          <w:rFonts w:asciiTheme="minorHAnsi" w:hAnsiTheme="minorHAnsi"/>
          <w:sz w:val="24"/>
          <w:szCs w:val="24"/>
        </w:rPr>
        <w:t xml:space="preserve"> </w:t>
      </w:r>
      <w:r w:rsidRPr="00ED0765">
        <w:rPr>
          <w:rFonts w:asciiTheme="minorHAnsi" w:hAnsiTheme="minorHAnsi"/>
          <w:b/>
          <w:sz w:val="24"/>
          <w:szCs w:val="24"/>
        </w:rPr>
        <w:t>1999</w:t>
      </w:r>
      <w:r w:rsidR="007C2FD1" w:rsidRPr="00ED0765">
        <w:rPr>
          <w:rFonts w:asciiTheme="minorHAnsi" w:hAnsiTheme="minorHAnsi"/>
          <w:b/>
          <w:sz w:val="24"/>
          <w:szCs w:val="24"/>
        </w:rPr>
        <w:t>-2004</w:t>
      </w:r>
      <w:r w:rsidR="00411860" w:rsidRPr="00ED0765">
        <w:rPr>
          <w:rFonts w:asciiTheme="minorHAnsi" w:hAnsiTheme="minorHAnsi"/>
          <w:b/>
          <w:sz w:val="24"/>
          <w:szCs w:val="24"/>
        </w:rPr>
        <w:t xml:space="preserve"> </w:t>
      </w:r>
    </w:p>
    <w:p w14:paraId="69750BA0" w14:textId="77777777" w:rsidR="00C7169A" w:rsidRPr="00ED0765" w:rsidRDefault="00C7169A" w:rsidP="00425A6C">
      <w:pPr>
        <w:pStyle w:val="NoSpacing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IRA</w:t>
      </w:r>
      <w:r w:rsidR="00411860" w:rsidRPr="00ED0765">
        <w:rPr>
          <w:rFonts w:asciiTheme="minorHAnsi" w:hAnsiTheme="minorHAnsi"/>
          <w:b/>
          <w:sz w:val="24"/>
          <w:szCs w:val="24"/>
        </w:rPr>
        <w:t>4035</w:t>
      </w:r>
      <w:r w:rsidR="00411860" w:rsidRPr="00ED0765">
        <w:rPr>
          <w:rFonts w:asciiTheme="minorHAnsi" w:hAnsiTheme="minorHAnsi"/>
          <w:sz w:val="24"/>
          <w:szCs w:val="24"/>
        </w:rPr>
        <w:t xml:space="preserve">: Strengthening Owner’s Capabilities for Commissioning and Start-up of BNPP-1, </w:t>
      </w:r>
      <w:r w:rsidR="00411860" w:rsidRPr="00ED0765">
        <w:rPr>
          <w:rFonts w:asciiTheme="minorHAnsi" w:hAnsiTheme="minorHAnsi"/>
          <w:b/>
          <w:sz w:val="24"/>
          <w:szCs w:val="24"/>
        </w:rPr>
        <w:t>2005</w:t>
      </w:r>
      <w:r w:rsidR="007C2FD1" w:rsidRPr="00ED0765">
        <w:rPr>
          <w:rFonts w:asciiTheme="minorHAnsi" w:hAnsiTheme="minorHAnsi"/>
          <w:b/>
          <w:sz w:val="24"/>
          <w:szCs w:val="24"/>
        </w:rPr>
        <w:t>-2011</w:t>
      </w:r>
    </w:p>
    <w:p w14:paraId="4A4BF7AE" w14:textId="77777777" w:rsidR="007C2FD1" w:rsidRPr="00ED0765" w:rsidRDefault="00411860" w:rsidP="00425A6C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IRA2011</w:t>
      </w:r>
      <w:r w:rsidRPr="00ED0765">
        <w:rPr>
          <w:rFonts w:asciiTheme="minorHAnsi" w:hAnsiTheme="minorHAnsi"/>
          <w:sz w:val="24"/>
          <w:szCs w:val="24"/>
        </w:rPr>
        <w:t>: Strengthening and Upgrading Capabilities for Safe and Reliable Operation and Maintenance of BNPP-1</w:t>
      </w:r>
      <w:r w:rsidRPr="00ED0765">
        <w:rPr>
          <w:rFonts w:asciiTheme="minorHAnsi" w:hAnsiTheme="minorHAnsi"/>
          <w:b/>
          <w:sz w:val="24"/>
          <w:szCs w:val="24"/>
        </w:rPr>
        <w:t>, 2012</w:t>
      </w:r>
      <w:r w:rsidR="007C2FD1" w:rsidRPr="00ED0765">
        <w:rPr>
          <w:rFonts w:asciiTheme="minorHAnsi" w:hAnsiTheme="minorHAnsi"/>
          <w:b/>
          <w:sz w:val="24"/>
          <w:szCs w:val="24"/>
        </w:rPr>
        <w:t>-2015</w:t>
      </w:r>
    </w:p>
    <w:p w14:paraId="5F69A008" w14:textId="77777777" w:rsidR="00411860" w:rsidRPr="00ED0765" w:rsidRDefault="007C2FD1" w:rsidP="00425A6C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 xml:space="preserve">IRA2013: </w:t>
      </w:r>
      <w:r w:rsidR="00425A6C" w:rsidRPr="00ED0765">
        <w:rPr>
          <w:rFonts w:asciiTheme="minorHAnsi" w:hAnsiTheme="minorHAnsi"/>
          <w:sz w:val="24"/>
          <w:szCs w:val="24"/>
        </w:rPr>
        <w:t xml:space="preserve">Enhancing the Level of Operational Safety and Reliability of the BNPP-1, </w:t>
      </w:r>
      <w:r w:rsidR="00425A6C" w:rsidRPr="00ED0765">
        <w:rPr>
          <w:rFonts w:asciiTheme="minorHAnsi" w:hAnsiTheme="minorHAnsi"/>
          <w:b/>
          <w:sz w:val="24"/>
          <w:szCs w:val="24"/>
        </w:rPr>
        <w:t>2016-2019</w:t>
      </w:r>
    </w:p>
    <w:p w14:paraId="722D3A3B" w14:textId="77777777" w:rsidR="001176B8" w:rsidRPr="00ED0765" w:rsidRDefault="001176B8" w:rsidP="001176B8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lastRenderedPageBreak/>
        <w:t xml:space="preserve">IRA2012: </w:t>
      </w:r>
      <w:r w:rsidRPr="00ED0765">
        <w:rPr>
          <w:rFonts w:asciiTheme="minorHAnsi" w:hAnsiTheme="minorHAnsi"/>
          <w:sz w:val="24"/>
          <w:szCs w:val="24"/>
        </w:rPr>
        <w:t xml:space="preserve">Increasing NPPD’s Capability in Planning and Implementing Activities related to Design and Construction of Two New PWR units in Bushehr with Emphasis on Safety, </w:t>
      </w:r>
      <w:r w:rsidRPr="00ED0765">
        <w:rPr>
          <w:rFonts w:asciiTheme="minorHAnsi" w:hAnsiTheme="minorHAnsi"/>
          <w:b/>
          <w:sz w:val="24"/>
          <w:szCs w:val="24"/>
        </w:rPr>
        <w:t xml:space="preserve">2014-2017 </w:t>
      </w:r>
      <w:r w:rsidRPr="00ED0765">
        <w:rPr>
          <w:rFonts w:asciiTheme="minorHAnsi" w:hAnsiTheme="minorHAnsi"/>
          <w:sz w:val="24"/>
          <w:szCs w:val="24"/>
        </w:rPr>
        <w:t>(</w:t>
      </w:r>
      <w:r w:rsidRPr="00ED0765">
        <w:rPr>
          <w:rFonts w:asciiTheme="minorHAnsi" w:hAnsiTheme="minorHAnsi"/>
          <w:sz w:val="24"/>
          <w:szCs w:val="24"/>
          <w:u w:val="single"/>
        </w:rPr>
        <w:t>fully</w:t>
      </w:r>
      <w:r w:rsidR="009E164C" w:rsidRPr="00ED0765">
        <w:rPr>
          <w:rFonts w:asciiTheme="minorHAnsi" w:hAnsiTheme="minorHAnsi"/>
          <w:sz w:val="24"/>
          <w:szCs w:val="24"/>
          <w:u w:val="single"/>
        </w:rPr>
        <w:t xml:space="preserve"> through</w:t>
      </w:r>
      <w:r w:rsidRPr="00ED0765">
        <w:rPr>
          <w:rFonts w:asciiTheme="minorHAnsi" w:hAnsiTheme="minorHAnsi"/>
          <w:sz w:val="24"/>
          <w:szCs w:val="24"/>
          <w:u w:val="single"/>
        </w:rPr>
        <w:t xml:space="preserve"> GCS budget)</w:t>
      </w:r>
    </w:p>
    <w:p w14:paraId="4C1FD5C8" w14:textId="77777777" w:rsidR="001621F5" w:rsidRPr="00ED0765" w:rsidRDefault="001621F5" w:rsidP="001176B8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7C59264E" w14:textId="51B85BFE" w:rsidR="001176B8" w:rsidRDefault="00EF4B28" w:rsidP="001176B8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As a result of the above projects, the following are the m</w:t>
      </w:r>
      <w:r w:rsidR="001176B8" w:rsidRPr="00ED0765">
        <w:rPr>
          <w:rFonts w:asciiTheme="minorHAnsi" w:hAnsiTheme="minorHAnsi"/>
          <w:b/>
          <w:sz w:val="24"/>
          <w:szCs w:val="24"/>
        </w:rPr>
        <w:t xml:space="preserve">ain </w:t>
      </w:r>
      <w:r w:rsidR="00F61B4B">
        <w:rPr>
          <w:rFonts w:asciiTheme="minorHAnsi" w:hAnsiTheme="minorHAnsi"/>
          <w:b/>
          <w:sz w:val="24"/>
          <w:szCs w:val="24"/>
        </w:rPr>
        <w:t>achievements</w:t>
      </w:r>
      <w:r w:rsidR="001176B8" w:rsidRPr="00ED0765">
        <w:rPr>
          <w:rFonts w:asciiTheme="minorHAnsi" w:hAnsiTheme="minorHAnsi"/>
          <w:sz w:val="24"/>
          <w:szCs w:val="24"/>
        </w:rPr>
        <w:t>:</w:t>
      </w:r>
    </w:p>
    <w:p w14:paraId="031F7793" w14:textId="77777777" w:rsidR="00F61B4B" w:rsidRPr="00ED0765" w:rsidRDefault="00F61B4B" w:rsidP="001176B8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693AF1FB" w14:textId="1EE88A22" w:rsidR="003F3427" w:rsidRPr="00ED0765" w:rsidRDefault="002252AF" w:rsidP="001176B8">
      <w:pPr>
        <w:pStyle w:val="NoSpacing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C</w:t>
      </w:r>
      <w:r w:rsidR="001176B8" w:rsidRPr="00ED0765">
        <w:rPr>
          <w:rFonts w:asciiTheme="minorHAnsi" w:hAnsiTheme="minorHAnsi"/>
          <w:sz w:val="24"/>
          <w:szCs w:val="24"/>
        </w:rPr>
        <w:t xml:space="preserve">omprehensive training programme </w:t>
      </w:r>
      <w:r w:rsidRPr="00ED0765">
        <w:rPr>
          <w:rFonts w:asciiTheme="minorHAnsi" w:hAnsiTheme="minorHAnsi"/>
          <w:sz w:val="24"/>
          <w:szCs w:val="24"/>
        </w:rPr>
        <w:t>and t</w:t>
      </w:r>
      <w:r w:rsidR="001176B8" w:rsidRPr="00ED0765">
        <w:rPr>
          <w:rFonts w:asciiTheme="minorHAnsi" w:hAnsiTheme="minorHAnsi"/>
          <w:sz w:val="24"/>
          <w:szCs w:val="24"/>
        </w:rPr>
        <w:t>raining centre</w:t>
      </w:r>
      <w:r w:rsidRPr="00ED0765">
        <w:rPr>
          <w:rFonts w:asciiTheme="minorHAnsi" w:hAnsiTheme="minorHAnsi"/>
          <w:sz w:val="24"/>
          <w:szCs w:val="24"/>
        </w:rPr>
        <w:t xml:space="preserve"> </w:t>
      </w:r>
      <w:r w:rsidR="00EF4B28">
        <w:rPr>
          <w:rFonts w:asciiTheme="minorHAnsi" w:hAnsiTheme="minorHAnsi"/>
          <w:sz w:val="24"/>
          <w:szCs w:val="24"/>
        </w:rPr>
        <w:t xml:space="preserve">were </w:t>
      </w:r>
      <w:r w:rsidRPr="00ED0765">
        <w:rPr>
          <w:rFonts w:asciiTheme="minorHAnsi" w:hAnsiTheme="minorHAnsi"/>
          <w:sz w:val="24"/>
          <w:szCs w:val="24"/>
        </w:rPr>
        <w:t>established</w:t>
      </w:r>
      <w:r w:rsidR="001176B8" w:rsidRPr="00ED0765">
        <w:rPr>
          <w:rFonts w:asciiTheme="minorHAnsi" w:hAnsiTheme="minorHAnsi"/>
          <w:sz w:val="24"/>
          <w:szCs w:val="24"/>
        </w:rPr>
        <w:t xml:space="preserve">, </w:t>
      </w:r>
      <w:r w:rsidRPr="00ED0765">
        <w:rPr>
          <w:rFonts w:asciiTheme="minorHAnsi" w:hAnsiTheme="minorHAnsi"/>
          <w:sz w:val="24"/>
          <w:szCs w:val="24"/>
        </w:rPr>
        <w:t xml:space="preserve">equipped with </w:t>
      </w:r>
      <w:r w:rsidR="001176B8" w:rsidRPr="00ED0765">
        <w:rPr>
          <w:rFonts w:asciiTheme="minorHAnsi" w:hAnsiTheme="minorHAnsi"/>
          <w:sz w:val="24"/>
          <w:szCs w:val="24"/>
        </w:rPr>
        <w:t>full-scope simulator</w:t>
      </w:r>
      <w:r w:rsidRPr="00ED0765">
        <w:rPr>
          <w:rFonts w:asciiTheme="minorHAnsi" w:hAnsiTheme="minorHAnsi"/>
          <w:sz w:val="24"/>
          <w:szCs w:val="24"/>
        </w:rPr>
        <w:t xml:space="preserve"> (FSS)</w:t>
      </w:r>
      <w:r w:rsidR="001176B8" w:rsidRPr="00ED0765">
        <w:rPr>
          <w:rFonts w:asciiTheme="minorHAnsi" w:hAnsiTheme="minorHAnsi"/>
          <w:sz w:val="24"/>
          <w:szCs w:val="24"/>
        </w:rPr>
        <w:t xml:space="preserve">, hardware and software for computer based training </w:t>
      </w:r>
      <w:r w:rsidRPr="00ED0765">
        <w:rPr>
          <w:rFonts w:asciiTheme="minorHAnsi" w:hAnsiTheme="minorHAnsi"/>
          <w:sz w:val="24"/>
          <w:szCs w:val="24"/>
        </w:rPr>
        <w:t>(CBT)</w:t>
      </w:r>
      <w:r w:rsidR="00EF4B28">
        <w:rPr>
          <w:rFonts w:asciiTheme="minorHAnsi" w:hAnsiTheme="minorHAnsi"/>
          <w:sz w:val="24"/>
          <w:szCs w:val="24"/>
        </w:rPr>
        <w:t>. The</w:t>
      </w:r>
      <w:r w:rsidR="009E164C" w:rsidRPr="00ED0765">
        <w:rPr>
          <w:rFonts w:asciiTheme="minorHAnsi" w:hAnsiTheme="minorHAnsi"/>
          <w:sz w:val="24"/>
          <w:szCs w:val="24"/>
        </w:rPr>
        <w:t>,</w:t>
      </w:r>
      <w:r w:rsidRPr="00ED0765">
        <w:rPr>
          <w:rFonts w:asciiTheme="minorHAnsi" w:hAnsiTheme="minorHAnsi"/>
          <w:sz w:val="24"/>
          <w:szCs w:val="24"/>
        </w:rPr>
        <w:t xml:space="preserve"> qualification programmes and materials </w:t>
      </w:r>
      <w:r w:rsidR="00EF4B28">
        <w:rPr>
          <w:rFonts w:asciiTheme="minorHAnsi" w:hAnsiTheme="minorHAnsi"/>
          <w:sz w:val="24"/>
          <w:szCs w:val="24"/>
        </w:rPr>
        <w:t xml:space="preserve">were </w:t>
      </w:r>
      <w:r w:rsidRPr="00ED0765">
        <w:rPr>
          <w:rFonts w:asciiTheme="minorHAnsi" w:hAnsiTheme="minorHAnsi"/>
          <w:sz w:val="24"/>
          <w:szCs w:val="24"/>
        </w:rPr>
        <w:t>developed, delivered and used for licensing of operational personnel</w:t>
      </w:r>
      <w:r w:rsidR="00EF4B28">
        <w:rPr>
          <w:rFonts w:asciiTheme="minorHAnsi" w:hAnsiTheme="minorHAnsi"/>
          <w:sz w:val="24"/>
          <w:szCs w:val="24"/>
        </w:rPr>
        <w:t xml:space="preserve">. </w:t>
      </w:r>
      <w:r w:rsidR="00EF4B28" w:rsidRPr="00ED0765">
        <w:rPr>
          <w:rFonts w:asciiTheme="minorHAnsi" w:hAnsiTheme="minorHAnsi"/>
          <w:sz w:val="24"/>
          <w:szCs w:val="24"/>
        </w:rPr>
        <w:t xml:space="preserve"> </w:t>
      </w:r>
      <w:r w:rsidR="00EF4B28">
        <w:rPr>
          <w:rFonts w:asciiTheme="minorHAnsi" w:hAnsiTheme="minorHAnsi"/>
          <w:sz w:val="24"/>
          <w:szCs w:val="24"/>
        </w:rPr>
        <w:t>S</w:t>
      </w:r>
      <w:r w:rsidRPr="00ED0765">
        <w:rPr>
          <w:rFonts w:asciiTheme="minorHAnsi" w:hAnsiTheme="minorHAnsi"/>
          <w:sz w:val="24"/>
          <w:szCs w:val="24"/>
        </w:rPr>
        <w:t>pecific training programme</w:t>
      </w:r>
      <w:r w:rsidR="00CD0C94" w:rsidRPr="00ED0765">
        <w:rPr>
          <w:rFonts w:asciiTheme="minorHAnsi" w:hAnsiTheme="minorHAnsi"/>
          <w:sz w:val="24"/>
          <w:szCs w:val="24"/>
        </w:rPr>
        <w:t xml:space="preserve"> and comprehensive set of training materials </w:t>
      </w:r>
      <w:r w:rsidR="00EF4B28">
        <w:rPr>
          <w:rFonts w:asciiTheme="minorHAnsi" w:hAnsiTheme="minorHAnsi"/>
          <w:sz w:val="24"/>
          <w:szCs w:val="24"/>
        </w:rPr>
        <w:t xml:space="preserve">were </w:t>
      </w:r>
      <w:r w:rsidR="00CD0C94" w:rsidRPr="00ED0765">
        <w:rPr>
          <w:rFonts w:asciiTheme="minorHAnsi" w:hAnsiTheme="minorHAnsi"/>
          <w:sz w:val="24"/>
          <w:szCs w:val="24"/>
        </w:rPr>
        <w:t>developed, delivered and used for</w:t>
      </w:r>
      <w:r w:rsidR="001176B8" w:rsidRPr="00ED0765">
        <w:rPr>
          <w:rFonts w:asciiTheme="minorHAnsi" w:hAnsiTheme="minorHAnsi"/>
          <w:sz w:val="24"/>
          <w:szCs w:val="24"/>
        </w:rPr>
        <w:t xml:space="preserve"> extensive supervisory and management training </w:t>
      </w:r>
      <w:r w:rsidR="00CD0C94" w:rsidRPr="00ED0765">
        <w:rPr>
          <w:rFonts w:asciiTheme="minorHAnsi" w:hAnsiTheme="minorHAnsi"/>
          <w:sz w:val="24"/>
          <w:szCs w:val="24"/>
        </w:rPr>
        <w:t>of 54</w:t>
      </w:r>
      <w:r w:rsidR="001176B8" w:rsidRPr="00ED0765">
        <w:rPr>
          <w:rFonts w:asciiTheme="minorHAnsi" w:hAnsiTheme="minorHAnsi"/>
          <w:sz w:val="24"/>
          <w:szCs w:val="24"/>
        </w:rPr>
        <w:t xml:space="preserve"> high and middle level managers </w:t>
      </w:r>
      <w:r w:rsidR="00CD0C94" w:rsidRPr="00ED0765">
        <w:rPr>
          <w:rFonts w:asciiTheme="minorHAnsi" w:hAnsiTheme="minorHAnsi"/>
          <w:sz w:val="24"/>
          <w:szCs w:val="24"/>
        </w:rPr>
        <w:t xml:space="preserve">of NPPD and BNPP-1; </w:t>
      </w:r>
    </w:p>
    <w:p w14:paraId="15621124" w14:textId="79409F93" w:rsidR="00AE56A3" w:rsidRPr="00ED0765" w:rsidRDefault="00EF4B28" w:rsidP="001176B8">
      <w:pPr>
        <w:pStyle w:val="NoSpacing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o</w:t>
      </w:r>
      <w:r w:rsidR="003F3427" w:rsidRPr="00ED0765">
        <w:rPr>
          <w:rFonts w:asciiTheme="minorHAnsi" w:hAnsiTheme="minorHAnsi"/>
          <w:sz w:val="24"/>
          <w:szCs w:val="24"/>
        </w:rPr>
        <w:t xml:space="preserve">perating organization (BNPP-1) </w:t>
      </w:r>
      <w:r>
        <w:rPr>
          <w:rFonts w:asciiTheme="minorHAnsi" w:hAnsiTheme="minorHAnsi"/>
          <w:sz w:val="24"/>
          <w:szCs w:val="24"/>
        </w:rPr>
        <w:t xml:space="preserve">was </w:t>
      </w:r>
      <w:r w:rsidR="003F3427" w:rsidRPr="00ED0765">
        <w:rPr>
          <w:rFonts w:asciiTheme="minorHAnsi" w:hAnsiTheme="minorHAnsi"/>
          <w:sz w:val="24"/>
          <w:szCs w:val="24"/>
        </w:rPr>
        <w:t>established</w:t>
      </w:r>
      <w:r>
        <w:rPr>
          <w:rFonts w:asciiTheme="minorHAnsi" w:hAnsiTheme="minorHAnsi"/>
          <w:sz w:val="24"/>
          <w:szCs w:val="24"/>
        </w:rPr>
        <w:t xml:space="preserve"> and</w:t>
      </w:r>
      <w:r w:rsidR="0018104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1176B8" w:rsidRPr="00ED0765">
        <w:rPr>
          <w:rFonts w:asciiTheme="minorHAnsi" w:hAnsiTheme="minorHAnsi"/>
          <w:sz w:val="24"/>
          <w:szCs w:val="24"/>
        </w:rPr>
        <w:t xml:space="preserve">set of </w:t>
      </w:r>
      <w:r w:rsidR="003F3427" w:rsidRPr="00ED0765">
        <w:rPr>
          <w:rFonts w:asciiTheme="minorHAnsi" w:hAnsiTheme="minorHAnsi"/>
          <w:sz w:val="24"/>
          <w:szCs w:val="24"/>
        </w:rPr>
        <w:t xml:space="preserve">technical </w:t>
      </w:r>
      <w:r w:rsidR="001176B8" w:rsidRPr="00ED0765">
        <w:rPr>
          <w:rFonts w:asciiTheme="minorHAnsi" w:hAnsiTheme="minorHAnsi"/>
          <w:sz w:val="24"/>
          <w:szCs w:val="24"/>
        </w:rPr>
        <w:t xml:space="preserve">documents </w:t>
      </w:r>
      <w:r w:rsidR="003F3427" w:rsidRPr="00ED0765">
        <w:rPr>
          <w:rFonts w:asciiTheme="minorHAnsi" w:hAnsiTheme="minorHAnsi"/>
          <w:sz w:val="24"/>
          <w:szCs w:val="24"/>
        </w:rPr>
        <w:t>and commissioning and operation process</w:t>
      </w:r>
      <w:r w:rsidR="009E164C" w:rsidRPr="00ED0765">
        <w:rPr>
          <w:rFonts w:asciiTheme="minorHAnsi" w:hAnsiTheme="minorHAnsi"/>
          <w:sz w:val="24"/>
          <w:szCs w:val="24"/>
        </w:rPr>
        <w:t>es</w:t>
      </w:r>
      <w:r w:rsidR="003F3427" w:rsidRPr="00ED076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were </w:t>
      </w:r>
      <w:r w:rsidR="003F3427" w:rsidRPr="00ED0765">
        <w:rPr>
          <w:rFonts w:asciiTheme="minorHAnsi" w:hAnsiTheme="minorHAnsi"/>
          <w:sz w:val="24"/>
          <w:szCs w:val="24"/>
        </w:rPr>
        <w:t>revised</w:t>
      </w:r>
      <w:r w:rsidR="00066654">
        <w:rPr>
          <w:rFonts w:asciiTheme="minorHAnsi" w:hAnsiTheme="minorHAnsi"/>
          <w:sz w:val="24"/>
          <w:szCs w:val="24"/>
        </w:rPr>
        <w:t xml:space="preserve"> and</w:t>
      </w:r>
      <w:r w:rsidR="003F3427" w:rsidRPr="00ED0765">
        <w:rPr>
          <w:rFonts w:asciiTheme="minorHAnsi" w:hAnsiTheme="minorHAnsi"/>
          <w:sz w:val="24"/>
          <w:szCs w:val="24"/>
        </w:rPr>
        <w:t>, improved</w:t>
      </w:r>
      <w:r w:rsidR="00066654">
        <w:rPr>
          <w:rFonts w:asciiTheme="minorHAnsi" w:hAnsiTheme="minorHAnsi"/>
          <w:sz w:val="24"/>
          <w:szCs w:val="24"/>
        </w:rPr>
        <w:t>.</w:t>
      </w:r>
      <w:r w:rsidR="003F3427" w:rsidRPr="00ED076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The a</w:t>
      </w:r>
      <w:r w:rsidR="001176B8" w:rsidRPr="00ED0765">
        <w:rPr>
          <w:rFonts w:asciiTheme="minorHAnsi" w:hAnsiTheme="minorHAnsi"/>
          <w:sz w:val="24"/>
          <w:szCs w:val="24"/>
        </w:rPr>
        <w:t>ssociated procedures</w:t>
      </w:r>
      <w:r w:rsidR="00066654">
        <w:rPr>
          <w:rFonts w:asciiTheme="minorHAnsi" w:hAnsiTheme="minorHAnsi"/>
          <w:sz w:val="24"/>
          <w:szCs w:val="24"/>
        </w:rPr>
        <w:t xml:space="preserve">, </w:t>
      </w:r>
      <w:r w:rsidR="003F3427" w:rsidRPr="00ED0765">
        <w:rPr>
          <w:rFonts w:asciiTheme="minorHAnsi" w:hAnsiTheme="minorHAnsi"/>
          <w:sz w:val="24"/>
          <w:szCs w:val="24"/>
        </w:rPr>
        <w:t xml:space="preserve">turn-over packages from construction to commissioning and operation </w:t>
      </w:r>
      <w:r w:rsidR="00066654">
        <w:rPr>
          <w:rFonts w:asciiTheme="minorHAnsi" w:hAnsiTheme="minorHAnsi"/>
          <w:sz w:val="24"/>
          <w:szCs w:val="24"/>
        </w:rPr>
        <w:t xml:space="preserve">were </w:t>
      </w:r>
      <w:r w:rsidR="003F3427" w:rsidRPr="00ED0765">
        <w:rPr>
          <w:rFonts w:asciiTheme="minorHAnsi" w:hAnsiTheme="minorHAnsi"/>
          <w:sz w:val="24"/>
          <w:szCs w:val="24"/>
        </w:rPr>
        <w:t>developed</w:t>
      </w:r>
      <w:r w:rsidR="00066654">
        <w:rPr>
          <w:rFonts w:asciiTheme="minorHAnsi" w:hAnsiTheme="minorHAnsi"/>
          <w:sz w:val="24"/>
          <w:szCs w:val="24"/>
        </w:rPr>
        <w:t>. The</w:t>
      </w:r>
      <w:r w:rsidR="00066654" w:rsidRPr="00ED0765">
        <w:rPr>
          <w:rFonts w:asciiTheme="minorHAnsi" w:hAnsiTheme="minorHAnsi"/>
          <w:sz w:val="24"/>
          <w:szCs w:val="24"/>
        </w:rPr>
        <w:t xml:space="preserve"> </w:t>
      </w:r>
      <w:r w:rsidR="003F3427" w:rsidRPr="00ED0765">
        <w:rPr>
          <w:rFonts w:asciiTheme="minorHAnsi" w:hAnsiTheme="minorHAnsi"/>
          <w:sz w:val="24"/>
          <w:szCs w:val="24"/>
        </w:rPr>
        <w:t xml:space="preserve">management programmes </w:t>
      </w:r>
      <w:r w:rsidR="00066654">
        <w:rPr>
          <w:rFonts w:asciiTheme="minorHAnsi" w:hAnsiTheme="minorHAnsi"/>
          <w:sz w:val="24"/>
          <w:szCs w:val="24"/>
        </w:rPr>
        <w:t xml:space="preserve">for </w:t>
      </w:r>
      <w:r w:rsidR="00066654" w:rsidRPr="00ED0765">
        <w:rPr>
          <w:rFonts w:asciiTheme="minorHAnsi" w:hAnsiTheme="minorHAnsi"/>
          <w:sz w:val="24"/>
          <w:szCs w:val="24"/>
        </w:rPr>
        <w:t xml:space="preserve">spare parts </w:t>
      </w:r>
      <w:r w:rsidR="00066654">
        <w:rPr>
          <w:rFonts w:asciiTheme="minorHAnsi" w:hAnsiTheme="minorHAnsi"/>
          <w:sz w:val="24"/>
          <w:szCs w:val="24"/>
        </w:rPr>
        <w:t xml:space="preserve">was </w:t>
      </w:r>
      <w:r w:rsidR="00AE56A3" w:rsidRPr="00ED0765">
        <w:rPr>
          <w:rFonts w:asciiTheme="minorHAnsi" w:hAnsiTheme="minorHAnsi"/>
          <w:sz w:val="24"/>
          <w:szCs w:val="24"/>
        </w:rPr>
        <w:t>established</w:t>
      </w:r>
      <w:r w:rsidR="00066654">
        <w:rPr>
          <w:rFonts w:asciiTheme="minorHAnsi" w:hAnsiTheme="minorHAnsi"/>
          <w:sz w:val="24"/>
          <w:szCs w:val="24"/>
        </w:rPr>
        <w:t xml:space="preserve">. </w:t>
      </w:r>
      <w:r w:rsidR="00F61B4B">
        <w:rPr>
          <w:rFonts w:asciiTheme="minorHAnsi" w:hAnsiTheme="minorHAnsi"/>
          <w:sz w:val="24"/>
          <w:szCs w:val="24"/>
        </w:rPr>
        <w:t>The</w:t>
      </w:r>
      <w:r w:rsidR="00AE56A3" w:rsidRPr="00ED0765">
        <w:rPr>
          <w:rFonts w:asciiTheme="minorHAnsi" w:hAnsiTheme="minorHAnsi"/>
          <w:sz w:val="24"/>
          <w:szCs w:val="24"/>
        </w:rPr>
        <w:t xml:space="preserve"> specialized technical support capabilities </w:t>
      </w:r>
      <w:r w:rsidR="00F61B4B">
        <w:rPr>
          <w:rFonts w:asciiTheme="minorHAnsi" w:hAnsiTheme="minorHAnsi"/>
          <w:sz w:val="24"/>
          <w:szCs w:val="24"/>
        </w:rPr>
        <w:t>for</w:t>
      </w:r>
      <w:r w:rsidR="00AE56A3" w:rsidRPr="00ED0765">
        <w:rPr>
          <w:rFonts w:asciiTheme="minorHAnsi" w:hAnsiTheme="minorHAnsi"/>
          <w:sz w:val="24"/>
          <w:szCs w:val="24"/>
        </w:rPr>
        <w:t xml:space="preserve"> safe and reliable operation and maintenance </w:t>
      </w:r>
      <w:r w:rsidR="00F61B4B">
        <w:rPr>
          <w:rFonts w:asciiTheme="minorHAnsi" w:hAnsiTheme="minorHAnsi"/>
          <w:sz w:val="24"/>
          <w:szCs w:val="24"/>
        </w:rPr>
        <w:t xml:space="preserve">was </w:t>
      </w:r>
      <w:r w:rsidR="00AE56A3" w:rsidRPr="00ED0765">
        <w:rPr>
          <w:rFonts w:asciiTheme="minorHAnsi" w:hAnsiTheme="minorHAnsi"/>
          <w:sz w:val="24"/>
          <w:szCs w:val="24"/>
        </w:rPr>
        <w:t>established</w:t>
      </w:r>
      <w:r w:rsidR="00F61B4B">
        <w:rPr>
          <w:rFonts w:asciiTheme="minorHAnsi" w:hAnsiTheme="minorHAnsi"/>
          <w:sz w:val="24"/>
          <w:szCs w:val="24"/>
        </w:rPr>
        <w:t xml:space="preserve">. </w:t>
      </w:r>
      <w:r w:rsidR="00F61B4B" w:rsidRPr="00ED0765">
        <w:rPr>
          <w:rFonts w:asciiTheme="minorHAnsi" w:hAnsiTheme="minorHAnsi"/>
          <w:sz w:val="24"/>
          <w:szCs w:val="24"/>
        </w:rPr>
        <w:t xml:space="preserve"> </w:t>
      </w:r>
      <w:r w:rsidR="00F61B4B">
        <w:rPr>
          <w:rFonts w:asciiTheme="minorHAnsi" w:hAnsiTheme="minorHAnsi"/>
          <w:sz w:val="24"/>
          <w:szCs w:val="24"/>
        </w:rPr>
        <w:t>K</w:t>
      </w:r>
      <w:r w:rsidR="006F4D08" w:rsidRPr="00ED0765">
        <w:rPr>
          <w:rFonts w:asciiTheme="minorHAnsi" w:hAnsiTheme="minorHAnsi"/>
          <w:sz w:val="24"/>
          <w:szCs w:val="24"/>
        </w:rPr>
        <w:t>nowledge on advanced maintenance methods, materials, tools and on modern methods of outage management, optimization strategy and risk monitoring in BNPP-1 operation</w:t>
      </w:r>
      <w:r w:rsidR="00F61B4B">
        <w:rPr>
          <w:rFonts w:asciiTheme="minorHAnsi" w:hAnsiTheme="minorHAnsi"/>
          <w:sz w:val="24"/>
          <w:szCs w:val="24"/>
        </w:rPr>
        <w:t xml:space="preserve"> was enhanced.</w:t>
      </w:r>
    </w:p>
    <w:p w14:paraId="6E384C38" w14:textId="74E19CF9" w:rsidR="003B5F43" w:rsidRPr="00ED0765" w:rsidRDefault="00F61B4B" w:rsidP="001176B8">
      <w:pPr>
        <w:pStyle w:val="NoSpacing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o</w:t>
      </w:r>
      <w:r w:rsidR="00AE56A3" w:rsidRPr="00ED0765">
        <w:rPr>
          <w:rFonts w:asciiTheme="minorHAnsi" w:hAnsiTheme="minorHAnsi"/>
          <w:sz w:val="24"/>
          <w:szCs w:val="24"/>
        </w:rPr>
        <w:t xml:space="preserve">ffsite </w:t>
      </w:r>
      <w:r w:rsidR="001176B8" w:rsidRPr="00ED0765">
        <w:rPr>
          <w:rFonts w:asciiTheme="minorHAnsi" w:hAnsiTheme="minorHAnsi"/>
          <w:sz w:val="24"/>
          <w:szCs w:val="24"/>
        </w:rPr>
        <w:t>environmental monitoring and control</w:t>
      </w:r>
      <w:r w:rsidR="00AE56A3" w:rsidRPr="00ED076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E56A3" w:rsidRPr="00ED0765">
        <w:rPr>
          <w:rFonts w:asciiTheme="minorHAnsi" w:hAnsiTheme="minorHAnsi"/>
          <w:sz w:val="24"/>
          <w:szCs w:val="24"/>
        </w:rPr>
        <w:t>center</w:t>
      </w:r>
      <w:proofErr w:type="spellEnd"/>
      <w:r w:rsidR="00AE56A3" w:rsidRPr="00ED0765">
        <w:rPr>
          <w:rFonts w:asciiTheme="minorHAnsi" w:hAnsiTheme="minorHAnsi"/>
          <w:sz w:val="24"/>
          <w:szCs w:val="24"/>
        </w:rPr>
        <w:t xml:space="preserve">, laboratories and monitoring stations </w:t>
      </w:r>
      <w:r>
        <w:rPr>
          <w:rFonts w:asciiTheme="minorHAnsi" w:hAnsiTheme="minorHAnsi"/>
          <w:sz w:val="24"/>
          <w:szCs w:val="24"/>
        </w:rPr>
        <w:t xml:space="preserve">were </w:t>
      </w:r>
      <w:r w:rsidR="00AE56A3" w:rsidRPr="00ED0765">
        <w:rPr>
          <w:rFonts w:asciiTheme="minorHAnsi" w:hAnsiTheme="minorHAnsi"/>
          <w:sz w:val="24"/>
          <w:szCs w:val="24"/>
        </w:rPr>
        <w:t>established</w:t>
      </w:r>
      <w:r>
        <w:rPr>
          <w:rFonts w:asciiTheme="minorHAnsi" w:hAnsiTheme="minorHAnsi"/>
          <w:sz w:val="24"/>
          <w:szCs w:val="24"/>
        </w:rPr>
        <w:t>. The</w:t>
      </w:r>
      <w:r w:rsidR="00415E72" w:rsidRPr="00ED0765">
        <w:rPr>
          <w:rFonts w:asciiTheme="minorHAnsi" w:hAnsiTheme="minorHAnsi"/>
          <w:sz w:val="24"/>
          <w:szCs w:val="24"/>
        </w:rPr>
        <w:t xml:space="preserve"> routine and post-accident radiation environmental monitoring</w:t>
      </w:r>
      <w:r>
        <w:rPr>
          <w:rFonts w:asciiTheme="minorHAnsi" w:hAnsiTheme="minorHAnsi"/>
          <w:sz w:val="24"/>
          <w:szCs w:val="24"/>
        </w:rPr>
        <w:t xml:space="preserve"> was strengthened.  In</w:t>
      </w:r>
      <w:r w:rsidR="0018104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addition,</w:t>
      </w:r>
      <w:r w:rsidR="00415E72" w:rsidRPr="00ED076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3B5F43" w:rsidRPr="00ED0765">
        <w:rPr>
          <w:rFonts w:asciiTheme="minorHAnsi" w:hAnsiTheme="minorHAnsi"/>
          <w:sz w:val="24"/>
          <w:szCs w:val="24"/>
        </w:rPr>
        <w:t xml:space="preserve">technical </w:t>
      </w:r>
      <w:r>
        <w:rPr>
          <w:rFonts w:asciiTheme="minorHAnsi" w:hAnsiTheme="minorHAnsi"/>
          <w:sz w:val="24"/>
          <w:szCs w:val="24"/>
        </w:rPr>
        <w:t>specifications</w:t>
      </w:r>
      <w:r w:rsidRPr="00ED0765">
        <w:rPr>
          <w:rFonts w:asciiTheme="minorHAnsi" w:hAnsiTheme="minorHAnsi"/>
          <w:sz w:val="24"/>
          <w:szCs w:val="24"/>
        </w:rPr>
        <w:t xml:space="preserve"> </w:t>
      </w:r>
      <w:r w:rsidR="003B5F43" w:rsidRPr="00ED0765">
        <w:rPr>
          <w:rFonts w:asciiTheme="minorHAnsi" w:hAnsiTheme="minorHAnsi"/>
          <w:sz w:val="24"/>
          <w:szCs w:val="24"/>
        </w:rPr>
        <w:t xml:space="preserve">for </w:t>
      </w:r>
      <w:r w:rsidR="00AE56A3" w:rsidRPr="00ED0765">
        <w:rPr>
          <w:rFonts w:asciiTheme="minorHAnsi" w:hAnsiTheme="minorHAnsi"/>
          <w:sz w:val="24"/>
          <w:szCs w:val="24"/>
        </w:rPr>
        <w:t xml:space="preserve">specialized software </w:t>
      </w:r>
      <w:r>
        <w:rPr>
          <w:rFonts w:asciiTheme="minorHAnsi" w:hAnsiTheme="minorHAnsi"/>
          <w:sz w:val="24"/>
          <w:szCs w:val="24"/>
        </w:rPr>
        <w:t xml:space="preserve">was </w:t>
      </w:r>
      <w:r w:rsidR="003B5F43" w:rsidRPr="00ED0765">
        <w:rPr>
          <w:rFonts w:asciiTheme="minorHAnsi" w:hAnsiTheme="minorHAnsi"/>
          <w:sz w:val="24"/>
          <w:szCs w:val="24"/>
        </w:rPr>
        <w:t xml:space="preserve">developed and purchase of the software </w:t>
      </w:r>
      <w:r>
        <w:rPr>
          <w:rFonts w:asciiTheme="minorHAnsi" w:hAnsiTheme="minorHAnsi"/>
          <w:sz w:val="24"/>
          <w:szCs w:val="24"/>
        </w:rPr>
        <w:t xml:space="preserve">is </w:t>
      </w:r>
      <w:r w:rsidR="00BD5086" w:rsidRPr="00ED0765">
        <w:rPr>
          <w:rFonts w:asciiTheme="minorHAnsi" w:hAnsiTheme="minorHAnsi"/>
          <w:sz w:val="24"/>
          <w:szCs w:val="24"/>
        </w:rPr>
        <w:t>under consideration</w:t>
      </w:r>
      <w:r w:rsidR="003B5F43" w:rsidRPr="00ED0765">
        <w:rPr>
          <w:rFonts w:asciiTheme="minorHAnsi" w:hAnsiTheme="minorHAnsi"/>
          <w:sz w:val="24"/>
          <w:szCs w:val="24"/>
        </w:rPr>
        <w:t>.</w:t>
      </w:r>
    </w:p>
    <w:p w14:paraId="00D0FEC1" w14:textId="3F36D5B2" w:rsidR="00386B49" w:rsidRPr="00ED0765" w:rsidRDefault="003B5F43" w:rsidP="001176B8">
      <w:pPr>
        <w:pStyle w:val="NoSpacing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 </w:t>
      </w:r>
      <w:r w:rsidR="00F61B4B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 xml:space="preserve">BNPP-1 </w:t>
      </w:r>
      <w:r w:rsidR="001176B8" w:rsidRPr="00ED0765">
        <w:rPr>
          <w:rFonts w:asciiTheme="minorHAnsi" w:hAnsiTheme="minorHAnsi"/>
          <w:sz w:val="24"/>
          <w:szCs w:val="24"/>
        </w:rPr>
        <w:t>physical protection</w:t>
      </w:r>
      <w:r w:rsidRPr="00ED0765">
        <w:rPr>
          <w:rFonts w:asciiTheme="minorHAnsi" w:hAnsiTheme="minorHAnsi"/>
          <w:sz w:val="24"/>
          <w:szCs w:val="24"/>
        </w:rPr>
        <w:t xml:space="preserve"> system,</w:t>
      </w:r>
      <w:r w:rsidR="001176B8" w:rsidRPr="00ED0765">
        <w:rPr>
          <w:rFonts w:asciiTheme="minorHAnsi" w:hAnsiTheme="minorHAnsi"/>
          <w:sz w:val="24"/>
          <w:szCs w:val="24"/>
        </w:rPr>
        <w:t xml:space="preserve"> </w:t>
      </w:r>
      <w:r w:rsidRPr="00ED0765">
        <w:rPr>
          <w:rFonts w:asciiTheme="minorHAnsi" w:hAnsiTheme="minorHAnsi"/>
          <w:sz w:val="24"/>
          <w:szCs w:val="24"/>
        </w:rPr>
        <w:t>emergency preparedness and response plans</w:t>
      </w:r>
      <w:r w:rsidR="009E164C" w:rsidRPr="00ED0765">
        <w:rPr>
          <w:rFonts w:asciiTheme="minorHAnsi" w:hAnsiTheme="minorHAnsi"/>
          <w:sz w:val="24"/>
          <w:szCs w:val="24"/>
        </w:rPr>
        <w:t xml:space="preserve"> </w:t>
      </w:r>
      <w:r w:rsidR="00F61B4B">
        <w:rPr>
          <w:rFonts w:asciiTheme="minorHAnsi" w:hAnsiTheme="minorHAnsi"/>
          <w:sz w:val="24"/>
          <w:szCs w:val="24"/>
        </w:rPr>
        <w:t xml:space="preserve">were </w:t>
      </w:r>
      <w:r w:rsidR="009E164C" w:rsidRPr="00ED0765">
        <w:rPr>
          <w:rFonts w:asciiTheme="minorHAnsi" w:hAnsiTheme="minorHAnsi"/>
          <w:sz w:val="24"/>
          <w:szCs w:val="24"/>
        </w:rPr>
        <w:t>established</w:t>
      </w:r>
      <w:r w:rsidR="00F61B4B">
        <w:rPr>
          <w:rFonts w:asciiTheme="minorHAnsi" w:hAnsiTheme="minorHAnsi"/>
          <w:sz w:val="24"/>
          <w:szCs w:val="24"/>
        </w:rPr>
        <w:t xml:space="preserve">. The </w:t>
      </w:r>
      <w:r w:rsidR="00064BA8" w:rsidRPr="00ED0765">
        <w:rPr>
          <w:rFonts w:asciiTheme="minorHAnsi" w:hAnsiTheme="minorHAnsi"/>
          <w:sz w:val="24"/>
          <w:szCs w:val="24"/>
        </w:rPr>
        <w:t xml:space="preserve">organization and structures of emergency repairs teams and requirements for portable </w:t>
      </w:r>
      <w:r w:rsidR="00386B49" w:rsidRPr="00ED0765">
        <w:rPr>
          <w:rFonts w:asciiTheme="minorHAnsi" w:hAnsiTheme="minorHAnsi"/>
          <w:sz w:val="24"/>
          <w:szCs w:val="24"/>
        </w:rPr>
        <w:t xml:space="preserve">and mobile equipment </w:t>
      </w:r>
      <w:r w:rsidR="00F61B4B">
        <w:rPr>
          <w:rFonts w:asciiTheme="minorHAnsi" w:hAnsiTheme="minorHAnsi"/>
          <w:sz w:val="24"/>
          <w:szCs w:val="24"/>
        </w:rPr>
        <w:t xml:space="preserve">have been </w:t>
      </w:r>
      <w:r w:rsidR="00386B49" w:rsidRPr="00ED0765">
        <w:rPr>
          <w:rFonts w:asciiTheme="minorHAnsi" w:hAnsiTheme="minorHAnsi"/>
          <w:sz w:val="24"/>
          <w:szCs w:val="24"/>
        </w:rPr>
        <w:t>determined</w:t>
      </w:r>
    </w:p>
    <w:p w14:paraId="1532494B" w14:textId="2FAC4897" w:rsidR="00C35F5D" w:rsidRPr="00F61B4B" w:rsidRDefault="00F61B4B" w:rsidP="00F61B4B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F61B4B">
        <w:rPr>
          <w:rFonts w:asciiTheme="minorHAnsi" w:hAnsiTheme="minorHAnsi"/>
          <w:sz w:val="24"/>
          <w:szCs w:val="24"/>
        </w:rPr>
        <w:t>The a</w:t>
      </w:r>
      <w:r w:rsidR="00386B49" w:rsidRPr="00F61B4B">
        <w:rPr>
          <w:rFonts w:asciiTheme="minorHAnsi" w:hAnsiTheme="minorHAnsi"/>
          <w:sz w:val="24"/>
          <w:szCs w:val="24"/>
        </w:rPr>
        <w:t>dva</w:t>
      </w:r>
      <w:r w:rsidR="00763C84" w:rsidRPr="00F61B4B">
        <w:rPr>
          <w:rFonts w:asciiTheme="minorHAnsi" w:hAnsiTheme="minorHAnsi"/>
          <w:sz w:val="24"/>
          <w:szCs w:val="24"/>
        </w:rPr>
        <w:t xml:space="preserve">nced </w:t>
      </w:r>
      <w:r w:rsidR="003B5F43" w:rsidRPr="00F61B4B">
        <w:rPr>
          <w:rFonts w:asciiTheme="minorHAnsi" w:hAnsiTheme="minorHAnsi"/>
          <w:sz w:val="24"/>
          <w:szCs w:val="24"/>
        </w:rPr>
        <w:t>nuclear material accounting and con</w:t>
      </w:r>
      <w:r w:rsidR="00386B49" w:rsidRPr="00F61B4B">
        <w:rPr>
          <w:rFonts w:asciiTheme="minorHAnsi" w:hAnsiTheme="minorHAnsi"/>
          <w:sz w:val="24"/>
          <w:szCs w:val="24"/>
        </w:rPr>
        <w:t xml:space="preserve">trol (NMAC) system </w:t>
      </w:r>
      <w:r w:rsidRPr="00F61B4B">
        <w:rPr>
          <w:rFonts w:asciiTheme="minorHAnsi" w:hAnsiTheme="minorHAnsi"/>
          <w:sz w:val="24"/>
          <w:szCs w:val="24"/>
        </w:rPr>
        <w:t xml:space="preserve">is </w:t>
      </w:r>
      <w:r w:rsidR="00386B49" w:rsidRPr="00F61B4B">
        <w:rPr>
          <w:rFonts w:asciiTheme="minorHAnsi" w:hAnsiTheme="minorHAnsi"/>
          <w:sz w:val="24"/>
          <w:szCs w:val="24"/>
        </w:rPr>
        <w:t xml:space="preserve">established using the STAR </w:t>
      </w:r>
      <w:r w:rsidR="003B5F43" w:rsidRPr="00F61B4B">
        <w:rPr>
          <w:rFonts w:asciiTheme="minorHAnsi" w:hAnsiTheme="minorHAnsi"/>
          <w:sz w:val="24"/>
          <w:szCs w:val="24"/>
        </w:rPr>
        <w:t xml:space="preserve">software </w:t>
      </w:r>
      <w:r w:rsidR="00763C84" w:rsidRPr="00F61B4B">
        <w:rPr>
          <w:rFonts w:asciiTheme="minorHAnsi" w:hAnsiTheme="minorHAnsi"/>
          <w:sz w:val="24"/>
          <w:szCs w:val="24"/>
        </w:rPr>
        <w:t xml:space="preserve">and </w:t>
      </w:r>
      <w:r w:rsidR="00386B49" w:rsidRPr="00F61B4B">
        <w:rPr>
          <w:rFonts w:asciiTheme="minorHAnsi" w:hAnsiTheme="minorHAnsi"/>
          <w:sz w:val="24"/>
          <w:szCs w:val="24"/>
        </w:rPr>
        <w:t>practical training of staff</w:t>
      </w:r>
      <w:r w:rsidRPr="00F61B4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through </w:t>
      </w:r>
      <w:r w:rsidRPr="00F61B4B">
        <w:rPr>
          <w:rFonts w:asciiTheme="minorHAnsi" w:hAnsiTheme="minorHAnsi"/>
          <w:sz w:val="24"/>
          <w:szCs w:val="24"/>
        </w:rPr>
        <w:t xml:space="preserve">the TC </w:t>
      </w:r>
      <w:r>
        <w:rPr>
          <w:rFonts w:asciiTheme="minorHAnsi" w:hAnsiTheme="minorHAnsi"/>
          <w:sz w:val="24"/>
          <w:szCs w:val="24"/>
        </w:rPr>
        <w:t>support.</w:t>
      </w:r>
      <w:r w:rsidR="0018104D">
        <w:rPr>
          <w:rFonts w:asciiTheme="minorHAnsi" w:hAnsiTheme="minorHAnsi"/>
          <w:sz w:val="24"/>
          <w:szCs w:val="24"/>
        </w:rPr>
        <w:t xml:space="preserve"> </w:t>
      </w:r>
      <w:r w:rsidR="00C35F5D" w:rsidRPr="00F61B4B">
        <w:rPr>
          <w:rFonts w:asciiTheme="minorHAnsi" w:hAnsiTheme="minorHAnsi"/>
          <w:sz w:val="24"/>
          <w:szCs w:val="24"/>
        </w:rPr>
        <w:t xml:space="preserve">Enhanced BNPP-1 capabilities for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C35F5D" w:rsidRPr="00F61B4B">
        <w:rPr>
          <w:rFonts w:asciiTheme="minorHAnsi" w:hAnsiTheme="minorHAnsi"/>
          <w:sz w:val="24"/>
          <w:szCs w:val="24"/>
        </w:rPr>
        <w:t>development and implementation of Severe Accident Management (SAM) Guideline</w:t>
      </w:r>
      <w:r w:rsidR="006B55A4" w:rsidRPr="00F61B4B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6B55A4" w:rsidRPr="00F61B4B">
        <w:rPr>
          <w:rFonts w:asciiTheme="minorHAnsi" w:hAnsiTheme="minorHAnsi"/>
          <w:sz w:val="24"/>
          <w:szCs w:val="24"/>
        </w:rPr>
        <w:t xml:space="preserve">capabilities </w:t>
      </w:r>
      <w:r>
        <w:rPr>
          <w:rFonts w:asciiTheme="minorHAnsi" w:hAnsiTheme="minorHAnsi"/>
          <w:sz w:val="24"/>
          <w:szCs w:val="24"/>
        </w:rPr>
        <w:t>for</w:t>
      </w:r>
      <w:r w:rsidRPr="00F61B4B">
        <w:rPr>
          <w:rFonts w:asciiTheme="minorHAnsi" w:hAnsiTheme="minorHAnsi"/>
          <w:sz w:val="24"/>
          <w:szCs w:val="24"/>
        </w:rPr>
        <w:t xml:space="preserve"> </w:t>
      </w:r>
      <w:r w:rsidR="006B55A4" w:rsidRPr="00F61B4B">
        <w:rPr>
          <w:rFonts w:asciiTheme="minorHAnsi" w:hAnsiTheme="minorHAnsi"/>
          <w:sz w:val="24"/>
          <w:szCs w:val="24"/>
        </w:rPr>
        <w:t>Probabilistic Safety Analyses (PSA)</w:t>
      </w:r>
      <w:r>
        <w:rPr>
          <w:rFonts w:asciiTheme="minorHAnsi" w:hAnsiTheme="minorHAnsi"/>
          <w:sz w:val="24"/>
          <w:szCs w:val="24"/>
        </w:rPr>
        <w:t xml:space="preserve"> was</w:t>
      </w:r>
      <w:r w:rsidR="006B55A4" w:rsidRPr="00F61B4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also s</w:t>
      </w:r>
      <w:r w:rsidRPr="00F61B4B">
        <w:rPr>
          <w:rFonts w:asciiTheme="minorHAnsi" w:hAnsiTheme="minorHAnsi"/>
          <w:sz w:val="24"/>
          <w:szCs w:val="24"/>
        </w:rPr>
        <w:t>trengthened</w:t>
      </w:r>
      <w:r>
        <w:rPr>
          <w:rFonts w:asciiTheme="minorHAnsi" w:hAnsiTheme="minorHAnsi"/>
          <w:sz w:val="24"/>
          <w:szCs w:val="24"/>
        </w:rPr>
        <w:t xml:space="preserve">. The </w:t>
      </w:r>
      <w:r w:rsidR="006B55A4" w:rsidRPr="00F61B4B">
        <w:rPr>
          <w:rFonts w:asciiTheme="minorHAnsi" w:hAnsiTheme="minorHAnsi"/>
          <w:sz w:val="24"/>
          <w:szCs w:val="24"/>
        </w:rPr>
        <w:t xml:space="preserve">technical specifications for a specialized Risk Spectrum software </w:t>
      </w:r>
      <w:r>
        <w:rPr>
          <w:rFonts w:asciiTheme="minorHAnsi" w:hAnsiTheme="minorHAnsi"/>
          <w:sz w:val="24"/>
          <w:szCs w:val="24"/>
        </w:rPr>
        <w:t xml:space="preserve">was </w:t>
      </w:r>
      <w:r w:rsidR="006B55A4" w:rsidRPr="00F61B4B">
        <w:rPr>
          <w:rFonts w:asciiTheme="minorHAnsi" w:hAnsiTheme="minorHAnsi"/>
          <w:sz w:val="24"/>
          <w:szCs w:val="24"/>
        </w:rPr>
        <w:t xml:space="preserve">finalized and </w:t>
      </w:r>
      <w:r>
        <w:rPr>
          <w:rFonts w:asciiTheme="minorHAnsi" w:hAnsiTheme="minorHAnsi"/>
          <w:sz w:val="24"/>
          <w:szCs w:val="24"/>
        </w:rPr>
        <w:t xml:space="preserve">currently in </w:t>
      </w:r>
      <w:r w:rsidR="006B55A4" w:rsidRPr="00F61B4B">
        <w:rPr>
          <w:rFonts w:asciiTheme="minorHAnsi" w:hAnsiTheme="minorHAnsi"/>
          <w:sz w:val="24"/>
          <w:szCs w:val="24"/>
        </w:rPr>
        <w:t>its final stage</w:t>
      </w:r>
      <w:r w:rsidRPr="00F61B4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for </w:t>
      </w:r>
      <w:r w:rsidRPr="00F61B4B">
        <w:rPr>
          <w:rFonts w:asciiTheme="minorHAnsi" w:hAnsiTheme="minorHAnsi"/>
          <w:sz w:val="24"/>
          <w:szCs w:val="24"/>
        </w:rPr>
        <w:t>purchase</w:t>
      </w:r>
      <w:r w:rsidR="006B55A4" w:rsidRPr="00F61B4B">
        <w:rPr>
          <w:rFonts w:asciiTheme="minorHAnsi" w:hAnsiTheme="minorHAnsi"/>
          <w:sz w:val="24"/>
          <w:szCs w:val="24"/>
        </w:rPr>
        <w:t>.</w:t>
      </w:r>
    </w:p>
    <w:p w14:paraId="45328EE6" w14:textId="5CCB2743" w:rsidR="00662F77" w:rsidRPr="00ED0765" w:rsidRDefault="003E32FC" w:rsidP="00BE58B1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Established owner’s specialized organi</w:t>
      </w:r>
      <w:r w:rsidR="00662F77" w:rsidRPr="00ED0765">
        <w:rPr>
          <w:rFonts w:asciiTheme="minorHAnsi" w:hAnsiTheme="minorHAnsi"/>
          <w:sz w:val="24"/>
          <w:szCs w:val="24"/>
        </w:rPr>
        <w:t xml:space="preserve">zations </w:t>
      </w:r>
      <w:r w:rsidR="00E776A3" w:rsidRPr="00ED0765">
        <w:rPr>
          <w:rFonts w:asciiTheme="minorHAnsi" w:hAnsiTheme="minorHAnsi"/>
          <w:sz w:val="24"/>
          <w:szCs w:val="24"/>
        </w:rPr>
        <w:t>to support safe and reliable operation and maintenance of BNPP-1</w:t>
      </w:r>
      <w:r w:rsidR="00F61B4B">
        <w:rPr>
          <w:rFonts w:asciiTheme="minorHAnsi" w:hAnsiTheme="minorHAnsi"/>
          <w:sz w:val="24"/>
          <w:szCs w:val="24"/>
        </w:rPr>
        <w:t xml:space="preserve">, as follows: </w:t>
      </w:r>
      <w:r w:rsidR="00FA0F28">
        <w:rPr>
          <w:rFonts w:asciiTheme="minorHAnsi" w:hAnsiTheme="minorHAnsi"/>
          <w:sz w:val="24"/>
          <w:szCs w:val="24"/>
        </w:rPr>
        <w:t>Safety Development</w:t>
      </w:r>
      <w:r w:rsidR="00913158">
        <w:rPr>
          <w:rFonts w:asciiTheme="minorHAnsi" w:hAnsiTheme="minorHAnsi"/>
          <w:sz w:val="24"/>
          <w:szCs w:val="24"/>
        </w:rPr>
        <w:t xml:space="preserve"> and Promotion Company (</w:t>
      </w:r>
      <w:proofErr w:type="spellStart"/>
      <w:r w:rsidR="00913158">
        <w:rPr>
          <w:rFonts w:asciiTheme="minorHAnsi" w:hAnsiTheme="minorHAnsi"/>
          <w:sz w:val="24"/>
          <w:szCs w:val="24"/>
        </w:rPr>
        <w:t>Tavana</w:t>
      </w:r>
      <w:proofErr w:type="spellEnd"/>
      <w:r w:rsidR="00913158">
        <w:rPr>
          <w:rFonts w:asciiTheme="minorHAnsi" w:hAnsiTheme="minorHAnsi"/>
          <w:sz w:val="24"/>
          <w:szCs w:val="24"/>
        </w:rPr>
        <w:t xml:space="preserve">), </w:t>
      </w:r>
      <w:r w:rsidR="006E158C">
        <w:rPr>
          <w:rFonts w:asciiTheme="minorHAnsi" w:hAnsiTheme="minorHAnsi"/>
          <w:sz w:val="24"/>
          <w:szCs w:val="24"/>
        </w:rPr>
        <w:t xml:space="preserve">and </w:t>
      </w:r>
      <w:r w:rsidR="00913158">
        <w:rPr>
          <w:rFonts w:asciiTheme="minorHAnsi" w:hAnsiTheme="minorHAnsi"/>
          <w:sz w:val="24"/>
          <w:szCs w:val="24"/>
        </w:rPr>
        <w:t>M</w:t>
      </w:r>
      <w:r w:rsidR="00662F77" w:rsidRPr="00ED0765">
        <w:rPr>
          <w:rFonts w:asciiTheme="minorHAnsi" w:hAnsiTheme="minorHAnsi"/>
          <w:sz w:val="24"/>
          <w:szCs w:val="24"/>
        </w:rPr>
        <w:t xml:space="preserve">aintenance and Repair </w:t>
      </w:r>
      <w:r w:rsidR="00FA0F28">
        <w:rPr>
          <w:rFonts w:asciiTheme="minorHAnsi" w:hAnsiTheme="minorHAnsi"/>
          <w:sz w:val="24"/>
          <w:szCs w:val="24"/>
        </w:rPr>
        <w:t>Support Company (</w:t>
      </w:r>
      <w:proofErr w:type="spellStart"/>
      <w:r w:rsidR="00FA0F28">
        <w:rPr>
          <w:rFonts w:asciiTheme="minorHAnsi" w:hAnsiTheme="minorHAnsi"/>
          <w:sz w:val="24"/>
          <w:szCs w:val="24"/>
        </w:rPr>
        <w:t>Tapna</w:t>
      </w:r>
      <w:proofErr w:type="spellEnd"/>
      <w:r w:rsidR="00FA0F28">
        <w:rPr>
          <w:rFonts w:asciiTheme="minorHAnsi" w:hAnsiTheme="minorHAnsi"/>
          <w:sz w:val="24"/>
          <w:szCs w:val="24"/>
        </w:rPr>
        <w:t>)</w:t>
      </w:r>
      <w:r w:rsidR="006E158C">
        <w:rPr>
          <w:rFonts w:asciiTheme="minorHAnsi" w:hAnsiTheme="minorHAnsi"/>
          <w:sz w:val="24"/>
          <w:szCs w:val="24"/>
        </w:rPr>
        <w:t>.</w:t>
      </w:r>
      <w:r w:rsidR="00D03052">
        <w:rPr>
          <w:rFonts w:asciiTheme="minorHAnsi" w:hAnsiTheme="minorHAnsi"/>
          <w:sz w:val="24"/>
          <w:szCs w:val="24"/>
        </w:rPr>
        <w:t xml:space="preserve"> </w:t>
      </w:r>
    </w:p>
    <w:p w14:paraId="3FA0E06D" w14:textId="10267446" w:rsidR="00D87529" w:rsidRPr="00ED0765" w:rsidRDefault="00E92641" w:rsidP="00E92641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Contracts between the owner (NPPD) and operation organization on operation and maintenance and </w:t>
      </w:r>
      <w:r w:rsidR="007D7F87" w:rsidRPr="00ED0765">
        <w:rPr>
          <w:rFonts w:asciiTheme="minorHAnsi" w:hAnsiTheme="minorHAnsi"/>
          <w:sz w:val="24"/>
          <w:szCs w:val="24"/>
        </w:rPr>
        <w:t xml:space="preserve">on Radioactive Waste Management of BNPP-1 </w:t>
      </w:r>
      <w:r w:rsidR="00F61B4B">
        <w:rPr>
          <w:rFonts w:asciiTheme="minorHAnsi" w:hAnsiTheme="minorHAnsi"/>
          <w:sz w:val="24"/>
          <w:szCs w:val="24"/>
        </w:rPr>
        <w:t xml:space="preserve">were </w:t>
      </w:r>
      <w:r w:rsidR="007D7F87" w:rsidRPr="00ED0765">
        <w:rPr>
          <w:rFonts w:asciiTheme="minorHAnsi" w:hAnsiTheme="minorHAnsi"/>
          <w:sz w:val="24"/>
          <w:szCs w:val="24"/>
        </w:rPr>
        <w:t xml:space="preserve">established and implemented. </w:t>
      </w:r>
    </w:p>
    <w:p w14:paraId="19CE8B65" w14:textId="02B08D06" w:rsidR="001176B8" w:rsidRPr="00ED0765" w:rsidRDefault="00386B49" w:rsidP="00BE58B1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Sign</w:t>
      </w:r>
      <w:r w:rsidR="001176B8" w:rsidRPr="00ED0765">
        <w:rPr>
          <w:rFonts w:asciiTheme="minorHAnsi" w:hAnsiTheme="minorHAnsi"/>
          <w:sz w:val="24"/>
          <w:szCs w:val="24"/>
        </w:rPr>
        <w:t>i</w:t>
      </w:r>
      <w:r w:rsidRPr="00ED0765">
        <w:rPr>
          <w:rFonts w:asciiTheme="minorHAnsi" w:hAnsiTheme="minorHAnsi"/>
          <w:sz w:val="24"/>
          <w:szCs w:val="24"/>
        </w:rPr>
        <w:t>fi</w:t>
      </w:r>
      <w:r w:rsidR="001176B8" w:rsidRPr="00ED0765">
        <w:rPr>
          <w:rFonts w:asciiTheme="minorHAnsi" w:hAnsiTheme="minorHAnsi"/>
          <w:sz w:val="24"/>
          <w:szCs w:val="24"/>
        </w:rPr>
        <w:t xml:space="preserve">cant </w:t>
      </w:r>
      <w:r w:rsidR="00F61B4B" w:rsidRPr="00ED0765">
        <w:rPr>
          <w:rFonts w:asciiTheme="minorHAnsi" w:hAnsiTheme="minorHAnsi"/>
          <w:sz w:val="24"/>
          <w:szCs w:val="24"/>
        </w:rPr>
        <w:t>contribut</w:t>
      </w:r>
      <w:r w:rsidR="00F61B4B">
        <w:rPr>
          <w:rFonts w:asciiTheme="minorHAnsi" w:hAnsiTheme="minorHAnsi"/>
          <w:sz w:val="24"/>
          <w:szCs w:val="24"/>
        </w:rPr>
        <w:t>ion</w:t>
      </w:r>
      <w:r w:rsidR="00F61B4B" w:rsidRPr="00ED0765">
        <w:rPr>
          <w:rFonts w:asciiTheme="minorHAnsi" w:hAnsiTheme="minorHAnsi"/>
          <w:sz w:val="24"/>
          <w:szCs w:val="24"/>
        </w:rPr>
        <w:t xml:space="preserve"> </w:t>
      </w:r>
      <w:r w:rsidR="001176B8" w:rsidRPr="00ED0765">
        <w:rPr>
          <w:rFonts w:asciiTheme="minorHAnsi" w:hAnsiTheme="minorHAnsi"/>
          <w:sz w:val="24"/>
          <w:szCs w:val="24"/>
        </w:rPr>
        <w:t>for incorporation and implementation of latest international standards, codes and best practices in enhancement of the safety in all phases of BNPP-1 project</w:t>
      </w:r>
    </w:p>
    <w:p w14:paraId="23C65458" w14:textId="77777777" w:rsidR="001176B8" w:rsidRPr="00ED0765" w:rsidRDefault="001176B8" w:rsidP="001176B8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Increased capacity and capabilities in independent review and acceptance of safety reports for BNPP-1</w:t>
      </w:r>
      <w:r w:rsidR="003E32FC" w:rsidRPr="00ED0765">
        <w:rPr>
          <w:rFonts w:asciiTheme="minorHAnsi" w:hAnsiTheme="minorHAnsi"/>
          <w:sz w:val="24"/>
          <w:szCs w:val="24"/>
        </w:rPr>
        <w:t xml:space="preserve">. Established technical requirements and specification of safety </w:t>
      </w:r>
      <w:r w:rsidR="003E32FC" w:rsidRPr="00ED0765">
        <w:rPr>
          <w:rFonts w:asciiTheme="minorHAnsi" w:hAnsiTheme="minorHAnsi"/>
          <w:sz w:val="24"/>
          <w:szCs w:val="24"/>
        </w:rPr>
        <w:lastRenderedPageBreak/>
        <w:t>and operational performance indicators</w:t>
      </w:r>
      <w:r w:rsidR="00C357B2" w:rsidRPr="00ED0765">
        <w:rPr>
          <w:rFonts w:asciiTheme="minorHAnsi" w:hAnsiTheme="minorHAnsi"/>
          <w:sz w:val="24"/>
          <w:szCs w:val="24"/>
        </w:rPr>
        <w:t xml:space="preserve"> (PI)</w:t>
      </w:r>
      <w:r w:rsidR="003E32FC" w:rsidRPr="00ED0765">
        <w:rPr>
          <w:rFonts w:asciiTheme="minorHAnsi" w:hAnsiTheme="minorHAnsi"/>
          <w:sz w:val="24"/>
          <w:szCs w:val="24"/>
        </w:rPr>
        <w:t xml:space="preserve"> and training on software application that supports PI system </w:t>
      </w:r>
      <w:r w:rsidR="00C357B2" w:rsidRPr="00ED0765">
        <w:rPr>
          <w:rFonts w:asciiTheme="minorHAnsi" w:hAnsiTheme="minorHAnsi"/>
          <w:sz w:val="24"/>
          <w:szCs w:val="24"/>
        </w:rPr>
        <w:t>management and its application.</w:t>
      </w:r>
    </w:p>
    <w:p w14:paraId="0A9E85B8" w14:textId="77777777" w:rsidR="00FC55D6" w:rsidRPr="00ED0765" w:rsidRDefault="001176B8" w:rsidP="00B272AD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Strengthened capabilities in continuous improvement of integrated management system to promote and support strong ownersh</w:t>
      </w:r>
      <w:r w:rsidR="000326ED" w:rsidRPr="00ED0765">
        <w:rPr>
          <w:rFonts w:asciiTheme="minorHAnsi" w:hAnsiTheme="minorHAnsi"/>
          <w:sz w:val="24"/>
          <w:szCs w:val="24"/>
        </w:rPr>
        <w:t>ip, safety and security culture</w:t>
      </w:r>
      <w:r w:rsidR="00C560F7" w:rsidRPr="00ED0765">
        <w:rPr>
          <w:rFonts w:asciiTheme="minorHAnsi" w:hAnsiTheme="minorHAnsi"/>
          <w:sz w:val="24"/>
          <w:szCs w:val="24"/>
        </w:rPr>
        <w:t>.</w:t>
      </w:r>
      <w:r w:rsidR="00B272AD" w:rsidRPr="00ED0765">
        <w:rPr>
          <w:rFonts w:asciiTheme="minorHAnsi" w:hAnsiTheme="minorHAnsi"/>
          <w:sz w:val="24"/>
          <w:szCs w:val="24"/>
        </w:rPr>
        <w:t xml:space="preserve"> </w:t>
      </w:r>
      <w:r w:rsidR="00FC55D6" w:rsidRPr="00ED0765">
        <w:rPr>
          <w:rFonts w:asciiTheme="minorHAnsi" w:hAnsiTheme="minorHAnsi"/>
          <w:sz w:val="24"/>
          <w:szCs w:val="24"/>
        </w:rPr>
        <w:t>Established corporate (NPPD) and operation organization (BNPP-1) knowledge management (KM) system for utilization of available competence and expertise.</w:t>
      </w:r>
    </w:p>
    <w:p w14:paraId="7E7C9DD6" w14:textId="77777777" w:rsidR="001176B8" w:rsidRPr="00ED0765" w:rsidRDefault="00AE71EF" w:rsidP="001176B8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Strengthened </w:t>
      </w:r>
      <w:r w:rsidR="006F4D08" w:rsidRPr="00ED0765">
        <w:rPr>
          <w:rFonts w:asciiTheme="minorHAnsi" w:hAnsiTheme="minorHAnsi"/>
          <w:sz w:val="24"/>
          <w:szCs w:val="24"/>
        </w:rPr>
        <w:t xml:space="preserve">owner’s nuclear oversight </w:t>
      </w:r>
      <w:r w:rsidRPr="00ED0765">
        <w:rPr>
          <w:rFonts w:asciiTheme="minorHAnsi" w:hAnsiTheme="minorHAnsi"/>
          <w:sz w:val="24"/>
          <w:szCs w:val="24"/>
        </w:rPr>
        <w:t xml:space="preserve">strategy and enhancement capabilities in application of nuclear oversight </w:t>
      </w:r>
      <w:r w:rsidR="006F4D08" w:rsidRPr="00ED0765">
        <w:rPr>
          <w:rFonts w:asciiTheme="minorHAnsi" w:hAnsiTheme="minorHAnsi"/>
          <w:sz w:val="24"/>
          <w:szCs w:val="24"/>
        </w:rPr>
        <w:t>functions.</w:t>
      </w:r>
    </w:p>
    <w:p w14:paraId="0DC00B37" w14:textId="77777777" w:rsidR="003610FA" w:rsidRPr="00ED0765" w:rsidRDefault="003610FA" w:rsidP="003610FA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Strengthened owner’s capabilities for successful discharging their responsibilities for safe and reliable operation of the first national NPP unit </w:t>
      </w:r>
    </w:p>
    <w:p w14:paraId="1B7AE2D2" w14:textId="77777777" w:rsidR="001621F5" w:rsidRPr="00ED0765" w:rsidRDefault="001621F5" w:rsidP="001176B8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545C61B6" w14:textId="77777777" w:rsidR="001176B8" w:rsidRPr="00ED0765" w:rsidRDefault="001176B8" w:rsidP="001176B8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Outcome</w:t>
      </w:r>
      <w:r w:rsidRPr="00ED0765">
        <w:rPr>
          <w:rFonts w:asciiTheme="minorHAnsi" w:hAnsiTheme="minorHAnsi"/>
          <w:sz w:val="24"/>
          <w:szCs w:val="24"/>
        </w:rPr>
        <w:t>:</w:t>
      </w:r>
    </w:p>
    <w:p w14:paraId="771D71A2" w14:textId="4A1EDC19" w:rsidR="001176B8" w:rsidRDefault="001176B8" w:rsidP="001E130E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The first NPP unit at Bushehr has been successfully commissioned, reached full (100%) power on 3 September 2012, turned-over to the owner in summer 2013, and proceeds with its </w:t>
      </w:r>
      <w:r w:rsidR="00D55232">
        <w:rPr>
          <w:rFonts w:asciiTheme="minorHAnsi" w:hAnsiTheme="minorHAnsi"/>
          <w:sz w:val="24"/>
          <w:szCs w:val="24"/>
        </w:rPr>
        <w:t xml:space="preserve">initial </w:t>
      </w:r>
      <w:r w:rsidRPr="00ED0765">
        <w:rPr>
          <w:rFonts w:asciiTheme="minorHAnsi" w:hAnsiTheme="minorHAnsi"/>
          <w:sz w:val="24"/>
          <w:szCs w:val="24"/>
        </w:rPr>
        <w:t>operation, producing electricity to alleviate high electricity demand in the country and with large spin-off effects to the whole national infrastructure.</w:t>
      </w:r>
    </w:p>
    <w:p w14:paraId="3F9D50FB" w14:textId="77777777" w:rsidR="009F4724" w:rsidRDefault="009F4724" w:rsidP="009F4724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11389437" w14:textId="038E3003" w:rsidR="009F4724" w:rsidRDefault="00F61B4B" w:rsidP="009F4724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The following are the </w:t>
      </w:r>
      <w:r w:rsidR="009F4724">
        <w:rPr>
          <w:rFonts w:asciiTheme="minorHAnsi" w:hAnsiTheme="minorHAnsi"/>
          <w:b/>
          <w:sz w:val="24"/>
          <w:szCs w:val="24"/>
        </w:rPr>
        <w:t>assistance to BNPP-1 in progress (under IRA2013):</w:t>
      </w:r>
    </w:p>
    <w:p w14:paraId="429AAC17" w14:textId="77777777" w:rsidR="009F4724" w:rsidRDefault="009F472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IAEA OSART mission at the end of 2017 (preparatory visit in Nov. 2016)</w:t>
      </w:r>
    </w:p>
    <w:p w14:paraId="42C8CB57" w14:textId="77777777" w:rsidR="009F4724" w:rsidRDefault="009F472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Development of ageing management programme</w:t>
      </w:r>
    </w:p>
    <w:p w14:paraId="2C2DB268" w14:textId="77777777" w:rsidR="009F4724" w:rsidRDefault="009F472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Improvement of training system for maintenance and repair personnel, including maintenance training </w:t>
      </w:r>
      <w:proofErr w:type="spellStart"/>
      <w:r>
        <w:rPr>
          <w:rFonts w:asciiTheme="minorHAnsi" w:hAnsiTheme="minorHAnsi"/>
          <w:sz w:val="24"/>
          <w:szCs w:val="24"/>
        </w:rPr>
        <w:t>center</w:t>
      </w:r>
      <w:proofErr w:type="spellEnd"/>
    </w:p>
    <w:p w14:paraId="70220589" w14:textId="77777777" w:rsidR="009F4724" w:rsidRDefault="009F472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Implementation of Severe Accident Management (SAM) pro</w:t>
      </w:r>
      <w:r w:rsidR="00B83D84">
        <w:rPr>
          <w:rFonts w:asciiTheme="minorHAnsi" w:hAnsiTheme="minorHAnsi"/>
          <w:sz w:val="24"/>
          <w:szCs w:val="24"/>
        </w:rPr>
        <w:t>gramme, including severe accident (SA) analyses and scenarios</w:t>
      </w:r>
    </w:p>
    <w:p w14:paraId="643B5D17" w14:textId="77777777" w:rsidR="00B83D84" w:rsidRDefault="00B83D8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off-site emergency preparedness and response</w:t>
      </w:r>
    </w:p>
    <w:p w14:paraId="546F332A" w14:textId="77777777" w:rsidR="00B83D84" w:rsidRDefault="00B83D8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Strengthening environmental monitoring programme, including purchase and use of suitable software</w:t>
      </w:r>
    </w:p>
    <w:p w14:paraId="490ABD1B" w14:textId="77777777" w:rsidR="00B83D84" w:rsidRDefault="00B83D8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Improvement of the Integrated Management System (IMS), including safety requirements for compliance by services providers</w:t>
      </w:r>
    </w:p>
    <w:p w14:paraId="3C058F66" w14:textId="77777777" w:rsidR="00B83D84" w:rsidRDefault="00B83D84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Application of new IAEA standards in modification of Main Control Room (MCR)</w:t>
      </w:r>
    </w:p>
    <w:p w14:paraId="3C5B06AF" w14:textId="77777777" w:rsidR="00B83D84" w:rsidRDefault="00FC021E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Safety aspects of fresh and spent fuel engineering, including dray spent fuel storage at the site</w:t>
      </w:r>
    </w:p>
    <w:p w14:paraId="0B1C3E1F" w14:textId="77777777" w:rsidR="00FC021E" w:rsidRDefault="00FC021E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Modern methods of condition based maintenance for optimizing maintenance and repair programmes</w:t>
      </w:r>
    </w:p>
    <w:p w14:paraId="5587D6DE" w14:textId="77777777" w:rsidR="00FC021E" w:rsidRDefault="00FC021E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Improvement of the procurement system for goods and services</w:t>
      </w:r>
    </w:p>
    <w:p w14:paraId="574AF7E9" w14:textId="77777777" w:rsidR="00FC021E" w:rsidRPr="009F4724" w:rsidRDefault="00FC021E" w:rsidP="009F4724">
      <w:pPr>
        <w:pStyle w:val="NoSpacing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Competency models, methods and assessment tools for effective personnel competence and performance management</w:t>
      </w:r>
    </w:p>
    <w:p w14:paraId="721589BF" w14:textId="77777777" w:rsidR="009F4724" w:rsidRPr="00ED0765" w:rsidRDefault="009F4724" w:rsidP="001E130E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3F525800" w14:textId="77777777" w:rsidR="00804AC9" w:rsidRPr="00ED0765" w:rsidRDefault="00804AC9" w:rsidP="001E130E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5506DC54" w14:textId="77777777" w:rsidR="00804AC9" w:rsidRDefault="007E63AA" w:rsidP="001E130E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Areas for assistance on</w:t>
      </w:r>
      <w:r w:rsidR="00804AC9" w:rsidRPr="00ED0765">
        <w:rPr>
          <w:rFonts w:asciiTheme="minorHAnsi" w:hAnsiTheme="minorHAnsi"/>
          <w:b/>
          <w:sz w:val="24"/>
          <w:szCs w:val="24"/>
        </w:rPr>
        <w:t xml:space="preserve"> Design and Construction of Two New PWR units in Bushehr with Emphasis on Safety</w:t>
      </w:r>
      <w:r>
        <w:rPr>
          <w:rFonts w:asciiTheme="minorHAnsi" w:hAnsiTheme="minorHAnsi"/>
          <w:b/>
          <w:sz w:val="24"/>
          <w:szCs w:val="24"/>
        </w:rPr>
        <w:t xml:space="preserve"> in progress</w:t>
      </w:r>
      <w:r w:rsidR="00804AC9" w:rsidRPr="00ED0765">
        <w:rPr>
          <w:rFonts w:asciiTheme="minorHAnsi" w:hAnsiTheme="minorHAnsi"/>
          <w:b/>
          <w:sz w:val="24"/>
          <w:szCs w:val="24"/>
        </w:rPr>
        <w:t xml:space="preserve"> (</w:t>
      </w:r>
      <w:r w:rsidR="00942CE7">
        <w:rPr>
          <w:rFonts w:asciiTheme="minorHAnsi" w:hAnsiTheme="minorHAnsi"/>
          <w:b/>
          <w:sz w:val="24"/>
          <w:szCs w:val="24"/>
        </w:rPr>
        <w:t xml:space="preserve">under </w:t>
      </w:r>
      <w:r w:rsidR="00804AC9" w:rsidRPr="00ED0765">
        <w:rPr>
          <w:rFonts w:asciiTheme="minorHAnsi" w:hAnsiTheme="minorHAnsi"/>
          <w:b/>
          <w:sz w:val="24"/>
          <w:szCs w:val="24"/>
        </w:rPr>
        <w:t>IRA2012):</w:t>
      </w:r>
    </w:p>
    <w:p w14:paraId="033F64AD" w14:textId="77777777" w:rsidR="00F75DCE" w:rsidRDefault="00FC00CD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FC00CD">
        <w:rPr>
          <w:rFonts w:asciiTheme="minorHAnsi" w:hAnsiTheme="minorHAnsi"/>
          <w:sz w:val="24"/>
          <w:szCs w:val="24"/>
        </w:rPr>
        <w:t>Development of comprehensive</w:t>
      </w:r>
      <w:r>
        <w:rPr>
          <w:rFonts w:asciiTheme="minorHAnsi" w:hAnsiTheme="minorHAnsi"/>
          <w:sz w:val="24"/>
          <w:szCs w:val="24"/>
        </w:rPr>
        <w:t xml:space="preserve"> model for effective project management</w:t>
      </w:r>
    </w:p>
    <w:p w14:paraId="3205F260" w14:textId="77777777" w:rsidR="00FC00CD" w:rsidRDefault="00FC00CD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Group training programme on pre-construction management (completed in 2015 in China) and on construction and commissioning management (scheduled for 2016 in Republic of Korea)</w:t>
      </w:r>
    </w:p>
    <w:p w14:paraId="29302931" w14:textId="77777777" w:rsidR="00B91E7D" w:rsidRDefault="00B91E7D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Knowledge management, design information management and configuration management throughout the whole NPP life cycle</w:t>
      </w:r>
    </w:p>
    <w:p w14:paraId="37A8FEE3" w14:textId="77777777" w:rsidR="00FC00CD" w:rsidRDefault="00FC00CD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Risk management during preconstruction and construction phase of the project</w:t>
      </w:r>
    </w:p>
    <w:p w14:paraId="69472C3E" w14:textId="77777777" w:rsidR="00FC00CD" w:rsidRDefault="00FC00CD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Development of local industry utilization plan</w:t>
      </w:r>
    </w:p>
    <w:p w14:paraId="6A79484C" w14:textId="77777777" w:rsidR="00FC00CD" w:rsidRDefault="00FC00CD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Public information and awareness programme development</w:t>
      </w:r>
      <w:r w:rsidR="00801851">
        <w:rPr>
          <w:rFonts w:asciiTheme="minorHAnsi" w:hAnsiTheme="minorHAnsi"/>
          <w:sz w:val="24"/>
          <w:szCs w:val="24"/>
        </w:rPr>
        <w:t xml:space="preserve"> and stakeholder involvement plan</w:t>
      </w:r>
    </w:p>
    <w:p w14:paraId="49D77C87" w14:textId="77777777" w:rsidR="00801851" w:rsidRDefault="00801851" w:rsidP="00F75DCE">
      <w:pPr>
        <w:pStyle w:val="NoSpacing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selected training materials for the new units</w:t>
      </w:r>
    </w:p>
    <w:p w14:paraId="6AD1169D" w14:textId="77777777" w:rsidR="004F00A3" w:rsidRDefault="004F00A3" w:rsidP="00801851">
      <w:pPr>
        <w:pStyle w:val="NoSpacing"/>
        <w:ind w:left="360"/>
        <w:jc w:val="both"/>
        <w:rPr>
          <w:rFonts w:asciiTheme="minorHAnsi" w:hAnsiTheme="minorHAnsi"/>
          <w:sz w:val="24"/>
          <w:szCs w:val="24"/>
        </w:rPr>
      </w:pPr>
    </w:p>
    <w:p w14:paraId="725D817D" w14:textId="77777777" w:rsidR="00801851" w:rsidRPr="00FC00CD" w:rsidRDefault="00801851" w:rsidP="00801851">
      <w:pPr>
        <w:pStyle w:val="NoSpacing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Note: requests for additional areas of assistance </w:t>
      </w:r>
      <w:r w:rsidR="004F00A3">
        <w:rPr>
          <w:rFonts w:asciiTheme="minorHAnsi" w:hAnsiTheme="minorHAnsi"/>
          <w:sz w:val="24"/>
          <w:szCs w:val="24"/>
        </w:rPr>
        <w:t xml:space="preserve">are </w:t>
      </w:r>
      <w:r>
        <w:rPr>
          <w:rFonts w:asciiTheme="minorHAnsi" w:hAnsiTheme="minorHAnsi"/>
          <w:sz w:val="24"/>
          <w:szCs w:val="24"/>
        </w:rPr>
        <w:t>expected.</w:t>
      </w:r>
    </w:p>
    <w:p w14:paraId="083D8D61" w14:textId="77777777" w:rsidR="00804AC9" w:rsidRPr="00ED0765" w:rsidRDefault="00804AC9" w:rsidP="001E130E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14:paraId="3C65642E" w14:textId="77777777" w:rsidR="001621F5" w:rsidRPr="00ED0765" w:rsidRDefault="001621F5" w:rsidP="001176B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8C11D6B" w14:textId="77777777" w:rsidR="001176B8" w:rsidRPr="00ED0765" w:rsidRDefault="00C645B5" w:rsidP="001176B8">
      <w:pPr>
        <w:pStyle w:val="NoSpacing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Success factors</w:t>
      </w:r>
      <w:r w:rsidR="00121529" w:rsidRPr="00ED0765">
        <w:rPr>
          <w:rFonts w:asciiTheme="minorHAnsi" w:hAnsiTheme="minorHAnsi"/>
          <w:b/>
          <w:sz w:val="24"/>
          <w:szCs w:val="24"/>
        </w:rPr>
        <w:t>/Lessons learned</w:t>
      </w:r>
      <w:r w:rsidRPr="00ED0765">
        <w:rPr>
          <w:rFonts w:asciiTheme="minorHAnsi" w:hAnsiTheme="minorHAnsi"/>
          <w:b/>
          <w:sz w:val="24"/>
          <w:szCs w:val="24"/>
        </w:rPr>
        <w:t>:</w:t>
      </w:r>
    </w:p>
    <w:p w14:paraId="43924A24" w14:textId="77777777" w:rsidR="00C645B5" w:rsidRPr="00ED0765" w:rsidRDefault="00C645B5" w:rsidP="007A4218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Significantly strengthened capabilities of the counterpart (NPPD and BNPP-1) in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 xml:space="preserve">continuous improvement of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>project management system to promote and s</w:t>
      </w:r>
      <w:r w:rsidR="002562C1" w:rsidRPr="00ED0765">
        <w:rPr>
          <w:rFonts w:asciiTheme="minorHAnsi" w:hAnsiTheme="minorHAnsi"/>
          <w:sz w:val="24"/>
          <w:szCs w:val="24"/>
        </w:rPr>
        <w:t>upport strong ownership,</w:t>
      </w:r>
      <w:r w:rsidRPr="00ED0765">
        <w:rPr>
          <w:rFonts w:asciiTheme="minorHAnsi" w:hAnsiTheme="minorHAnsi"/>
          <w:sz w:val="24"/>
          <w:szCs w:val="24"/>
        </w:rPr>
        <w:t xml:space="preserve"> strong Government commitment with high level of financial GCS allocations (including for a cost-free expert</w:t>
      </w:r>
      <w:r w:rsidR="00FC2D5E" w:rsidRPr="00ED0765">
        <w:rPr>
          <w:rFonts w:asciiTheme="minorHAnsi" w:hAnsiTheme="minorHAnsi"/>
          <w:sz w:val="24"/>
          <w:szCs w:val="24"/>
        </w:rPr>
        <w:t xml:space="preserve"> to support projects implementation</w:t>
      </w:r>
      <w:r w:rsidRPr="00ED0765">
        <w:rPr>
          <w:rFonts w:asciiTheme="minorHAnsi" w:hAnsiTheme="minorHAnsi"/>
          <w:sz w:val="24"/>
          <w:szCs w:val="24"/>
        </w:rPr>
        <w:t xml:space="preserve">), </w:t>
      </w:r>
      <w:r w:rsidR="002562C1" w:rsidRPr="00ED0765">
        <w:rPr>
          <w:rFonts w:asciiTheme="minorHAnsi" w:hAnsiTheme="minorHAnsi"/>
          <w:sz w:val="24"/>
          <w:szCs w:val="24"/>
        </w:rPr>
        <w:t xml:space="preserve">demonstrated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="002562C1" w:rsidRPr="00ED0765">
        <w:rPr>
          <w:rFonts w:asciiTheme="minorHAnsi" w:hAnsiTheme="minorHAnsi"/>
          <w:sz w:val="24"/>
          <w:szCs w:val="24"/>
        </w:rPr>
        <w:t>counterparts’ ability to absorb assistance provided.</w:t>
      </w:r>
    </w:p>
    <w:p w14:paraId="5E3330BA" w14:textId="7DD0A713" w:rsidR="007D0972" w:rsidRPr="00ED0765" w:rsidRDefault="00702788" w:rsidP="007A4218">
      <w:pPr>
        <w:pStyle w:val="NoSpacing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The management approach used during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 xml:space="preserve">implementation of projects included flexibility in planning and adjustment of work plan activities to reflect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>progress of BNPP-1</w:t>
      </w:r>
      <w:r w:rsidR="00194631" w:rsidRPr="00ED0765">
        <w:rPr>
          <w:rFonts w:asciiTheme="minorHAnsi" w:hAnsiTheme="minorHAnsi"/>
          <w:sz w:val="24"/>
          <w:szCs w:val="24"/>
        </w:rPr>
        <w:t xml:space="preserve"> project im</w:t>
      </w:r>
      <w:r w:rsidR="002562C1" w:rsidRPr="00ED0765">
        <w:rPr>
          <w:rFonts w:asciiTheme="minorHAnsi" w:hAnsiTheme="minorHAnsi"/>
          <w:sz w:val="24"/>
          <w:szCs w:val="24"/>
        </w:rPr>
        <w:t>plementation and evolving needs</w:t>
      </w:r>
      <w:r w:rsidR="00194631" w:rsidRPr="00ED0765">
        <w:rPr>
          <w:rFonts w:asciiTheme="minorHAnsi" w:hAnsiTheme="minorHAnsi"/>
          <w:sz w:val="24"/>
          <w:szCs w:val="24"/>
        </w:rPr>
        <w:t xml:space="preserve"> of the end-user</w:t>
      </w:r>
      <w:r w:rsidR="004F00A3">
        <w:rPr>
          <w:rFonts w:asciiTheme="minorHAnsi" w:hAnsiTheme="minorHAnsi"/>
          <w:sz w:val="24"/>
          <w:szCs w:val="24"/>
        </w:rPr>
        <w:t>.  Specifically, the following practices contributed to the success of the project: E</w:t>
      </w:r>
      <w:r w:rsidR="002562C1" w:rsidRPr="00ED0765">
        <w:rPr>
          <w:rFonts w:asciiTheme="minorHAnsi" w:hAnsiTheme="minorHAnsi"/>
          <w:sz w:val="24"/>
          <w:szCs w:val="24"/>
        </w:rPr>
        <w:t>laboration of detail</w:t>
      </w:r>
      <w:r w:rsidR="004F00A3">
        <w:rPr>
          <w:rFonts w:asciiTheme="minorHAnsi" w:hAnsiTheme="minorHAnsi"/>
          <w:sz w:val="24"/>
          <w:szCs w:val="24"/>
        </w:rPr>
        <w:t>ed</w:t>
      </w:r>
      <w:r w:rsidR="002562C1" w:rsidRPr="00ED0765">
        <w:rPr>
          <w:rFonts w:asciiTheme="minorHAnsi" w:hAnsiTheme="minorHAnsi"/>
          <w:sz w:val="24"/>
          <w:szCs w:val="24"/>
        </w:rPr>
        <w:t xml:space="preserve"> action plans for implemen</w:t>
      </w:r>
      <w:r w:rsidR="00E6740A" w:rsidRPr="00ED0765">
        <w:rPr>
          <w:rFonts w:asciiTheme="minorHAnsi" w:hAnsiTheme="minorHAnsi"/>
          <w:sz w:val="24"/>
          <w:szCs w:val="24"/>
        </w:rPr>
        <w:t>tation of activities with assigned responsibilities for each task;</w:t>
      </w:r>
      <w:r w:rsidR="002562C1" w:rsidRPr="00ED0765">
        <w:rPr>
          <w:rFonts w:asciiTheme="minorHAnsi" w:hAnsiTheme="minorHAnsi"/>
          <w:sz w:val="24"/>
          <w:szCs w:val="24"/>
        </w:rPr>
        <w:t xml:space="preserve"> regular project coordination </w:t>
      </w:r>
      <w:r w:rsidR="009E164C" w:rsidRPr="00ED0765">
        <w:rPr>
          <w:rFonts w:asciiTheme="minorHAnsi" w:hAnsiTheme="minorHAnsi"/>
          <w:sz w:val="24"/>
          <w:szCs w:val="24"/>
        </w:rPr>
        <w:t xml:space="preserve">and review </w:t>
      </w:r>
      <w:r w:rsidR="002562C1" w:rsidRPr="00ED0765">
        <w:rPr>
          <w:rFonts w:asciiTheme="minorHAnsi" w:hAnsiTheme="minorHAnsi"/>
          <w:sz w:val="24"/>
          <w:szCs w:val="24"/>
        </w:rPr>
        <w:t>meetings, and permanent monitoring</w:t>
      </w:r>
      <w:r w:rsidR="004F00A3">
        <w:rPr>
          <w:rFonts w:asciiTheme="minorHAnsi" w:hAnsiTheme="minorHAnsi"/>
          <w:sz w:val="24"/>
          <w:szCs w:val="24"/>
        </w:rPr>
        <w:t>;</w:t>
      </w:r>
      <w:r w:rsidR="002562C1" w:rsidRPr="00ED0765">
        <w:rPr>
          <w:rFonts w:asciiTheme="minorHAnsi" w:hAnsiTheme="minorHAnsi"/>
          <w:sz w:val="24"/>
          <w:szCs w:val="24"/>
        </w:rPr>
        <w:t xml:space="preserve"> clos</w:t>
      </w:r>
      <w:r w:rsidR="009E164C" w:rsidRPr="00ED0765">
        <w:rPr>
          <w:rFonts w:asciiTheme="minorHAnsi" w:hAnsiTheme="minorHAnsi"/>
          <w:sz w:val="24"/>
          <w:szCs w:val="24"/>
        </w:rPr>
        <w:t>ed follow-up on decisions taken;</w:t>
      </w:r>
      <w:r w:rsidR="002562C1" w:rsidRPr="00ED0765">
        <w:rPr>
          <w:rFonts w:asciiTheme="minorHAnsi" w:hAnsiTheme="minorHAnsi"/>
          <w:sz w:val="24"/>
          <w:szCs w:val="24"/>
        </w:rPr>
        <w:t xml:space="preserve"> regular counterparts’ self-assessment</w:t>
      </w:r>
      <w:r w:rsidR="004F00A3">
        <w:rPr>
          <w:rFonts w:asciiTheme="minorHAnsi" w:hAnsiTheme="minorHAnsi"/>
          <w:sz w:val="24"/>
          <w:szCs w:val="24"/>
        </w:rPr>
        <w:t>;</w:t>
      </w:r>
      <w:r w:rsidR="002562C1" w:rsidRPr="00ED0765">
        <w:rPr>
          <w:rFonts w:asciiTheme="minorHAnsi" w:hAnsiTheme="minorHAnsi"/>
          <w:sz w:val="24"/>
          <w:szCs w:val="24"/>
        </w:rPr>
        <w:t xml:space="preserve"> and tracking</w:t>
      </w:r>
      <w:r w:rsidR="004F00A3">
        <w:rPr>
          <w:rFonts w:asciiTheme="minorHAnsi" w:hAnsiTheme="minorHAnsi"/>
          <w:sz w:val="24"/>
          <w:szCs w:val="24"/>
        </w:rPr>
        <w:t xml:space="preserve"> the</w:t>
      </w:r>
      <w:r w:rsidR="002562C1" w:rsidRPr="00ED0765">
        <w:rPr>
          <w:rFonts w:asciiTheme="minorHAnsi" w:hAnsiTheme="minorHAnsi"/>
          <w:sz w:val="24"/>
          <w:szCs w:val="24"/>
        </w:rPr>
        <w:t xml:space="preserve"> implementation of recommendations.</w:t>
      </w:r>
      <w:r w:rsidR="00E6740A" w:rsidRPr="00ED0765">
        <w:rPr>
          <w:rFonts w:asciiTheme="minorHAnsi" w:hAnsiTheme="minorHAnsi"/>
          <w:sz w:val="24"/>
          <w:szCs w:val="24"/>
        </w:rPr>
        <w:t xml:space="preserve"> This management approach is </w:t>
      </w:r>
      <w:r w:rsidR="004F00A3">
        <w:rPr>
          <w:rFonts w:asciiTheme="minorHAnsi" w:hAnsiTheme="minorHAnsi"/>
          <w:sz w:val="24"/>
          <w:szCs w:val="24"/>
        </w:rPr>
        <w:t>founded on the</w:t>
      </w:r>
      <w:r w:rsidR="00E6740A" w:rsidRPr="00ED0765">
        <w:rPr>
          <w:rFonts w:asciiTheme="minorHAnsi" w:hAnsiTheme="minorHAnsi"/>
          <w:sz w:val="24"/>
          <w:szCs w:val="24"/>
        </w:rPr>
        <w:t xml:space="preserve"> proactive attitude of all project team members and responsible IAEA staff, supported by the respective SHs and DIRs in TC and TDs, with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="00E6740A" w:rsidRPr="00ED0765">
        <w:rPr>
          <w:rFonts w:asciiTheme="minorHAnsi" w:hAnsiTheme="minorHAnsi"/>
          <w:sz w:val="24"/>
          <w:szCs w:val="24"/>
        </w:rPr>
        <w:t xml:space="preserve">strong </w:t>
      </w:r>
      <w:r w:rsidR="0043021D" w:rsidRPr="00ED0765">
        <w:rPr>
          <w:rFonts w:asciiTheme="minorHAnsi" w:hAnsiTheme="minorHAnsi"/>
          <w:sz w:val="24"/>
          <w:szCs w:val="24"/>
        </w:rPr>
        <w:t>assistance/</w:t>
      </w:r>
      <w:r w:rsidR="00571618" w:rsidRPr="00ED0765">
        <w:rPr>
          <w:rFonts w:asciiTheme="minorHAnsi" w:hAnsiTheme="minorHAnsi"/>
          <w:sz w:val="24"/>
          <w:szCs w:val="24"/>
        </w:rPr>
        <w:t>support</w:t>
      </w:r>
      <w:r w:rsidR="00E6740A" w:rsidRPr="00ED0765">
        <w:rPr>
          <w:rFonts w:asciiTheme="minorHAnsi" w:hAnsiTheme="minorHAnsi"/>
          <w:sz w:val="24"/>
          <w:szCs w:val="24"/>
        </w:rPr>
        <w:t xml:space="preserve"> of the Special Project Coordinator.</w:t>
      </w:r>
    </w:p>
    <w:p w14:paraId="6CE12DC1" w14:textId="77777777" w:rsidR="001621F5" w:rsidRPr="00ED0765" w:rsidRDefault="001621F5" w:rsidP="001176B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5A52B52" w14:textId="77777777" w:rsidR="00C645B5" w:rsidRPr="00ED0765" w:rsidRDefault="00571618" w:rsidP="001176B8">
      <w:pPr>
        <w:pStyle w:val="NoSpacing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Challenges/areas for further improvement:</w:t>
      </w:r>
    </w:p>
    <w:p w14:paraId="7C7B92F8" w14:textId="77777777" w:rsidR="00571618" w:rsidRPr="00ED0765" w:rsidRDefault="00571618" w:rsidP="007A4218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Urgent need to overcome existing difficulties in recruiting qualified and experienced external experts for field missions, as well as hosting scientific and techn</w:t>
      </w:r>
      <w:r w:rsidR="00AB575B">
        <w:rPr>
          <w:rFonts w:asciiTheme="minorHAnsi" w:hAnsiTheme="minorHAnsi"/>
          <w:sz w:val="24"/>
          <w:szCs w:val="24"/>
        </w:rPr>
        <w:t xml:space="preserve">ical visits of Iranian experts </w:t>
      </w:r>
      <w:r w:rsidRPr="00ED0765">
        <w:rPr>
          <w:rFonts w:asciiTheme="minorHAnsi" w:hAnsiTheme="minorHAnsi"/>
          <w:sz w:val="24"/>
          <w:szCs w:val="24"/>
        </w:rPr>
        <w:t xml:space="preserve">to relevant NPPs and organizations in the MS with mature nuclear power programme. </w:t>
      </w:r>
    </w:p>
    <w:p w14:paraId="2BC23E6A" w14:textId="77777777" w:rsidR="00571618" w:rsidRPr="00ED0765" w:rsidRDefault="00571618" w:rsidP="00571618">
      <w:pPr>
        <w:pStyle w:val="NoSpacing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Enhancement of the counterparts’ capacity building efforts by a broader exposure to the international safety best practices and approaches.</w:t>
      </w:r>
    </w:p>
    <w:p w14:paraId="55E127F9" w14:textId="52C7D065" w:rsidR="004F00A3" w:rsidRDefault="002D0CB9" w:rsidP="007A4218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Timely submission through official channels to the IAEA Nomination Forms for participation of </w:t>
      </w:r>
      <w:r w:rsidR="004F00A3">
        <w:rPr>
          <w:rFonts w:asciiTheme="minorHAnsi" w:hAnsiTheme="minorHAnsi"/>
          <w:sz w:val="24"/>
          <w:szCs w:val="24"/>
        </w:rPr>
        <w:t>national experts</w:t>
      </w:r>
      <w:r w:rsidR="004F00A3" w:rsidRPr="00ED0765">
        <w:rPr>
          <w:rFonts w:asciiTheme="minorHAnsi" w:hAnsiTheme="minorHAnsi"/>
          <w:sz w:val="24"/>
          <w:szCs w:val="24"/>
        </w:rPr>
        <w:t xml:space="preserve"> </w:t>
      </w:r>
      <w:r w:rsidRPr="00ED0765">
        <w:rPr>
          <w:rFonts w:asciiTheme="minorHAnsi" w:hAnsiTheme="minorHAnsi"/>
          <w:sz w:val="24"/>
          <w:szCs w:val="24"/>
        </w:rPr>
        <w:t xml:space="preserve">in activities </w:t>
      </w:r>
      <w:r w:rsidR="004F00A3" w:rsidRPr="00ED0765">
        <w:rPr>
          <w:rFonts w:asciiTheme="minorHAnsi" w:hAnsiTheme="minorHAnsi"/>
          <w:sz w:val="24"/>
          <w:szCs w:val="24"/>
        </w:rPr>
        <w:t>outside Iran</w:t>
      </w:r>
      <w:r w:rsidR="004F00A3">
        <w:rPr>
          <w:rFonts w:asciiTheme="minorHAnsi" w:hAnsiTheme="minorHAnsi"/>
          <w:sz w:val="24"/>
          <w:szCs w:val="24"/>
        </w:rPr>
        <w:t xml:space="preserve"> as defined in the </w:t>
      </w:r>
      <w:proofErr w:type="spellStart"/>
      <w:r w:rsidR="004F00A3">
        <w:rPr>
          <w:rFonts w:asciiTheme="minorHAnsi" w:hAnsiTheme="minorHAnsi"/>
          <w:sz w:val="24"/>
          <w:szCs w:val="24"/>
        </w:rPr>
        <w:t>workplan</w:t>
      </w:r>
      <w:proofErr w:type="spellEnd"/>
      <w:r w:rsidRPr="00ED0765">
        <w:rPr>
          <w:rFonts w:asciiTheme="minorHAnsi" w:hAnsiTheme="minorHAnsi"/>
          <w:sz w:val="24"/>
          <w:szCs w:val="24"/>
        </w:rPr>
        <w:t>, and for SV/</w:t>
      </w:r>
      <w:r w:rsidR="004F00A3" w:rsidRPr="00ED0765">
        <w:rPr>
          <w:rFonts w:asciiTheme="minorHAnsi" w:hAnsiTheme="minorHAnsi"/>
          <w:sz w:val="24"/>
          <w:szCs w:val="24"/>
        </w:rPr>
        <w:t>F</w:t>
      </w:r>
      <w:r w:rsidR="004F00A3">
        <w:rPr>
          <w:rFonts w:asciiTheme="minorHAnsi" w:hAnsiTheme="minorHAnsi"/>
          <w:sz w:val="24"/>
          <w:szCs w:val="24"/>
        </w:rPr>
        <w:t>ellowship</w:t>
      </w:r>
      <w:r w:rsidR="004F00A3" w:rsidRPr="00ED0765">
        <w:rPr>
          <w:rFonts w:asciiTheme="minorHAnsi" w:hAnsiTheme="minorHAnsi"/>
          <w:sz w:val="24"/>
          <w:szCs w:val="24"/>
        </w:rPr>
        <w:t>s</w:t>
      </w:r>
      <w:r w:rsidRPr="00ED0765">
        <w:rPr>
          <w:rFonts w:asciiTheme="minorHAnsi" w:hAnsiTheme="minorHAnsi"/>
          <w:sz w:val="24"/>
          <w:szCs w:val="24"/>
        </w:rPr>
        <w:t xml:space="preserve">. </w:t>
      </w:r>
    </w:p>
    <w:p w14:paraId="39C74F87" w14:textId="77777777" w:rsidR="007F3171" w:rsidRPr="00ED0765" w:rsidRDefault="002D0CB9" w:rsidP="007A4218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Timely submission to the counterparts</w:t>
      </w:r>
      <w:r w:rsidR="00837910" w:rsidRPr="00ED0765">
        <w:rPr>
          <w:rFonts w:asciiTheme="minorHAnsi" w:hAnsiTheme="minorHAnsi"/>
          <w:sz w:val="24"/>
          <w:szCs w:val="24"/>
        </w:rPr>
        <w:t xml:space="preserve"> of the End-of-Mission </w:t>
      </w:r>
      <w:r w:rsidRPr="00ED0765">
        <w:rPr>
          <w:rFonts w:asciiTheme="minorHAnsi" w:hAnsiTheme="minorHAnsi"/>
          <w:sz w:val="24"/>
          <w:szCs w:val="24"/>
        </w:rPr>
        <w:t>Reports (EMR) of completed work plan activities.</w:t>
      </w:r>
    </w:p>
    <w:p w14:paraId="2E42C03E" w14:textId="77777777" w:rsidR="00A578DF" w:rsidRDefault="0055244F" w:rsidP="00AC1394">
      <w:pPr>
        <w:pStyle w:val="NoSpacing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A578DF">
        <w:rPr>
          <w:rFonts w:asciiTheme="minorHAnsi" w:hAnsiTheme="minorHAnsi"/>
          <w:sz w:val="24"/>
          <w:szCs w:val="24"/>
        </w:rPr>
        <w:t>Further strengthening the</w:t>
      </w:r>
      <w:r w:rsidR="00457A11" w:rsidRPr="00A578DF">
        <w:rPr>
          <w:rFonts w:asciiTheme="minorHAnsi" w:hAnsiTheme="minorHAnsi"/>
          <w:sz w:val="24"/>
          <w:szCs w:val="24"/>
        </w:rPr>
        <w:t xml:space="preserve"> </w:t>
      </w:r>
      <w:r w:rsidR="00A578DF" w:rsidRPr="00A578DF">
        <w:rPr>
          <w:rFonts w:asciiTheme="minorHAnsi" w:hAnsiTheme="minorHAnsi"/>
          <w:sz w:val="24"/>
          <w:szCs w:val="24"/>
        </w:rPr>
        <w:t xml:space="preserve">“package” approach in the </w:t>
      </w:r>
      <w:r w:rsidR="00A578DF">
        <w:rPr>
          <w:rFonts w:asciiTheme="minorHAnsi" w:hAnsiTheme="minorHAnsi"/>
          <w:sz w:val="24"/>
          <w:szCs w:val="24"/>
        </w:rPr>
        <w:t>BNPP rel</w:t>
      </w:r>
      <w:r w:rsidR="00A578DF" w:rsidRPr="00A578DF">
        <w:rPr>
          <w:rFonts w:asciiTheme="minorHAnsi" w:hAnsiTheme="minorHAnsi"/>
          <w:sz w:val="24"/>
          <w:szCs w:val="24"/>
        </w:rPr>
        <w:t xml:space="preserve">ated </w:t>
      </w:r>
      <w:r w:rsidR="00A578DF">
        <w:rPr>
          <w:rFonts w:asciiTheme="minorHAnsi" w:hAnsiTheme="minorHAnsi"/>
          <w:sz w:val="24"/>
          <w:szCs w:val="24"/>
        </w:rPr>
        <w:t xml:space="preserve">TC </w:t>
      </w:r>
      <w:r w:rsidRPr="00A578DF">
        <w:rPr>
          <w:rFonts w:asciiTheme="minorHAnsi" w:hAnsiTheme="minorHAnsi"/>
          <w:sz w:val="24"/>
          <w:szCs w:val="24"/>
        </w:rPr>
        <w:t xml:space="preserve">assistance to </w:t>
      </w:r>
      <w:r w:rsidR="00A578DF">
        <w:rPr>
          <w:rFonts w:asciiTheme="minorHAnsi" w:hAnsiTheme="minorHAnsi"/>
          <w:sz w:val="24"/>
          <w:szCs w:val="24"/>
        </w:rPr>
        <w:t xml:space="preserve">the respective </w:t>
      </w:r>
      <w:r w:rsidRPr="00A578DF">
        <w:rPr>
          <w:rFonts w:asciiTheme="minorHAnsi" w:hAnsiTheme="minorHAnsi"/>
          <w:sz w:val="24"/>
          <w:szCs w:val="24"/>
        </w:rPr>
        <w:t xml:space="preserve">counterparts (NPPD, INRA and INWM) </w:t>
      </w:r>
      <w:r w:rsidR="00A578DF">
        <w:rPr>
          <w:rFonts w:asciiTheme="minorHAnsi" w:hAnsiTheme="minorHAnsi"/>
          <w:sz w:val="24"/>
          <w:szCs w:val="24"/>
        </w:rPr>
        <w:t xml:space="preserve">in </w:t>
      </w:r>
      <w:r w:rsidR="004F00A3">
        <w:rPr>
          <w:rFonts w:asciiTheme="minorHAnsi" w:hAnsiTheme="minorHAnsi"/>
          <w:sz w:val="24"/>
          <w:szCs w:val="24"/>
        </w:rPr>
        <w:t xml:space="preserve">an </w:t>
      </w:r>
      <w:r w:rsidR="00A578DF">
        <w:rPr>
          <w:rFonts w:asciiTheme="minorHAnsi" w:hAnsiTheme="minorHAnsi"/>
          <w:sz w:val="24"/>
          <w:szCs w:val="24"/>
        </w:rPr>
        <w:t>integrated manner.</w:t>
      </w:r>
    </w:p>
    <w:p w14:paraId="51D5C7F7" w14:textId="77777777" w:rsidR="004C7FA6" w:rsidRPr="00A578DF" w:rsidRDefault="004C7FA6" w:rsidP="007A4218">
      <w:pPr>
        <w:pStyle w:val="NoSpacing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A578DF">
        <w:rPr>
          <w:rFonts w:asciiTheme="minorHAnsi" w:hAnsiTheme="minorHAnsi"/>
          <w:sz w:val="24"/>
          <w:szCs w:val="24"/>
        </w:rPr>
        <w:t>Corporate KM system/portal to be strengthened to serve for retention and utilization of available knowledge, competence and expertise.</w:t>
      </w:r>
    </w:p>
    <w:p w14:paraId="1165267A" w14:textId="56929B11" w:rsidR="00585ACE" w:rsidRPr="00ED0765" w:rsidRDefault="00585ACE" w:rsidP="00571618">
      <w:pPr>
        <w:pStyle w:val="NoSpacing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Utilization of the video-conference approach for regular coordination between the respective project team members.</w:t>
      </w:r>
    </w:p>
    <w:p w14:paraId="7081BE54" w14:textId="77777777" w:rsidR="00571618" w:rsidRPr="00ED0765" w:rsidRDefault="00571618" w:rsidP="001176B8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3C6F9C92" w14:textId="77777777" w:rsidR="009E3DFC" w:rsidRPr="00ED0765" w:rsidRDefault="00865276" w:rsidP="00425A6C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I</w:t>
      </w:r>
      <w:r w:rsidR="00425A6C" w:rsidRPr="00ED0765">
        <w:rPr>
          <w:rFonts w:asciiTheme="minorHAnsi" w:hAnsiTheme="minorHAnsi"/>
          <w:b/>
          <w:sz w:val="24"/>
          <w:szCs w:val="24"/>
        </w:rPr>
        <w:t xml:space="preserve">NRA </w:t>
      </w:r>
      <w:r w:rsidR="00425A6C" w:rsidRPr="00ED0765">
        <w:rPr>
          <w:rFonts w:asciiTheme="minorHAnsi" w:hAnsiTheme="minorHAnsi"/>
          <w:sz w:val="24"/>
          <w:szCs w:val="24"/>
        </w:rPr>
        <w:t>under projects:</w:t>
      </w:r>
    </w:p>
    <w:p w14:paraId="20D650DA" w14:textId="77777777" w:rsidR="005B417D" w:rsidRDefault="00B251C3" w:rsidP="00425A6C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IRA9018</w:t>
      </w:r>
      <w:r w:rsidR="005B417D">
        <w:rPr>
          <w:rFonts w:asciiTheme="minorHAnsi" w:hAnsiTheme="minorHAnsi"/>
          <w:b/>
          <w:sz w:val="24"/>
          <w:szCs w:val="24"/>
        </w:rPr>
        <w:t>:</w:t>
      </w:r>
      <w:r w:rsidRPr="00B251C3">
        <w:rPr>
          <w:rFonts w:asciiTheme="minorHAnsi" w:hAnsiTheme="minorHAnsi"/>
          <w:sz w:val="24"/>
          <w:szCs w:val="24"/>
        </w:rPr>
        <w:t xml:space="preserve"> Regulatory</w:t>
      </w:r>
      <w:r>
        <w:rPr>
          <w:rFonts w:asciiTheme="minorHAnsi" w:hAnsiTheme="minorHAnsi"/>
          <w:sz w:val="24"/>
          <w:szCs w:val="24"/>
        </w:rPr>
        <w:t xml:space="preserve"> Infrastructure for Licensing and Control of Nuclear and Radiation Facilities, </w:t>
      </w:r>
      <w:r>
        <w:rPr>
          <w:rFonts w:asciiTheme="minorHAnsi" w:hAnsiTheme="minorHAnsi"/>
          <w:b/>
          <w:sz w:val="24"/>
          <w:szCs w:val="24"/>
        </w:rPr>
        <w:t>2007-2011</w:t>
      </w:r>
    </w:p>
    <w:p w14:paraId="58E87D6E" w14:textId="77777777" w:rsidR="00425A6C" w:rsidRPr="00ED0765" w:rsidRDefault="00425A6C" w:rsidP="00425A6C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 xml:space="preserve">IRA9020: </w:t>
      </w:r>
      <w:r w:rsidRPr="00ED0765">
        <w:rPr>
          <w:rFonts w:asciiTheme="minorHAnsi" w:hAnsiTheme="minorHAnsi"/>
          <w:sz w:val="24"/>
          <w:szCs w:val="24"/>
        </w:rPr>
        <w:t xml:space="preserve">Enhancing the Regulation of Nuclear Facilities and Radiation Activities, </w:t>
      </w:r>
      <w:r w:rsidRPr="00ED0765">
        <w:rPr>
          <w:rFonts w:asciiTheme="minorHAnsi" w:hAnsiTheme="minorHAnsi"/>
          <w:b/>
          <w:sz w:val="24"/>
          <w:szCs w:val="24"/>
        </w:rPr>
        <w:t>2012-2015</w:t>
      </w:r>
    </w:p>
    <w:p w14:paraId="6A20D4AD" w14:textId="77777777" w:rsidR="00425A6C" w:rsidRPr="00ED0765" w:rsidRDefault="00425A6C" w:rsidP="00425A6C">
      <w:pPr>
        <w:pStyle w:val="NoSpacing"/>
        <w:numPr>
          <w:ilvl w:val="0"/>
          <w:numId w:val="6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 xml:space="preserve">IRA9024: </w:t>
      </w:r>
      <w:r w:rsidRPr="00ED0765">
        <w:rPr>
          <w:rFonts w:asciiTheme="minorHAnsi" w:hAnsiTheme="minorHAnsi"/>
          <w:sz w:val="24"/>
          <w:szCs w:val="24"/>
        </w:rPr>
        <w:t xml:space="preserve">Strengthening Regulatory Competence and Enhancing the Effectiveness of the National Nuclear and Radiation Safety Regime, </w:t>
      </w:r>
      <w:r w:rsidRPr="00ED0765">
        <w:rPr>
          <w:rFonts w:asciiTheme="minorHAnsi" w:hAnsiTheme="minorHAnsi"/>
          <w:b/>
          <w:sz w:val="24"/>
          <w:szCs w:val="24"/>
        </w:rPr>
        <w:t>2016-2019</w:t>
      </w:r>
    </w:p>
    <w:p w14:paraId="088BEA63" w14:textId="77777777" w:rsidR="001621F5" w:rsidRPr="00ED0765" w:rsidRDefault="001621F5" w:rsidP="000B0EF6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7AAB7CE7" w14:textId="77777777" w:rsidR="000B0EF6" w:rsidRPr="00ED0765" w:rsidRDefault="004F00A3" w:rsidP="000B0EF6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List of </w:t>
      </w:r>
      <w:r w:rsidR="008D0EC3" w:rsidRPr="00ED0765">
        <w:rPr>
          <w:rFonts w:asciiTheme="minorHAnsi" w:hAnsiTheme="minorHAnsi"/>
          <w:b/>
          <w:sz w:val="24"/>
          <w:szCs w:val="24"/>
        </w:rPr>
        <w:t>Priority</w:t>
      </w:r>
      <w:r w:rsidR="000B0EF6" w:rsidRPr="00ED0765">
        <w:rPr>
          <w:rFonts w:asciiTheme="minorHAnsi" w:hAnsiTheme="minorHAnsi"/>
          <w:b/>
          <w:sz w:val="24"/>
          <w:szCs w:val="24"/>
        </w:rPr>
        <w:t xml:space="preserve"> areas of assistance</w:t>
      </w:r>
      <w:r w:rsidR="008D0EC3" w:rsidRPr="00ED0765">
        <w:rPr>
          <w:rFonts w:asciiTheme="minorHAnsi" w:hAnsiTheme="minorHAnsi"/>
          <w:b/>
          <w:sz w:val="24"/>
          <w:szCs w:val="24"/>
        </w:rPr>
        <w:t xml:space="preserve"> to INRA</w:t>
      </w:r>
      <w:r w:rsidR="000B0EF6" w:rsidRPr="00ED0765">
        <w:rPr>
          <w:rFonts w:asciiTheme="minorHAnsi" w:hAnsiTheme="minorHAnsi"/>
          <w:sz w:val="24"/>
          <w:szCs w:val="24"/>
        </w:rPr>
        <w:t>:</w:t>
      </w:r>
    </w:p>
    <w:p w14:paraId="1FE398D0" w14:textId="77777777" w:rsidR="000B0EF6" w:rsidRPr="00ED0765" w:rsidRDefault="008D0EC3" w:rsidP="000B0EF6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In reviewing of all chapters of PSAR and selected chapters of FSAR draft, including seismic safety</w:t>
      </w:r>
    </w:p>
    <w:p w14:paraId="796A36CE" w14:textId="77777777" w:rsidR="000B0EF6" w:rsidRPr="00ED0765" w:rsidRDefault="008D0EC3" w:rsidP="008D0EC3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Regulatory control and licensing, including optimization of inspection programmes; development of national regulations and standards; emergency preparedness and responses; radiation and environmental monitoring; training of regulatory staff; assessment of safety cases of waste disposal facility; establishment of QMS; physical protection, nuclear safety </w:t>
      </w:r>
      <w:r w:rsidR="00F67ECC" w:rsidRPr="00ED0765">
        <w:rPr>
          <w:rFonts w:asciiTheme="minorHAnsi" w:hAnsiTheme="minorHAnsi"/>
          <w:sz w:val="24"/>
          <w:szCs w:val="24"/>
        </w:rPr>
        <w:t xml:space="preserve">and </w:t>
      </w:r>
      <w:r w:rsidRPr="00ED0765">
        <w:rPr>
          <w:rFonts w:asciiTheme="minorHAnsi" w:hAnsiTheme="minorHAnsi"/>
          <w:sz w:val="24"/>
          <w:szCs w:val="24"/>
        </w:rPr>
        <w:t>security culture</w:t>
      </w:r>
    </w:p>
    <w:p w14:paraId="7AC57578" w14:textId="77777777" w:rsidR="00507D98" w:rsidRPr="00ED0765" w:rsidRDefault="00507D98" w:rsidP="008D0EC3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04386785" w14:textId="77777777" w:rsidR="008D0EC3" w:rsidRPr="00ED0765" w:rsidRDefault="008D0EC3" w:rsidP="008D0EC3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Main outputs</w:t>
      </w:r>
      <w:r w:rsidRPr="00ED0765">
        <w:rPr>
          <w:rFonts w:asciiTheme="minorHAnsi" w:hAnsiTheme="minorHAnsi"/>
          <w:sz w:val="24"/>
          <w:szCs w:val="24"/>
        </w:rPr>
        <w:t>:</w:t>
      </w:r>
    </w:p>
    <w:p w14:paraId="02E81497" w14:textId="13798A72" w:rsidR="008D0EC3" w:rsidRPr="00ED0765" w:rsidRDefault="008D0EC3" w:rsidP="008D0EC3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Strengthened knowledge in nuclear oversight, including review of safety documents and inspection programmes</w:t>
      </w:r>
      <w:r w:rsidR="004F00A3">
        <w:rPr>
          <w:rFonts w:asciiTheme="minorHAnsi" w:hAnsiTheme="minorHAnsi"/>
          <w:sz w:val="24"/>
          <w:szCs w:val="24"/>
        </w:rPr>
        <w:t>:</w:t>
      </w:r>
      <w:r w:rsidR="004F00A3" w:rsidRPr="00ED0765">
        <w:rPr>
          <w:rFonts w:asciiTheme="minorHAnsi" w:hAnsiTheme="minorHAnsi"/>
          <w:sz w:val="24"/>
          <w:szCs w:val="24"/>
        </w:rPr>
        <w:t xml:space="preserve"> </w:t>
      </w:r>
      <w:r w:rsidR="009B37B1" w:rsidRPr="00ED0765">
        <w:rPr>
          <w:rFonts w:asciiTheme="minorHAnsi" w:hAnsiTheme="minorHAnsi"/>
          <w:sz w:val="24"/>
          <w:szCs w:val="24"/>
        </w:rPr>
        <w:t>24</w:t>
      </w:r>
      <w:r w:rsidR="008B00EB" w:rsidRPr="00ED0765">
        <w:rPr>
          <w:rFonts w:asciiTheme="minorHAnsi" w:hAnsiTheme="minorHAnsi"/>
          <w:sz w:val="24"/>
          <w:szCs w:val="24"/>
        </w:rPr>
        <w:t xml:space="preserve"> INRA staff </w:t>
      </w:r>
      <w:r w:rsidR="004F00A3">
        <w:rPr>
          <w:rFonts w:asciiTheme="minorHAnsi" w:hAnsiTheme="minorHAnsi"/>
          <w:sz w:val="24"/>
          <w:szCs w:val="24"/>
        </w:rPr>
        <w:t xml:space="preserve">were </w:t>
      </w:r>
      <w:r w:rsidR="008B00EB" w:rsidRPr="00ED0765">
        <w:rPr>
          <w:rFonts w:asciiTheme="minorHAnsi" w:hAnsiTheme="minorHAnsi"/>
          <w:sz w:val="24"/>
          <w:szCs w:val="24"/>
        </w:rPr>
        <w:t>trained on safety assessment and regulatory inspections</w:t>
      </w:r>
      <w:r w:rsidR="004F00A3">
        <w:rPr>
          <w:rFonts w:asciiTheme="minorHAnsi" w:hAnsiTheme="minorHAnsi"/>
          <w:sz w:val="24"/>
          <w:szCs w:val="24"/>
        </w:rPr>
        <w:t>;</w:t>
      </w:r>
      <w:r w:rsidR="008B00EB" w:rsidRPr="00ED0765">
        <w:rPr>
          <w:rFonts w:asciiTheme="minorHAnsi" w:hAnsiTheme="minorHAnsi"/>
          <w:sz w:val="24"/>
          <w:szCs w:val="24"/>
        </w:rPr>
        <w:t xml:space="preserve"> </w:t>
      </w:r>
      <w:r w:rsidR="004F00A3">
        <w:rPr>
          <w:rFonts w:asciiTheme="minorHAnsi" w:hAnsiTheme="minorHAnsi"/>
          <w:sz w:val="24"/>
          <w:szCs w:val="24"/>
        </w:rPr>
        <w:t xml:space="preserve">a </w:t>
      </w:r>
      <w:r w:rsidR="008B00EB" w:rsidRPr="00ED0765">
        <w:rPr>
          <w:rFonts w:asciiTheme="minorHAnsi" w:hAnsiTheme="minorHAnsi"/>
          <w:sz w:val="24"/>
          <w:szCs w:val="24"/>
        </w:rPr>
        <w:t xml:space="preserve">consolidated package of training material </w:t>
      </w:r>
      <w:r w:rsidR="004F00A3">
        <w:rPr>
          <w:rFonts w:asciiTheme="minorHAnsi" w:hAnsiTheme="minorHAnsi"/>
          <w:sz w:val="24"/>
          <w:szCs w:val="24"/>
        </w:rPr>
        <w:t xml:space="preserve">was </w:t>
      </w:r>
      <w:r w:rsidR="008B00EB" w:rsidRPr="00ED0765">
        <w:rPr>
          <w:rFonts w:asciiTheme="minorHAnsi" w:hAnsiTheme="minorHAnsi"/>
          <w:sz w:val="24"/>
          <w:szCs w:val="24"/>
        </w:rPr>
        <w:t>delivered to be used for long term staff training.</w:t>
      </w:r>
    </w:p>
    <w:p w14:paraId="1C6A8BF8" w14:textId="77777777" w:rsidR="008B00EB" w:rsidRPr="00ED0765" w:rsidRDefault="008B00EB" w:rsidP="008D0EC3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Demonstrated competency and self-confidence in functions performed on the construction, commissioning and start-up of BNPP-1</w:t>
      </w:r>
    </w:p>
    <w:p w14:paraId="3E887BE4" w14:textId="38C10198" w:rsidR="008B00EB" w:rsidRPr="00ED0765" w:rsidRDefault="008B00EB" w:rsidP="008D0EC3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Effective QMS focussing on safety adopted</w:t>
      </w:r>
      <w:r w:rsidR="004F00A3">
        <w:rPr>
          <w:rFonts w:asciiTheme="minorHAnsi" w:hAnsiTheme="minorHAnsi"/>
          <w:sz w:val="24"/>
          <w:szCs w:val="24"/>
        </w:rPr>
        <w:t>:</w:t>
      </w:r>
      <w:r w:rsidRPr="00ED0765">
        <w:rPr>
          <w:rFonts w:asciiTheme="minorHAnsi" w:hAnsiTheme="minorHAnsi"/>
          <w:sz w:val="24"/>
          <w:szCs w:val="24"/>
        </w:rPr>
        <w:t xml:space="preserve"> the IAEA IRRS mission concluded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>compliance of INRA’s regulatory system with the IAEA Safety Standards.</w:t>
      </w:r>
    </w:p>
    <w:p w14:paraId="1505BFA9" w14:textId="77777777" w:rsidR="001621F5" w:rsidRPr="00ED0765" w:rsidRDefault="001621F5" w:rsidP="008B00EB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1896641B" w14:textId="77777777" w:rsidR="008B00EB" w:rsidRPr="00ED0765" w:rsidRDefault="008B00EB" w:rsidP="008B00EB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Outcome</w:t>
      </w:r>
      <w:r w:rsidRPr="00ED0765">
        <w:rPr>
          <w:rFonts w:asciiTheme="minorHAnsi" w:hAnsiTheme="minorHAnsi"/>
          <w:sz w:val="24"/>
          <w:szCs w:val="24"/>
        </w:rPr>
        <w:t>:</w:t>
      </w:r>
    </w:p>
    <w:p w14:paraId="5C8B0BA4" w14:textId="77777777" w:rsidR="008B00EB" w:rsidRPr="00ED0765" w:rsidRDefault="001E130E" w:rsidP="008B00EB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 xml:space="preserve">The assistance provided significantly contributed to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 xml:space="preserve">enhancement of </w:t>
      </w:r>
      <w:r w:rsidR="004F00A3">
        <w:rPr>
          <w:rFonts w:asciiTheme="minorHAnsi" w:hAnsiTheme="minorHAnsi"/>
          <w:sz w:val="24"/>
          <w:szCs w:val="24"/>
        </w:rPr>
        <w:t xml:space="preserve">the </w:t>
      </w:r>
      <w:r w:rsidRPr="00ED0765">
        <w:rPr>
          <w:rFonts w:asciiTheme="minorHAnsi" w:hAnsiTheme="minorHAnsi"/>
          <w:sz w:val="24"/>
          <w:szCs w:val="24"/>
        </w:rPr>
        <w:t>regulatory infrastructure and staff competency to effectively discharge INRA’s responsibility to perform regulatory control and licensing of BNPP-1 according to the international safety standards and practices</w:t>
      </w:r>
    </w:p>
    <w:p w14:paraId="5D4A7662" w14:textId="77777777" w:rsidR="001621F5" w:rsidRPr="00ED0765" w:rsidRDefault="001621F5" w:rsidP="008B00EB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0CAC6559" w14:textId="77777777" w:rsidR="008B00EB" w:rsidRPr="00ED0765" w:rsidRDefault="001E130E" w:rsidP="008B00EB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Areas for assistance in progress</w:t>
      </w:r>
      <w:r w:rsidR="009111E5">
        <w:rPr>
          <w:rFonts w:asciiTheme="minorHAnsi" w:hAnsiTheme="minorHAnsi"/>
          <w:b/>
          <w:sz w:val="24"/>
          <w:szCs w:val="24"/>
        </w:rPr>
        <w:t xml:space="preserve"> (under IRA9024)</w:t>
      </w:r>
      <w:r w:rsidRPr="00ED0765">
        <w:rPr>
          <w:rFonts w:asciiTheme="minorHAnsi" w:hAnsiTheme="minorHAnsi"/>
          <w:b/>
          <w:sz w:val="24"/>
          <w:szCs w:val="24"/>
        </w:rPr>
        <w:t>:</w:t>
      </w:r>
    </w:p>
    <w:p w14:paraId="4CB8AF58" w14:textId="77777777" w:rsidR="001E130E" w:rsidRPr="00ED0765" w:rsidRDefault="004E24E5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Further updating national safety regulations, requirements and guidelines in accordance with latest international standards and practices</w:t>
      </w:r>
    </w:p>
    <w:p w14:paraId="642B9CA8" w14:textId="77777777" w:rsidR="004E24E5" w:rsidRPr="00ED0765" w:rsidRDefault="004E24E5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Further strengthening the capabilities for independent safety reviews and analyses, including utilization of proven safety computer codes and the completion of safety reassessment of BNPP-1 in light with lessons learned from Fukushima accident.</w:t>
      </w:r>
    </w:p>
    <w:p w14:paraId="7825C320" w14:textId="77777777" w:rsidR="001E130E" w:rsidRPr="00ED0765" w:rsidRDefault="001E130E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Strengthening regulations for emergency preparedness and response, including severe accident management</w:t>
      </w:r>
    </w:p>
    <w:p w14:paraId="5BBBAA9E" w14:textId="77777777" w:rsidR="001E130E" w:rsidRPr="002B0C5A" w:rsidRDefault="001E130E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Further strengthening of regulatory staff competence</w:t>
      </w:r>
    </w:p>
    <w:p w14:paraId="498D6350" w14:textId="77777777" w:rsidR="002B0C5A" w:rsidRPr="00ED0765" w:rsidRDefault="002B0C5A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Implementat</w:t>
      </w:r>
      <w:r w:rsidR="00821CF2">
        <w:rPr>
          <w:rFonts w:asciiTheme="minorHAnsi" w:hAnsiTheme="minorHAnsi"/>
          <w:sz w:val="24"/>
          <w:szCs w:val="24"/>
        </w:rPr>
        <w:t>ion of the nuclear oversight fun</w:t>
      </w:r>
      <w:r>
        <w:rPr>
          <w:rFonts w:asciiTheme="minorHAnsi" w:hAnsiTheme="minorHAnsi"/>
          <w:sz w:val="24"/>
          <w:szCs w:val="24"/>
        </w:rPr>
        <w:t>ction</w:t>
      </w:r>
    </w:p>
    <w:p w14:paraId="5027CDD3" w14:textId="77777777" w:rsidR="007D0972" w:rsidRPr="00821CF2" w:rsidRDefault="007D0972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lastRenderedPageBreak/>
        <w:t xml:space="preserve">Technical support capabilities in selected areas needed for </w:t>
      </w:r>
      <w:r w:rsidR="004E24E5" w:rsidRPr="00ED0765">
        <w:rPr>
          <w:rFonts w:asciiTheme="minorHAnsi" w:hAnsiTheme="minorHAnsi"/>
          <w:sz w:val="24"/>
          <w:szCs w:val="24"/>
        </w:rPr>
        <w:t>safe and reliable operation and regulation of BNPP-1</w:t>
      </w:r>
    </w:p>
    <w:p w14:paraId="221008B9" w14:textId="77777777" w:rsidR="00821CF2" w:rsidRPr="00ED0765" w:rsidRDefault="00821CF2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Strengthening regulatory control form protecting workers, public and environment during NPP normal operation and emergency situations</w:t>
      </w:r>
    </w:p>
    <w:p w14:paraId="5C2B585A" w14:textId="77777777" w:rsidR="001E130E" w:rsidRPr="00ED0765" w:rsidRDefault="001E130E" w:rsidP="001E130E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sz w:val="24"/>
          <w:szCs w:val="24"/>
        </w:rPr>
        <w:t>IRRS follow-up mission, including some post Fukushima accident areas.</w:t>
      </w:r>
    </w:p>
    <w:p w14:paraId="05E968EA" w14:textId="77777777" w:rsidR="00C15C84" w:rsidRPr="00ED0765" w:rsidRDefault="00C15C84" w:rsidP="00C15C84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666A81EB" w14:textId="77777777" w:rsidR="001621F5" w:rsidRPr="00ED0765" w:rsidRDefault="001621F5" w:rsidP="00C15C84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14:paraId="1F06F4F5" w14:textId="77777777" w:rsidR="00425A6C" w:rsidRPr="00ED0765" w:rsidRDefault="00425A6C" w:rsidP="00425A6C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>INWM</w:t>
      </w:r>
      <w:r w:rsidRPr="00ED0765">
        <w:rPr>
          <w:rFonts w:asciiTheme="minorHAnsi" w:hAnsiTheme="minorHAnsi"/>
          <w:sz w:val="24"/>
          <w:szCs w:val="24"/>
        </w:rPr>
        <w:t xml:space="preserve"> under projects:</w:t>
      </w:r>
    </w:p>
    <w:p w14:paraId="68F013A6" w14:textId="77777777" w:rsidR="00425A6C" w:rsidRPr="00ED0765" w:rsidRDefault="00425A6C" w:rsidP="00425A6C">
      <w:pPr>
        <w:pStyle w:val="NoSpacing"/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 xml:space="preserve">IRA9021: </w:t>
      </w:r>
      <w:r w:rsidRPr="00ED0765">
        <w:rPr>
          <w:rFonts w:asciiTheme="minorHAnsi" w:hAnsiTheme="minorHAnsi"/>
          <w:sz w:val="24"/>
          <w:szCs w:val="24"/>
        </w:rPr>
        <w:t xml:space="preserve">Ensuring the Safe Construction of the TALMESI Radioactive Waste Disposal Facility, </w:t>
      </w:r>
      <w:r w:rsidRPr="00ED0765">
        <w:rPr>
          <w:rFonts w:asciiTheme="minorHAnsi" w:hAnsiTheme="minorHAnsi"/>
          <w:b/>
          <w:sz w:val="24"/>
          <w:szCs w:val="24"/>
        </w:rPr>
        <w:t>2012-2015</w:t>
      </w:r>
    </w:p>
    <w:p w14:paraId="5D2EAD6E" w14:textId="77777777" w:rsidR="00425A6C" w:rsidRPr="00ED0765" w:rsidRDefault="00425A6C" w:rsidP="00425A6C">
      <w:pPr>
        <w:pStyle w:val="NoSpacing"/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ED0765">
        <w:rPr>
          <w:rFonts w:asciiTheme="minorHAnsi" w:hAnsiTheme="minorHAnsi"/>
          <w:b/>
          <w:sz w:val="24"/>
          <w:szCs w:val="24"/>
        </w:rPr>
        <w:t xml:space="preserve">IRA9023: </w:t>
      </w:r>
      <w:r w:rsidRPr="00ED0765">
        <w:rPr>
          <w:rFonts w:asciiTheme="minorHAnsi" w:hAnsiTheme="minorHAnsi"/>
          <w:sz w:val="24"/>
          <w:szCs w:val="24"/>
        </w:rPr>
        <w:t xml:space="preserve">Strengthening Owner’s Capability in the Safe Operation of TALMESI Radioactive </w:t>
      </w:r>
      <w:r w:rsidR="003629D2" w:rsidRPr="00ED0765">
        <w:rPr>
          <w:rFonts w:asciiTheme="minorHAnsi" w:hAnsiTheme="minorHAnsi"/>
          <w:sz w:val="24"/>
          <w:szCs w:val="24"/>
        </w:rPr>
        <w:t>Waste Disposal Facility,</w:t>
      </w:r>
      <w:r w:rsidR="009B04C2" w:rsidRPr="00ED0765">
        <w:rPr>
          <w:rFonts w:asciiTheme="minorHAnsi" w:hAnsiTheme="minorHAnsi"/>
          <w:sz w:val="24"/>
          <w:szCs w:val="24"/>
        </w:rPr>
        <w:t xml:space="preserve"> </w:t>
      </w:r>
      <w:r w:rsidR="003629D2" w:rsidRPr="00ED0765">
        <w:rPr>
          <w:rFonts w:asciiTheme="minorHAnsi" w:hAnsiTheme="minorHAnsi"/>
          <w:b/>
          <w:sz w:val="24"/>
          <w:szCs w:val="24"/>
        </w:rPr>
        <w:t>2016-2019</w:t>
      </w:r>
    </w:p>
    <w:p w14:paraId="62C044E7" w14:textId="77777777" w:rsidR="00FB7918" w:rsidRDefault="00FB7918" w:rsidP="00D6066C">
      <w:pPr>
        <w:pStyle w:val="NoSpacing"/>
        <w:ind w:left="360"/>
        <w:jc w:val="both"/>
        <w:rPr>
          <w:rFonts w:asciiTheme="minorHAnsi" w:hAnsiTheme="minorHAnsi"/>
          <w:sz w:val="24"/>
          <w:szCs w:val="24"/>
        </w:rPr>
      </w:pPr>
    </w:p>
    <w:p w14:paraId="052039FF" w14:textId="77777777" w:rsidR="00FB7918" w:rsidRDefault="00FB7918" w:rsidP="00FB7918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Conclusion</w:t>
      </w:r>
      <w:r w:rsidR="00D51ED2"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405DAA94" w14:textId="5AB2DF7D" w:rsidR="007A4CBD" w:rsidRDefault="00CE5ABB" w:rsidP="00C10BED">
      <w:pPr>
        <w:pStyle w:val="NoSpacing"/>
        <w:numPr>
          <w:ilvl w:val="0"/>
          <w:numId w:val="1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v</w:t>
      </w:r>
      <w:r w:rsidR="007A4CBD">
        <w:rPr>
          <w:rFonts w:asciiTheme="minorHAnsi" w:hAnsiTheme="minorHAnsi"/>
          <w:sz w:val="24"/>
          <w:szCs w:val="24"/>
        </w:rPr>
        <w:t>ery successful implementation of the comprehensive scope of assistance to the Iranian counterpart</w:t>
      </w:r>
      <w:r>
        <w:rPr>
          <w:rFonts w:asciiTheme="minorHAnsi" w:hAnsiTheme="minorHAnsi"/>
          <w:sz w:val="24"/>
          <w:szCs w:val="24"/>
        </w:rPr>
        <w:t xml:space="preserve">s </w:t>
      </w:r>
      <w:r w:rsidR="007A4CBD">
        <w:rPr>
          <w:rFonts w:asciiTheme="minorHAnsi" w:hAnsiTheme="minorHAnsi"/>
          <w:sz w:val="24"/>
          <w:szCs w:val="24"/>
        </w:rPr>
        <w:t>contributed signifi</w:t>
      </w:r>
      <w:r>
        <w:rPr>
          <w:rFonts w:asciiTheme="minorHAnsi" w:hAnsiTheme="minorHAnsi"/>
          <w:sz w:val="24"/>
          <w:szCs w:val="24"/>
        </w:rPr>
        <w:t xml:space="preserve">cantly to the </w:t>
      </w:r>
      <w:r w:rsidR="007A4CBD">
        <w:rPr>
          <w:rFonts w:asciiTheme="minorHAnsi" w:hAnsiTheme="minorHAnsi"/>
          <w:sz w:val="24"/>
          <w:szCs w:val="24"/>
        </w:rPr>
        <w:t>commissioning and initial opera</w:t>
      </w:r>
      <w:r w:rsidR="00C10BED">
        <w:rPr>
          <w:rFonts w:asciiTheme="minorHAnsi" w:hAnsiTheme="minorHAnsi"/>
          <w:sz w:val="24"/>
          <w:szCs w:val="24"/>
        </w:rPr>
        <w:t>tio</w:t>
      </w:r>
      <w:r w:rsidR="007A4CBD">
        <w:rPr>
          <w:rFonts w:asciiTheme="minorHAnsi" w:hAnsiTheme="minorHAnsi"/>
          <w:sz w:val="24"/>
          <w:szCs w:val="24"/>
        </w:rPr>
        <w:t xml:space="preserve">n </w:t>
      </w:r>
      <w:r w:rsidR="00C10BED">
        <w:rPr>
          <w:rFonts w:asciiTheme="minorHAnsi" w:hAnsiTheme="minorHAnsi"/>
          <w:sz w:val="24"/>
          <w:szCs w:val="24"/>
        </w:rPr>
        <w:t xml:space="preserve">of the first national NPP </w:t>
      </w:r>
      <w:r>
        <w:rPr>
          <w:rFonts w:asciiTheme="minorHAnsi" w:hAnsiTheme="minorHAnsi"/>
          <w:sz w:val="24"/>
          <w:szCs w:val="24"/>
        </w:rPr>
        <w:t>unit</w:t>
      </w:r>
      <w:r w:rsidR="004F00A3">
        <w:rPr>
          <w:rFonts w:asciiTheme="minorHAnsi" w:hAnsiTheme="minorHAnsi"/>
          <w:sz w:val="24"/>
          <w:szCs w:val="24"/>
        </w:rPr>
        <w:t>. The</w:t>
      </w:r>
      <w:r>
        <w:rPr>
          <w:rFonts w:asciiTheme="minorHAnsi" w:hAnsiTheme="minorHAnsi"/>
          <w:sz w:val="24"/>
          <w:szCs w:val="24"/>
        </w:rPr>
        <w:t xml:space="preserve"> continuation of assistance is essential for its safe and reliable operation and maintenance, and for the construction of the two other NPP units at Bushehr </w:t>
      </w:r>
      <w:r w:rsidR="00C10BED">
        <w:rPr>
          <w:rFonts w:asciiTheme="minorHAnsi" w:hAnsiTheme="minorHAnsi"/>
          <w:sz w:val="24"/>
          <w:szCs w:val="24"/>
        </w:rPr>
        <w:t xml:space="preserve">in Iran. </w:t>
      </w:r>
    </w:p>
    <w:p w14:paraId="6465B96B" w14:textId="387846CB" w:rsidR="00FB7918" w:rsidRPr="008F7F92" w:rsidRDefault="007A4CBD" w:rsidP="00C10BED">
      <w:pPr>
        <w:pStyle w:val="NoSpacing"/>
        <w:numPr>
          <w:ilvl w:val="0"/>
          <w:numId w:val="17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="00FB7918">
        <w:rPr>
          <w:rFonts w:asciiTheme="minorHAnsi" w:hAnsiTheme="minorHAnsi"/>
          <w:sz w:val="24"/>
          <w:szCs w:val="24"/>
        </w:rPr>
        <w:t xml:space="preserve">he IAEA TC assistance to the first national NPP in Iran can serve as a model for assistance to </w:t>
      </w:r>
      <w:r w:rsidR="00863FFD">
        <w:rPr>
          <w:rFonts w:asciiTheme="minorHAnsi" w:hAnsiTheme="minorHAnsi"/>
          <w:sz w:val="24"/>
          <w:szCs w:val="24"/>
        </w:rPr>
        <w:t xml:space="preserve">the </w:t>
      </w:r>
      <w:r w:rsidR="00FB7918">
        <w:rPr>
          <w:rFonts w:asciiTheme="minorHAnsi" w:hAnsiTheme="minorHAnsi"/>
          <w:sz w:val="24"/>
          <w:szCs w:val="24"/>
        </w:rPr>
        <w:t xml:space="preserve">interested Member states, </w:t>
      </w:r>
      <w:r w:rsidR="00E103F1">
        <w:rPr>
          <w:rFonts w:asciiTheme="minorHAnsi" w:hAnsiTheme="minorHAnsi"/>
          <w:sz w:val="24"/>
          <w:szCs w:val="24"/>
        </w:rPr>
        <w:t xml:space="preserve">considering introduction of </w:t>
      </w:r>
      <w:r w:rsidR="00CE5ABB">
        <w:rPr>
          <w:rFonts w:asciiTheme="minorHAnsi" w:hAnsiTheme="minorHAnsi"/>
          <w:sz w:val="24"/>
          <w:szCs w:val="24"/>
        </w:rPr>
        <w:t xml:space="preserve">nuclear power under </w:t>
      </w:r>
      <w:r w:rsidR="006E158C">
        <w:rPr>
          <w:rFonts w:asciiTheme="minorHAnsi" w:hAnsiTheme="minorHAnsi"/>
          <w:sz w:val="24"/>
          <w:szCs w:val="24"/>
        </w:rPr>
        <w:t xml:space="preserve">Built-Transfer and/or </w:t>
      </w:r>
      <w:bookmarkStart w:id="0" w:name="_GoBack"/>
      <w:bookmarkEnd w:id="0"/>
      <w:r w:rsidR="00FB7918">
        <w:rPr>
          <w:rFonts w:asciiTheme="minorHAnsi" w:hAnsiTheme="minorHAnsi"/>
          <w:sz w:val="24"/>
          <w:szCs w:val="24"/>
        </w:rPr>
        <w:t>B</w:t>
      </w:r>
      <w:r w:rsidR="00FB7918" w:rsidRPr="00FB7918">
        <w:rPr>
          <w:rFonts w:asciiTheme="minorHAnsi" w:hAnsiTheme="minorHAnsi"/>
          <w:sz w:val="24"/>
          <w:szCs w:val="24"/>
        </w:rPr>
        <w:t>uilt-</w:t>
      </w:r>
      <w:r w:rsidR="00CE5ABB">
        <w:rPr>
          <w:rFonts w:asciiTheme="minorHAnsi" w:hAnsiTheme="minorHAnsi"/>
          <w:sz w:val="24"/>
          <w:szCs w:val="24"/>
        </w:rPr>
        <w:t>Own-Transfer (BOT) contractual approach</w:t>
      </w:r>
      <w:r w:rsidR="00FB7918">
        <w:rPr>
          <w:rFonts w:asciiTheme="minorHAnsi" w:hAnsiTheme="minorHAnsi"/>
          <w:sz w:val="24"/>
          <w:szCs w:val="24"/>
        </w:rPr>
        <w:t>.</w:t>
      </w:r>
    </w:p>
    <w:p w14:paraId="2D872CEB" w14:textId="77777777" w:rsidR="008F7F92" w:rsidRDefault="008F7F92" w:rsidP="008F7F92">
      <w:pPr>
        <w:pStyle w:val="NoSpacing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5D2EE31" w14:textId="77777777" w:rsidR="00FA6FEF" w:rsidRDefault="00FA6FEF" w:rsidP="008F7F92">
      <w:pPr>
        <w:pStyle w:val="NoSpacing"/>
        <w:ind w:left="36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3th March 2016</w:t>
      </w:r>
    </w:p>
    <w:p w14:paraId="780897D4" w14:textId="77777777" w:rsidR="00FA6FEF" w:rsidRDefault="00FA6FEF" w:rsidP="008F7F92">
      <w:pPr>
        <w:pStyle w:val="NoSpacing"/>
        <w:ind w:left="36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TCAP, IAEA</w:t>
      </w:r>
    </w:p>
    <w:sectPr w:rsidR="00FA6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CA9"/>
    <w:multiLevelType w:val="hybridMultilevel"/>
    <w:tmpl w:val="771E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3AB"/>
    <w:multiLevelType w:val="hybridMultilevel"/>
    <w:tmpl w:val="56FC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1E8"/>
    <w:multiLevelType w:val="hybridMultilevel"/>
    <w:tmpl w:val="F046578C"/>
    <w:lvl w:ilvl="0" w:tplc="80085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13D94"/>
    <w:multiLevelType w:val="hybridMultilevel"/>
    <w:tmpl w:val="E928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D1C2A"/>
    <w:multiLevelType w:val="hybridMultilevel"/>
    <w:tmpl w:val="7E16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D69A9"/>
    <w:multiLevelType w:val="hybridMultilevel"/>
    <w:tmpl w:val="AAFC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3228"/>
    <w:multiLevelType w:val="hybridMultilevel"/>
    <w:tmpl w:val="AA26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3FA7"/>
    <w:multiLevelType w:val="hybridMultilevel"/>
    <w:tmpl w:val="DAD4A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1011"/>
    <w:multiLevelType w:val="hybridMultilevel"/>
    <w:tmpl w:val="0AE67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908C4"/>
    <w:multiLevelType w:val="hybridMultilevel"/>
    <w:tmpl w:val="00F29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4836"/>
    <w:multiLevelType w:val="hybridMultilevel"/>
    <w:tmpl w:val="003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F16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221A4C"/>
    <w:multiLevelType w:val="hybridMultilevel"/>
    <w:tmpl w:val="0EC0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A57F1"/>
    <w:multiLevelType w:val="hybridMultilevel"/>
    <w:tmpl w:val="05C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B4E9F"/>
    <w:multiLevelType w:val="hybridMultilevel"/>
    <w:tmpl w:val="F708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D0E4C"/>
    <w:multiLevelType w:val="hybridMultilevel"/>
    <w:tmpl w:val="3B22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1ED"/>
    <w:multiLevelType w:val="hybridMultilevel"/>
    <w:tmpl w:val="CEA8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16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n-GB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2"/>
    <w:rsid w:val="00024E85"/>
    <w:rsid w:val="00031EDF"/>
    <w:rsid w:val="000326ED"/>
    <w:rsid w:val="00033326"/>
    <w:rsid w:val="00064BA8"/>
    <w:rsid w:val="00066654"/>
    <w:rsid w:val="00097E56"/>
    <w:rsid w:val="000B0EF6"/>
    <w:rsid w:val="000D4352"/>
    <w:rsid w:val="00101AC5"/>
    <w:rsid w:val="00117351"/>
    <w:rsid w:val="001176B8"/>
    <w:rsid w:val="00121529"/>
    <w:rsid w:val="001332CA"/>
    <w:rsid w:val="001621F5"/>
    <w:rsid w:val="0018104D"/>
    <w:rsid w:val="001919F6"/>
    <w:rsid w:val="00194631"/>
    <w:rsid w:val="00197C40"/>
    <w:rsid w:val="001E130E"/>
    <w:rsid w:val="001E6957"/>
    <w:rsid w:val="001F0747"/>
    <w:rsid w:val="00205688"/>
    <w:rsid w:val="00221270"/>
    <w:rsid w:val="002252AF"/>
    <w:rsid w:val="00247D13"/>
    <w:rsid w:val="002562C1"/>
    <w:rsid w:val="00277124"/>
    <w:rsid w:val="0028655A"/>
    <w:rsid w:val="002A57A6"/>
    <w:rsid w:val="002B0C5A"/>
    <w:rsid w:val="002B19A8"/>
    <w:rsid w:val="002B3640"/>
    <w:rsid w:val="002C7245"/>
    <w:rsid w:val="002D0CB9"/>
    <w:rsid w:val="002E0B0C"/>
    <w:rsid w:val="002F6682"/>
    <w:rsid w:val="00327723"/>
    <w:rsid w:val="00342DE6"/>
    <w:rsid w:val="00357A2F"/>
    <w:rsid w:val="003610FA"/>
    <w:rsid w:val="003629D2"/>
    <w:rsid w:val="0037747D"/>
    <w:rsid w:val="00386B49"/>
    <w:rsid w:val="00392B6C"/>
    <w:rsid w:val="003A0C41"/>
    <w:rsid w:val="003A4A8D"/>
    <w:rsid w:val="003B5F43"/>
    <w:rsid w:val="003C0DDD"/>
    <w:rsid w:val="003E32FC"/>
    <w:rsid w:val="003F3427"/>
    <w:rsid w:val="00410263"/>
    <w:rsid w:val="00411860"/>
    <w:rsid w:val="00415E72"/>
    <w:rsid w:val="00425A6C"/>
    <w:rsid w:val="0043021D"/>
    <w:rsid w:val="00457A11"/>
    <w:rsid w:val="00462C76"/>
    <w:rsid w:val="00474625"/>
    <w:rsid w:val="0048112D"/>
    <w:rsid w:val="004A5726"/>
    <w:rsid w:val="004C7FA6"/>
    <w:rsid w:val="004D13D8"/>
    <w:rsid w:val="004E0DA9"/>
    <w:rsid w:val="004E24E5"/>
    <w:rsid w:val="004F00A3"/>
    <w:rsid w:val="0050638F"/>
    <w:rsid w:val="00507D98"/>
    <w:rsid w:val="0051248D"/>
    <w:rsid w:val="005479C8"/>
    <w:rsid w:val="00550DCE"/>
    <w:rsid w:val="0055244F"/>
    <w:rsid w:val="00571618"/>
    <w:rsid w:val="00574BA7"/>
    <w:rsid w:val="00577E2C"/>
    <w:rsid w:val="00585ACE"/>
    <w:rsid w:val="00596F1C"/>
    <w:rsid w:val="005B417D"/>
    <w:rsid w:val="005B579E"/>
    <w:rsid w:val="005C6E68"/>
    <w:rsid w:val="00662F77"/>
    <w:rsid w:val="006A439E"/>
    <w:rsid w:val="006B55A4"/>
    <w:rsid w:val="006C48BF"/>
    <w:rsid w:val="006D046F"/>
    <w:rsid w:val="006E158C"/>
    <w:rsid w:val="006F4D08"/>
    <w:rsid w:val="00702788"/>
    <w:rsid w:val="007075DA"/>
    <w:rsid w:val="007220BA"/>
    <w:rsid w:val="00763C84"/>
    <w:rsid w:val="0078189C"/>
    <w:rsid w:val="007A4218"/>
    <w:rsid w:val="007A471B"/>
    <w:rsid w:val="007A4CBD"/>
    <w:rsid w:val="007C2FD1"/>
    <w:rsid w:val="007D0972"/>
    <w:rsid w:val="007D7F87"/>
    <w:rsid w:val="007E3813"/>
    <w:rsid w:val="007E5003"/>
    <w:rsid w:val="007E63AA"/>
    <w:rsid w:val="007F3171"/>
    <w:rsid w:val="00801851"/>
    <w:rsid w:val="00804AC9"/>
    <w:rsid w:val="008167B8"/>
    <w:rsid w:val="00821CF2"/>
    <w:rsid w:val="00837910"/>
    <w:rsid w:val="00860C97"/>
    <w:rsid w:val="00862441"/>
    <w:rsid w:val="00863FFD"/>
    <w:rsid w:val="00865276"/>
    <w:rsid w:val="00877AE5"/>
    <w:rsid w:val="008A4945"/>
    <w:rsid w:val="008B00EB"/>
    <w:rsid w:val="008B1866"/>
    <w:rsid w:val="008C0058"/>
    <w:rsid w:val="008D0EC3"/>
    <w:rsid w:val="008D7F6D"/>
    <w:rsid w:val="008F7F92"/>
    <w:rsid w:val="009111E5"/>
    <w:rsid w:val="00913158"/>
    <w:rsid w:val="00932298"/>
    <w:rsid w:val="00937A57"/>
    <w:rsid w:val="00942CE7"/>
    <w:rsid w:val="009616CF"/>
    <w:rsid w:val="009B04C2"/>
    <w:rsid w:val="009B37B1"/>
    <w:rsid w:val="009D3AEC"/>
    <w:rsid w:val="009E164C"/>
    <w:rsid w:val="009E3DFC"/>
    <w:rsid w:val="009E7FB9"/>
    <w:rsid w:val="009F4724"/>
    <w:rsid w:val="00A00844"/>
    <w:rsid w:val="00A17845"/>
    <w:rsid w:val="00A46099"/>
    <w:rsid w:val="00A578DF"/>
    <w:rsid w:val="00A732F0"/>
    <w:rsid w:val="00A8257D"/>
    <w:rsid w:val="00AB575B"/>
    <w:rsid w:val="00AB6587"/>
    <w:rsid w:val="00AC1930"/>
    <w:rsid w:val="00AE56A3"/>
    <w:rsid w:val="00AE71EF"/>
    <w:rsid w:val="00B10AF6"/>
    <w:rsid w:val="00B251C3"/>
    <w:rsid w:val="00B272AD"/>
    <w:rsid w:val="00B30DB4"/>
    <w:rsid w:val="00B4023A"/>
    <w:rsid w:val="00B5087C"/>
    <w:rsid w:val="00B83D84"/>
    <w:rsid w:val="00B91E7D"/>
    <w:rsid w:val="00BD5086"/>
    <w:rsid w:val="00BE5C54"/>
    <w:rsid w:val="00C04DE3"/>
    <w:rsid w:val="00C10BED"/>
    <w:rsid w:val="00C15C84"/>
    <w:rsid w:val="00C357B2"/>
    <w:rsid w:val="00C35F5D"/>
    <w:rsid w:val="00C514AD"/>
    <w:rsid w:val="00C560F7"/>
    <w:rsid w:val="00C57AEA"/>
    <w:rsid w:val="00C645B5"/>
    <w:rsid w:val="00C7169A"/>
    <w:rsid w:val="00C92010"/>
    <w:rsid w:val="00CB08F7"/>
    <w:rsid w:val="00CB7BE4"/>
    <w:rsid w:val="00CD0C94"/>
    <w:rsid w:val="00CE4FD8"/>
    <w:rsid w:val="00CE5ABB"/>
    <w:rsid w:val="00CF6C55"/>
    <w:rsid w:val="00D03052"/>
    <w:rsid w:val="00D371FF"/>
    <w:rsid w:val="00D51ED2"/>
    <w:rsid w:val="00D55232"/>
    <w:rsid w:val="00D6066C"/>
    <w:rsid w:val="00D81360"/>
    <w:rsid w:val="00D87529"/>
    <w:rsid w:val="00D93C20"/>
    <w:rsid w:val="00D95447"/>
    <w:rsid w:val="00DF7538"/>
    <w:rsid w:val="00E00745"/>
    <w:rsid w:val="00E103F1"/>
    <w:rsid w:val="00E42D0A"/>
    <w:rsid w:val="00E63DBE"/>
    <w:rsid w:val="00E6740A"/>
    <w:rsid w:val="00E71EA6"/>
    <w:rsid w:val="00E776A3"/>
    <w:rsid w:val="00E828CA"/>
    <w:rsid w:val="00E92641"/>
    <w:rsid w:val="00E94CB2"/>
    <w:rsid w:val="00EA1392"/>
    <w:rsid w:val="00EB3D6B"/>
    <w:rsid w:val="00ED0765"/>
    <w:rsid w:val="00ED177E"/>
    <w:rsid w:val="00EF4B28"/>
    <w:rsid w:val="00F421C2"/>
    <w:rsid w:val="00F61B4B"/>
    <w:rsid w:val="00F62EF9"/>
    <w:rsid w:val="00F67ECC"/>
    <w:rsid w:val="00F75DCE"/>
    <w:rsid w:val="00F90963"/>
    <w:rsid w:val="00FA0F28"/>
    <w:rsid w:val="00FA1E91"/>
    <w:rsid w:val="00FA3B13"/>
    <w:rsid w:val="00FA6FEF"/>
    <w:rsid w:val="00FB7918"/>
    <w:rsid w:val="00FC00CD"/>
    <w:rsid w:val="00FC021E"/>
    <w:rsid w:val="00FC2D5E"/>
    <w:rsid w:val="00FC4436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2CAB"/>
  <w15:docId w15:val="{6D87E1D9-7E5B-4993-B444-71568E5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21C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7A6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2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2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42">
                  <w:marLeft w:val="4155"/>
                  <w:marRight w:val="3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LOSADA CHAVELI, Rodolfo</dc:creator>
  <cp:lastModifiedBy>Boris Gueorguiev</cp:lastModifiedBy>
  <cp:revision>3</cp:revision>
  <cp:lastPrinted>2016-02-19T08:50:00Z</cp:lastPrinted>
  <dcterms:created xsi:type="dcterms:W3CDTF">2016-03-19T12:15:00Z</dcterms:created>
  <dcterms:modified xsi:type="dcterms:W3CDTF">2016-03-19T12:17:00Z</dcterms:modified>
</cp:coreProperties>
</file>