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C02" w:rsidRDefault="00705FEB">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2F2C02" w:rsidRPr="00B47B2F" w:rsidRDefault="002F2C02">
      <w:pPr>
        <w:suppressAutoHyphens/>
        <w:jc w:val="center"/>
        <w:rPr>
          <w:spacing w:val="-2"/>
          <w:sz w:val="22"/>
          <w:szCs w:val="22"/>
        </w:rPr>
      </w:pPr>
    </w:p>
    <w:p w:rsidR="002F2C02" w:rsidRPr="00B47B2F" w:rsidRDefault="00705FEB">
      <w:pPr>
        <w:tabs>
          <w:tab w:val="center" w:pos="4513"/>
        </w:tabs>
        <w:suppressAutoHyphens/>
        <w:jc w:val="center"/>
        <w:rPr>
          <w:rFonts w:ascii="Times New Roman" w:hAnsi="Times New Roman"/>
          <w:b/>
          <w:spacing w:val="-2"/>
          <w:sz w:val="22"/>
          <w:szCs w:val="22"/>
        </w:rPr>
      </w:pPr>
      <w:r w:rsidRPr="00B47B2F">
        <w:rPr>
          <w:rFonts w:ascii="Times New Roman" w:hAnsi="Times New Roman"/>
          <w:b/>
          <w:spacing w:val="-2"/>
          <w:sz w:val="22"/>
          <w:szCs w:val="22"/>
        </w:rPr>
        <w:t>JOB DESCRIPTION</w:t>
      </w:r>
    </w:p>
    <w:p w:rsidR="002F2C02" w:rsidRPr="00B47B2F" w:rsidRDefault="00705FEB">
      <w:pPr>
        <w:tabs>
          <w:tab w:val="center" w:pos="4513"/>
          <w:tab w:val="left" w:pos="7200"/>
          <w:tab w:val="left" w:pos="7920"/>
          <w:tab w:val="left" w:pos="8640"/>
        </w:tabs>
        <w:suppressAutoHyphens/>
        <w:jc w:val="center"/>
        <w:rPr>
          <w:rFonts w:ascii="Times New Roman" w:hAnsi="Times New Roman"/>
          <w:spacing w:val="-2"/>
          <w:sz w:val="22"/>
          <w:szCs w:val="22"/>
        </w:rPr>
      </w:pPr>
      <w:r w:rsidRPr="00B47B2F">
        <w:rPr>
          <w:rFonts w:ascii="Times New Roman" w:hAnsi="Times New Roman"/>
          <w:b/>
          <w:spacing w:val="-2"/>
          <w:sz w:val="22"/>
          <w:szCs w:val="22"/>
        </w:rPr>
        <w:t>IAEA TECHNICAL CO-OPERATION EXPERT MISSION</w:t>
      </w:r>
    </w:p>
    <w:p w:rsidR="002F2C02" w:rsidRPr="00B47B2F" w:rsidRDefault="002F2C02">
      <w:pPr>
        <w:tabs>
          <w:tab w:val="left" w:pos="-720"/>
        </w:tabs>
        <w:suppressAutoHyphens/>
        <w:jc w:val="center"/>
        <w:rPr>
          <w:rFonts w:ascii="Times New Roman" w:hAnsi="Times New Roman"/>
          <w:spacing w:val="-2"/>
          <w:sz w:val="22"/>
          <w:szCs w:val="22"/>
        </w:rPr>
      </w:pPr>
    </w:p>
    <w:p w:rsidR="002F2C02" w:rsidRPr="00B47B2F" w:rsidRDefault="00705FEB">
      <w:pPr>
        <w:tabs>
          <w:tab w:val="left" w:pos="-1440"/>
          <w:tab w:val="left" w:pos="-720"/>
          <w:tab w:val="left" w:pos="0"/>
          <w:tab w:val="left" w:pos="4111"/>
        </w:tabs>
        <w:suppressAutoHyphens/>
        <w:jc w:val="both"/>
        <w:rPr>
          <w:rFonts w:ascii="Times New Roman" w:hAnsi="Times New Roman"/>
          <w:spacing w:val="-2"/>
          <w:sz w:val="22"/>
          <w:szCs w:val="22"/>
        </w:rPr>
      </w:pPr>
      <w:r w:rsidRPr="00B47B2F">
        <w:rPr>
          <w:rFonts w:ascii="Times New Roman" w:hAnsi="Times New Roman"/>
          <w:b/>
          <w:spacing w:val="-2"/>
          <w:sz w:val="22"/>
          <w:szCs w:val="22"/>
        </w:rPr>
        <w:t>PROJECT AND TASK NUMBER</w:t>
      </w:r>
      <w:r w:rsidRPr="00B47B2F">
        <w:rPr>
          <w:rFonts w:ascii="Times New Roman" w:hAnsi="Times New Roman"/>
          <w:spacing w:val="-2"/>
          <w:sz w:val="22"/>
          <w:szCs w:val="22"/>
        </w:rPr>
        <w:t>:</w:t>
      </w:r>
      <w:r w:rsidRPr="00B47B2F">
        <w:rPr>
          <w:rFonts w:ascii="Times New Roman" w:hAnsi="Times New Roman"/>
          <w:spacing w:val="-2"/>
          <w:sz w:val="22"/>
          <w:szCs w:val="22"/>
        </w:rPr>
        <w:tab/>
      </w:r>
      <w:r w:rsidR="00B47B2F" w:rsidRPr="00B47B2F">
        <w:rPr>
          <w:rFonts w:ascii="Times New Roman" w:hAnsi="Times New Roman"/>
          <w:spacing w:val="-2"/>
          <w:sz w:val="22"/>
          <w:szCs w:val="22"/>
        </w:rPr>
        <w:t>IRA9020 9001</w:t>
      </w:r>
    </w:p>
    <w:p w:rsidR="002F2C02" w:rsidRPr="00B47B2F" w:rsidRDefault="002F2C02">
      <w:pPr>
        <w:tabs>
          <w:tab w:val="left" w:pos="-1440"/>
          <w:tab w:val="left" w:pos="-720"/>
          <w:tab w:val="left" w:pos="7088"/>
          <w:tab w:val="left" w:pos="8789"/>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317"/>
          <w:tab w:val="left" w:pos="2520"/>
        </w:tabs>
        <w:suppressAutoHyphens/>
        <w:jc w:val="both"/>
        <w:rPr>
          <w:rFonts w:ascii="Times New Roman" w:hAnsi="Times New Roman"/>
          <w:spacing w:val="-2"/>
          <w:sz w:val="22"/>
          <w:szCs w:val="22"/>
        </w:rPr>
      </w:pPr>
      <w:r w:rsidRPr="00B47B2F">
        <w:rPr>
          <w:rFonts w:ascii="Times New Roman" w:hAnsi="Times New Roman"/>
          <w:b/>
          <w:spacing w:val="-2"/>
          <w:sz w:val="22"/>
          <w:szCs w:val="22"/>
        </w:rPr>
        <w:t>PROJECT TITLE</w:t>
      </w:r>
      <w:r w:rsidRPr="00B47B2F">
        <w:rPr>
          <w:rFonts w:ascii="Times New Roman" w:hAnsi="Times New Roman"/>
          <w:spacing w:val="-2"/>
          <w:sz w:val="22"/>
          <w:szCs w:val="22"/>
        </w:rPr>
        <w:t>:</w:t>
      </w:r>
      <w:r w:rsidRPr="00B47B2F">
        <w:rPr>
          <w:rFonts w:ascii="Times New Roman" w:hAnsi="Times New Roman"/>
          <w:spacing w:val="-2"/>
          <w:sz w:val="22"/>
          <w:szCs w:val="22"/>
        </w:rPr>
        <w:tab/>
      </w:r>
      <w:r w:rsidR="00B47B2F" w:rsidRPr="00B47B2F">
        <w:rPr>
          <w:rFonts w:ascii="Times New Roman" w:hAnsi="Times New Roman"/>
          <w:spacing w:val="-2"/>
          <w:sz w:val="22"/>
          <w:szCs w:val="22"/>
        </w:rPr>
        <w:t>Enhancing the Regulation of Nuclear Facilities and Radiation Activities</w:t>
      </w:r>
    </w:p>
    <w:p w:rsidR="002F2C02" w:rsidRPr="00B47B2F" w:rsidRDefault="002F2C0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B47B2F">
        <w:rPr>
          <w:rFonts w:ascii="Times New Roman" w:hAnsi="Times New Roman"/>
          <w:b/>
          <w:spacing w:val="-2"/>
          <w:sz w:val="22"/>
          <w:szCs w:val="22"/>
        </w:rPr>
        <w:t>TASK TITLE</w:t>
      </w:r>
      <w:r w:rsidRPr="00B47B2F">
        <w:rPr>
          <w:rFonts w:ascii="Times New Roman" w:hAnsi="Times New Roman"/>
          <w:spacing w:val="-2"/>
          <w:sz w:val="22"/>
          <w:szCs w:val="22"/>
        </w:rPr>
        <w:t>:</w:t>
      </w:r>
      <w:r w:rsidRPr="00B47B2F">
        <w:rPr>
          <w:rFonts w:ascii="Times New Roman" w:hAnsi="Times New Roman"/>
          <w:spacing w:val="-2"/>
          <w:sz w:val="22"/>
          <w:szCs w:val="22"/>
        </w:rPr>
        <w:tab/>
      </w:r>
      <w:r w:rsidR="00B47B2F" w:rsidRPr="00B47B2F">
        <w:rPr>
          <w:rFonts w:ascii="Times New Roman" w:hAnsi="Times New Roman"/>
          <w:spacing w:val="-2"/>
          <w:sz w:val="22"/>
          <w:szCs w:val="22"/>
        </w:rPr>
        <w:t>1.1.1 Workshop on the implementation of licensing process of nuclear installations</w:t>
      </w:r>
    </w:p>
    <w:p w:rsidR="002F2C02" w:rsidRPr="00B47B2F" w:rsidRDefault="002F2C0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0"/>
          <w:tab w:val="left" w:pos="317"/>
          <w:tab w:val="left" w:pos="720"/>
        </w:tabs>
        <w:suppressAutoHyphens/>
        <w:jc w:val="both"/>
        <w:rPr>
          <w:rFonts w:ascii="Times New Roman" w:hAnsi="Times New Roman"/>
          <w:spacing w:val="-2"/>
          <w:sz w:val="22"/>
          <w:szCs w:val="22"/>
        </w:rPr>
      </w:pPr>
      <w:r w:rsidRPr="00B47B2F">
        <w:rPr>
          <w:rFonts w:ascii="Times New Roman" w:hAnsi="Times New Roman"/>
          <w:b/>
          <w:spacing w:val="-2"/>
          <w:sz w:val="22"/>
          <w:szCs w:val="22"/>
        </w:rPr>
        <w:t>MISSION DETAILS</w:t>
      </w:r>
      <w:r w:rsidRPr="00B47B2F">
        <w:rPr>
          <w:rFonts w:ascii="Times New Roman" w:hAnsi="Times New Roman"/>
          <w:spacing w:val="-2"/>
          <w:sz w:val="22"/>
          <w:szCs w:val="22"/>
        </w:rPr>
        <w:t>:</w:t>
      </w:r>
    </w:p>
    <w:p w:rsidR="002F2C02" w:rsidRPr="00B47B2F" w:rsidRDefault="00B47B2F">
      <w:pPr>
        <w:tabs>
          <w:tab w:val="left" w:pos="-1440"/>
          <w:tab w:val="left" w:pos="-720"/>
          <w:tab w:val="left" w:pos="0"/>
          <w:tab w:val="left" w:pos="317"/>
          <w:tab w:val="left" w:pos="720"/>
        </w:tabs>
        <w:suppressAutoHyphens/>
        <w:ind w:left="340"/>
        <w:jc w:val="both"/>
        <w:rPr>
          <w:rFonts w:ascii="Times New Roman" w:hAnsi="Times New Roman"/>
          <w:spacing w:val="-2"/>
          <w:sz w:val="22"/>
          <w:szCs w:val="22"/>
        </w:rPr>
      </w:pPr>
      <w:r w:rsidRPr="00B47B2F">
        <w:rPr>
          <w:rFonts w:ascii="Times New Roman" w:hAnsi="Times New Roman"/>
          <w:spacing w:val="-2"/>
          <w:sz w:val="22"/>
          <w:szCs w:val="22"/>
        </w:rPr>
        <w:t xml:space="preserve">The workshop will focus on Licensing of nuclear installations in relation to Licensing Process for Nuclear Installations, Specific Safety Guide, </w:t>
      </w:r>
      <w:proofErr w:type="gramStart"/>
      <w:r w:rsidRPr="00B47B2F">
        <w:rPr>
          <w:rFonts w:ascii="Times New Roman" w:hAnsi="Times New Roman"/>
          <w:spacing w:val="-2"/>
          <w:sz w:val="22"/>
          <w:szCs w:val="22"/>
        </w:rPr>
        <w:t>IAEA</w:t>
      </w:r>
      <w:proofErr w:type="gramEnd"/>
      <w:r w:rsidRPr="00B47B2F">
        <w:rPr>
          <w:rFonts w:ascii="Times New Roman" w:hAnsi="Times New Roman"/>
          <w:spacing w:val="-2"/>
          <w:sz w:val="22"/>
          <w:szCs w:val="22"/>
        </w:rPr>
        <w:t xml:space="preserve"> Safety Standards Series SSG-12. Experts will present national examples of various aspects of licensing. As available, expert will consider INRAs licensing procedures and implementation and draw some conclusions.</w:t>
      </w:r>
    </w:p>
    <w:p w:rsidR="002F2C02" w:rsidRPr="00B47B2F" w:rsidRDefault="002F2C0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317"/>
          <w:tab w:val="left" w:pos="720"/>
        </w:tabs>
        <w:suppressAutoHyphens/>
        <w:jc w:val="both"/>
        <w:rPr>
          <w:rFonts w:ascii="Times New Roman" w:hAnsi="Times New Roman"/>
          <w:spacing w:val="-2"/>
          <w:sz w:val="22"/>
          <w:szCs w:val="22"/>
        </w:rPr>
      </w:pPr>
      <w:r w:rsidRPr="00B47B2F">
        <w:rPr>
          <w:rFonts w:ascii="Times New Roman" w:hAnsi="Times New Roman"/>
          <w:b/>
          <w:spacing w:val="-2"/>
          <w:sz w:val="22"/>
          <w:szCs w:val="22"/>
        </w:rPr>
        <w:t>DUTY STATION</w:t>
      </w:r>
      <w:r w:rsidRPr="00B47B2F">
        <w:rPr>
          <w:rFonts w:ascii="Times New Roman" w:hAnsi="Times New Roman"/>
          <w:spacing w:val="-2"/>
          <w:sz w:val="22"/>
          <w:szCs w:val="22"/>
        </w:rPr>
        <w:t>(</w:t>
      </w:r>
      <w:r w:rsidRPr="00B47B2F">
        <w:rPr>
          <w:rFonts w:ascii="Times New Roman" w:hAnsi="Times New Roman"/>
          <w:b/>
          <w:spacing w:val="-2"/>
          <w:sz w:val="22"/>
          <w:szCs w:val="22"/>
        </w:rPr>
        <w:t>S</w:t>
      </w:r>
      <w:r w:rsidRPr="00B47B2F">
        <w:rPr>
          <w:rFonts w:ascii="Times New Roman" w:hAnsi="Times New Roman"/>
          <w:spacing w:val="-2"/>
          <w:sz w:val="22"/>
          <w:szCs w:val="22"/>
        </w:rPr>
        <w:t>):</w:t>
      </w:r>
    </w:p>
    <w:p w:rsidR="002F2C02" w:rsidRPr="00B47B2F" w:rsidRDefault="00B47B2F">
      <w:pPr>
        <w:tabs>
          <w:tab w:val="left" w:pos="-1440"/>
          <w:tab w:val="left" w:pos="-720"/>
          <w:tab w:val="left" w:pos="317"/>
          <w:tab w:val="left" w:pos="720"/>
        </w:tabs>
        <w:suppressAutoHyphens/>
        <w:ind w:left="340"/>
        <w:jc w:val="both"/>
        <w:rPr>
          <w:rFonts w:ascii="Times New Roman" w:hAnsi="Times New Roman"/>
          <w:spacing w:val="-2"/>
          <w:sz w:val="22"/>
          <w:szCs w:val="22"/>
        </w:rPr>
      </w:pPr>
      <w:r w:rsidRPr="00B47B2F">
        <w:rPr>
          <w:rFonts w:ascii="Times New Roman" w:hAnsi="Times New Roman"/>
          <w:spacing w:val="-2"/>
          <w:sz w:val="22"/>
          <w:szCs w:val="22"/>
        </w:rPr>
        <w:t>Atomic Energy Organization of Iran (AEOI); Iranian Nuclear Regulatory Authority (INRA), Tehran, Iran, Islamic Republic of</w:t>
      </w:r>
    </w:p>
    <w:p w:rsidR="002F2C02" w:rsidRPr="00B47B2F" w:rsidRDefault="002F2C02">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B47B2F">
        <w:rPr>
          <w:rFonts w:ascii="Times New Roman" w:hAnsi="Times New Roman"/>
          <w:b/>
          <w:spacing w:val="-2"/>
          <w:sz w:val="22"/>
          <w:szCs w:val="22"/>
        </w:rPr>
        <w:t>EXPERT'S COUNTERPART</w:t>
      </w:r>
      <w:r w:rsidRPr="00B47B2F">
        <w:rPr>
          <w:rFonts w:ascii="Times New Roman" w:hAnsi="Times New Roman"/>
          <w:spacing w:val="-2"/>
          <w:sz w:val="22"/>
          <w:szCs w:val="22"/>
        </w:rPr>
        <w:t>(</w:t>
      </w:r>
      <w:r w:rsidRPr="00B47B2F">
        <w:rPr>
          <w:rFonts w:ascii="Times New Roman" w:hAnsi="Times New Roman"/>
          <w:b/>
          <w:spacing w:val="-2"/>
          <w:sz w:val="22"/>
          <w:szCs w:val="22"/>
        </w:rPr>
        <w:t>S</w:t>
      </w:r>
      <w:r w:rsidRPr="00B47B2F">
        <w:rPr>
          <w:rFonts w:ascii="Times New Roman" w:hAnsi="Times New Roman"/>
          <w:spacing w:val="-2"/>
          <w:sz w:val="22"/>
          <w:szCs w:val="22"/>
        </w:rPr>
        <w:t>):</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 xml:space="preserve">Mr. </w:t>
      </w:r>
      <w:proofErr w:type="spellStart"/>
      <w:proofErr w:type="gramStart"/>
      <w:r w:rsidRPr="00B47B2F">
        <w:rPr>
          <w:rFonts w:ascii="Times New Roman" w:hAnsi="Times New Roman"/>
          <w:spacing w:val="-2"/>
          <w:sz w:val="22"/>
          <w:szCs w:val="22"/>
        </w:rPr>
        <w:t>Naimeddin</w:t>
      </w:r>
      <w:proofErr w:type="spellEnd"/>
      <w:r w:rsidRPr="00B47B2F">
        <w:rPr>
          <w:rFonts w:ascii="Times New Roman" w:hAnsi="Times New Roman"/>
          <w:spacing w:val="-2"/>
          <w:sz w:val="22"/>
          <w:szCs w:val="22"/>
        </w:rPr>
        <w:t xml:space="preserve">  </w:t>
      </w:r>
      <w:proofErr w:type="spellStart"/>
      <w:r w:rsidRPr="00B47B2F">
        <w:rPr>
          <w:rFonts w:ascii="Times New Roman" w:hAnsi="Times New Roman"/>
          <w:spacing w:val="-2"/>
          <w:sz w:val="22"/>
          <w:szCs w:val="22"/>
        </w:rPr>
        <w:t>Mataji</w:t>
      </w:r>
      <w:proofErr w:type="spellEnd"/>
      <w:proofErr w:type="gramEnd"/>
      <w:r w:rsidRPr="00B47B2F">
        <w:rPr>
          <w:rFonts w:ascii="Times New Roman" w:hAnsi="Times New Roman"/>
          <w:spacing w:val="-2"/>
          <w:sz w:val="22"/>
          <w:szCs w:val="22"/>
        </w:rPr>
        <w:t xml:space="preserve"> </w:t>
      </w:r>
      <w:proofErr w:type="spellStart"/>
      <w:r w:rsidRPr="00B47B2F">
        <w:rPr>
          <w:rFonts w:ascii="Times New Roman" w:hAnsi="Times New Roman"/>
          <w:spacing w:val="-2"/>
          <w:sz w:val="22"/>
          <w:szCs w:val="22"/>
        </w:rPr>
        <w:t>Kojouri</w:t>
      </w:r>
      <w:proofErr w:type="spellEnd"/>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Atomic Energy Organization of Iran (AEOI)</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Iranian Nuclear Regulatory Authority (INRA)</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 xml:space="preserve">End of North </w:t>
      </w:r>
      <w:proofErr w:type="spellStart"/>
      <w:r w:rsidRPr="00B47B2F">
        <w:rPr>
          <w:rFonts w:ascii="Times New Roman" w:hAnsi="Times New Roman"/>
          <w:spacing w:val="-2"/>
          <w:sz w:val="22"/>
          <w:szCs w:val="22"/>
        </w:rPr>
        <w:t>Karegar</w:t>
      </w:r>
      <w:proofErr w:type="spellEnd"/>
      <w:r w:rsidRPr="00B47B2F">
        <w:rPr>
          <w:rFonts w:ascii="Times New Roman" w:hAnsi="Times New Roman"/>
          <w:spacing w:val="-2"/>
          <w:sz w:val="22"/>
          <w:szCs w:val="22"/>
        </w:rPr>
        <w:t xml:space="preserve"> Avenue</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P.O. Box 14155-4494</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14374 Tehran</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Iran, Islamic Republic of</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Tel.:</w:t>
      </w:r>
      <w:r w:rsidRPr="00B47B2F">
        <w:rPr>
          <w:rFonts w:ascii="Times New Roman" w:hAnsi="Times New Roman"/>
          <w:spacing w:val="-2"/>
          <w:sz w:val="22"/>
          <w:szCs w:val="22"/>
        </w:rPr>
        <w:tab/>
        <w:t>0098 21 88221079</w:t>
      </w:r>
    </w:p>
    <w:p w:rsidR="00B47B2F"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Fax:</w:t>
      </w:r>
      <w:r w:rsidRPr="00B47B2F">
        <w:rPr>
          <w:rFonts w:ascii="Times New Roman" w:hAnsi="Times New Roman"/>
          <w:spacing w:val="-2"/>
          <w:sz w:val="22"/>
          <w:szCs w:val="22"/>
        </w:rPr>
        <w:tab/>
        <w:t>0098 21 88221091</w:t>
      </w:r>
    </w:p>
    <w:p w:rsidR="002F2C02" w:rsidRPr="00B47B2F" w:rsidRDefault="00B47B2F">
      <w:pPr>
        <w:tabs>
          <w:tab w:val="left" w:pos="-1440"/>
          <w:tab w:val="left" w:pos="-720"/>
          <w:tab w:val="left" w:pos="1440"/>
        </w:tabs>
        <w:suppressAutoHyphens/>
        <w:ind w:left="1440" w:hanging="1080"/>
        <w:jc w:val="both"/>
        <w:rPr>
          <w:rFonts w:ascii="Times New Roman" w:hAnsi="Times New Roman"/>
          <w:spacing w:val="-2"/>
          <w:sz w:val="22"/>
          <w:szCs w:val="22"/>
        </w:rPr>
      </w:pPr>
      <w:r w:rsidRPr="00B47B2F">
        <w:rPr>
          <w:rFonts w:ascii="Times New Roman" w:hAnsi="Times New Roman"/>
          <w:spacing w:val="-2"/>
          <w:sz w:val="22"/>
          <w:szCs w:val="22"/>
        </w:rPr>
        <w:t>Email:</w:t>
      </w:r>
      <w:r w:rsidRPr="00B47B2F">
        <w:rPr>
          <w:rFonts w:ascii="Times New Roman" w:hAnsi="Times New Roman"/>
          <w:spacing w:val="-2"/>
          <w:sz w:val="22"/>
          <w:szCs w:val="22"/>
        </w:rPr>
        <w:tab/>
        <w:t>nkojouri@aeoi.org.ir</w:t>
      </w:r>
    </w:p>
    <w:p w:rsidR="002F2C02" w:rsidRPr="00B47B2F" w:rsidRDefault="002F2C02">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B47B2F">
        <w:rPr>
          <w:rFonts w:ascii="Times New Roman" w:hAnsi="Times New Roman"/>
          <w:b/>
          <w:spacing w:val="-2"/>
          <w:sz w:val="22"/>
          <w:szCs w:val="22"/>
        </w:rPr>
        <w:t>DUTY PERIOD</w:t>
      </w:r>
      <w:r w:rsidRPr="00B47B2F">
        <w:rPr>
          <w:rFonts w:ascii="Times New Roman" w:hAnsi="Times New Roman"/>
          <w:spacing w:val="-2"/>
          <w:sz w:val="22"/>
          <w:szCs w:val="22"/>
        </w:rPr>
        <w:t>:</w:t>
      </w:r>
    </w:p>
    <w:p w:rsidR="002F2C02" w:rsidRPr="00B47B2F" w:rsidRDefault="00705FEB">
      <w:pPr>
        <w:tabs>
          <w:tab w:val="left" w:pos="-1440"/>
          <w:tab w:val="left" w:pos="-720"/>
          <w:tab w:val="left" w:pos="3402"/>
        </w:tabs>
        <w:suppressAutoHyphens/>
        <w:ind w:left="340"/>
        <w:jc w:val="both"/>
        <w:rPr>
          <w:rFonts w:ascii="Times New Roman" w:hAnsi="Times New Roman"/>
          <w:sz w:val="22"/>
          <w:szCs w:val="22"/>
        </w:rPr>
      </w:pPr>
      <w:r w:rsidRPr="00B47B2F">
        <w:rPr>
          <w:rFonts w:ascii="Times New Roman" w:hAnsi="Times New Roman"/>
          <w:sz w:val="22"/>
          <w:szCs w:val="22"/>
        </w:rPr>
        <w:t>Suggested start date:</w:t>
      </w:r>
      <w:r w:rsidRPr="00B47B2F">
        <w:rPr>
          <w:rFonts w:ascii="Times New Roman" w:hAnsi="Times New Roman"/>
          <w:sz w:val="22"/>
          <w:szCs w:val="22"/>
        </w:rPr>
        <w:tab/>
      </w:r>
      <w:r w:rsidR="00B47B2F" w:rsidRPr="00B47B2F">
        <w:rPr>
          <w:rFonts w:ascii="Times New Roman" w:hAnsi="Times New Roman"/>
          <w:sz w:val="22"/>
          <w:szCs w:val="22"/>
        </w:rPr>
        <w:t>2012-12-09</w:t>
      </w:r>
    </w:p>
    <w:p w:rsidR="00B47B2F" w:rsidRPr="00B47B2F" w:rsidRDefault="00705FEB">
      <w:pPr>
        <w:tabs>
          <w:tab w:val="left" w:pos="-1440"/>
          <w:tab w:val="left" w:pos="-720"/>
          <w:tab w:val="left" w:pos="2410"/>
          <w:tab w:val="left" w:pos="3402"/>
        </w:tabs>
        <w:suppressAutoHyphens/>
        <w:ind w:left="340"/>
        <w:jc w:val="both"/>
        <w:rPr>
          <w:rFonts w:ascii="Times New Roman" w:hAnsi="Times New Roman"/>
          <w:spacing w:val="-2"/>
          <w:sz w:val="22"/>
          <w:szCs w:val="22"/>
        </w:rPr>
      </w:pPr>
      <w:r w:rsidRPr="00B47B2F">
        <w:rPr>
          <w:rFonts w:ascii="Times New Roman" w:hAnsi="Times New Roman"/>
          <w:spacing w:val="-2"/>
          <w:sz w:val="22"/>
          <w:szCs w:val="22"/>
        </w:rPr>
        <w:t>Total number of working days:</w:t>
      </w:r>
      <w:r w:rsidRPr="00B47B2F">
        <w:rPr>
          <w:rFonts w:ascii="Times New Roman" w:hAnsi="Times New Roman"/>
          <w:spacing w:val="-2"/>
          <w:sz w:val="22"/>
          <w:szCs w:val="22"/>
        </w:rPr>
        <w:tab/>
      </w:r>
      <w:r w:rsidR="00B47B2F" w:rsidRPr="00B47B2F">
        <w:rPr>
          <w:rFonts w:ascii="Times New Roman" w:hAnsi="Times New Roman"/>
          <w:spacing w:val="-2"/>
          <w:sz w:val="22"/>
          <w:szCs w:val="22"/>
        </w:rPr>
        <w:t>4</w:t>
      </w:r>
    </w:p>
    <w:p w:rsidR="00B47B2F" w:rsidRPr="00B47B2F" w:rsidRDefault="00B47B2F">
      <w:pPr>
        <w:tabs>
          <w:tab w:val="left" w:pos="-1440"/>
          <w:tab w:val="left" w:pos="-720"/>
          <w:tab w:val="left" w:pos="2410"/>
          <w:tab w:val="left" w:pos="3402"/>
        </w:tabs>
        <w:suppressAutoHyphens/>
        <w:ind w:left="340"/>
        <w:jc w:val="both"/>
        <w:rPr>
          <w:rFonts w:ascii="Times New Roman" w:hAnsi="Times New Roman"/>
          <w:spacing w:val="-2"/>
          <w:sz w:val="22"/>
          <w:szCs w:val="22"/>
        </w:rPr>
      </w:pPr>
    </w:p>
    <w:p w:rsidR="002F2C02" w:rsidRPr="00B47B2F" w:rsidRDefault="00705FEB">
      <w:pPr>
        <w:tabs>
          <w:tab w:val="left" w:pos="-1440"/>
          <w:tab w:val="left" w:pos="-720"/>
          <w:tab w:val="left" w:pos="1440"/>
        </w:tabs>
        <w:suppressAutoHyphens/>
        <w:jc w:val="both"/>
        <w:rPr>
          <w:rFonts w:ascii="Times New Roman" w:hAnsi="Times New Roman"/>
          <w:spacing w:val="-2"/>
          <w:sz w:val="22"/>
          <w:szCs w:val="22"/>
        </w:rPr>
      </w:pPr>
      <w:r w:rsidRPr="00B47B2F">
        <w:rPr>
          <w:rFonts w:ascii="Times New Roman" w:hAnsi="Times New Roman"/>
          <w:b/>
          <w:spacing w:val="-2"/>
          <w:sz w:val="22"/>
          <w:szCs w:val="22"/>
        </w:rPr>
        <w:t>DUTIES</w:t>
      </w:r>
      <w:r w:rsidRPr="00B47B2F">
        <w:rPr>
          <w:rFonts w:ascii="Times New Roman" w:hAnsi="Times New Roman"/>
          <w:spacing w:val="-2"/>
          <w:sz w:val="22"/>
          <w:szCs w:val="22"/>
        </w:rPr>
        <w:t>:</w:t>
      </w:r>
    </w:p>
    <w:p w:rsidR="002F2C02" w:rsidRPr="00B47B2F" w:rsidRDefault="00B47B2F">
      <w:pPr>
        <w:tabs>
          <w:tab w:val="left" w:pos="-1440"/>
          <w:tab w:val="left" w:pos="-720"/>
          <w:tab w:val="left" w:pos="318"/>
          <w:tab w:val="left" w:pos="720"/>
        </w:tabs>
        <w:suppressAutoHyphens/>
        <w:ind w:left="340"/>
        <w:jc w:val="both"/>
        <w:rPr>
          <w:rFonts w:ascii="Times New Roman" w:hAnsi="Times New Roman"/>
          <w:spacing w:val="-2"/>
          <w:sz w:val="22"/>
          <w:szCs w:val="22"/>
        </w:rPr>
      </w:pPr>
      <w:r w:rsidRPr="00B47B2F">
        <w:rPr>
          <w:rFonts w:ascii="Times New Roman" w:hAnsi="Times New Roman"/>
          <w:spacing w:val="-2"/>
          <w:sz w:val="22"/>
          <w:szCs w:val="22"/>
        </w:rPr>
        <w:t>Participate in Workshop on Licensing. Expert will present national examples of various aspects of licensing. As available, expert will consider INRAs licensing procedures and implemen</w:t>
      </w:r>
      <w:r>
        <w:rPr>
          <w:rFonts w:ascii="Times New Roman" w:hAnsi="Times New Roman"/>
          <w:spacing w:val="-2"/>
          <w:sz w:val="22"/>
          <w:szCs w:val="22"/>
        </w:rPr>
        <w:t>ta</w:t>
      </w:r>
      <w:r w:rsidRPr="00B47B2F">
        <w:rPr>
          <w:rFonts w:ascii="Times New Roman" w:hAnsi="Times New Roman"/>
          <w:spacing w:val="-2"/>
          <w:sz w:val="22"/>
          <w:szCs w:val="22"/>
        </w:rPr>
        <w:t>tion and draw some conclusions</w:t>
      </w:r>
    </w:p>
    <w:p w:rsidR="002F2C02" w:rsidRPr="00B47B2F" w:rsidRDefault="002F2C02">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2700"/>
        </w:tabs>
        <w:suppressAutoHyphens/>
        <w:jc w:val="both"/>
        <w:rPr>
          <w:rFonts w:ascii="Times New Roman" w:hAnsi="Times New Roman"/>
          <w:spacing w:val="-2"/>
          <w:sz w:val="22"/>
          <w:szCs w:val="22"/>
        </w:rPr>
      </w:pPr>
      <w:r w:rsidRPr="00B47B2F">
        <w:rPr>
          <w:rFonts w:ascii="Times New Roman" w:hAnsi="Times New Roman"/>
          <w:b/>
          <w:spacing w:val="-2"/>
          <w:sz w:val="22"/>
          <w:szCs w:val="22"/>
        </w:rPr>
        <w:t>QUALIFICATIONS</w:t>
      </w:r>
      <w:r w:rsidRPr="00B47B2F">
        <w:rPr>
          <w:rFonts w:ascii="Times New Roman" w:hAnsi="Times New Roman"/>
          <w:spacing w:val="-2"/>
          <w:sz w:val="22"/>
          <w:szCs w:val="22"/>
        </w:rPr>
        <w:t>:</w:t>
      </w:r>
      <w:r w:rsidRPr="00B47B2F">
        <w:rPr>
          <w:rFonts w:ascii="Times New Roman" w:hAnsi="Times New Roman"/>
          <w:spacing w:val="-2"/>
          <w:sz w:val="22"/>
          <w:szCs w:val="22"/>
        </w:rPr>
        <w:tab/>
      </w:r>
      <w:bookmarkStart w:id="0" w:name="_GoBack"/>
      <w:bookmarkEnd w:id="0"/>
      <w:r w:rsidR="00B47B2F" w:rsidRPr="00B47B2F">
        <w:rPr>
          <w:rFonts w:ascii="Times New Roman" w:hAnsi="Times New Roman"/>
          <w:spacing w:val="-2"/>
          <w:sz w:val="22"/>
          <w:szCs w:val="22"/>
        </w:rPr>
        <w:t>experience in licensing within Ukraine, especially within the area of nuclear power plants and research reactors.</w:t>
      </w:r>
    </w:p>
    <w:p w:rsidR="002F2C02" w:rsidRPr="00B47B2F" w:rsidRDefault="002F2C02">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2F2C02" w:rsidRPr="00B47B2F" w:rsidRDefault="00705FEB">
      <w:pPr>
        <w:tabs>
          <w:tab w:val="left" w:pos="3600"/>
        </w:tabs>
        <w:suppressAutoHyphens/>
        <w:jc w:val="both"/>
        <w:rPr>
          <w:rFonts w:ascii="Times New Roman" w:hAnsi="Times New Roman"/>
          <w:spacing w:val="-2"/>
          <w:sz w:val="22"/>
          <w:szCs w:val="22"/>
        </w:rPr>
      </w:pPr>
      <w:r w:rsidRPr="00B47B2F">
        <w:rPr>
          <w:rFonts w:ascii="Times New Roman" w:hAnsi="Times New Roman"/>
          <w:b/>
          <w:spacing w:val="-2"/>
          <w:sz w:val="22"/>
          <w:szCs w:val="22"/>
        </w:rPr>
        <w:t>REQUIRED LANGUAGE</w:t>
      </w:r>
      <w:r w:rsidRPr="00B47B2F">
        <w:rPr>
          <w:rFonts w:ascii="Times New Roman" w:hAnsi="Times New Roman"/>
          <w:spacing w:val="-2"/>
          <w:sz w:val="22"/>
          <w:szCs w:val="22"/>
        </w:rPr>
        <w:t>(</w:t>
      </w:r>
      <w:r w:rsidRPr="00B47B2F">
        <w:rPr>
          <w:rFonts w:ascii="Times New Roman" w:hAnsi="Times New Roman"/>
          <w:b/>
          <w:spacing w:val="-2"/>
          <w:sz w:val="22"/>
          <w:szCs w:val="22"/>
        </w:rPr>
        <w:t>S</w:t>
      </w:r>
      <w:r w:rsidRPr="00B47B2F">
        <w:rPr>
          <w:rFonts w:ascii="Times New Roman" w:hAnsi="Times New Roman"/>
          <w:spacing w:val="-2"/>
          <w:sz w:val="22"/>
          <w:szCs w:val="22"/>
        </w:rPr>
        <w:t>):</w:t>
      </w:r>
      <w:r w:rsidRPr="00B47B2F">
        <w:rPr>
          <w:rFonts w:ascii="Times New Roman" w:hAnsi="Times New Roman"/>
          <w:spacing w:val="-2"/>
          <w:sz w:val="22"/>
          <w:szCs w:val="22"/>
        </w:rPr>
        <w:tab/>
      </w:r>
      <w:r w:rsidR="00B47B2F" w:rsidRPr="00B47B2F">
        <w:rPr>
          <w:rFonts w:ascii="Times New Roman" w:hAnsi="Times New Roman"/>
          <w:spacing w:val="-2"/>
          <w:sz w:val="22"/>
          <w:szCs w:val="22"/>
        </w:rPr>
        <w:t>ENG</w:t>
      </w:r>
    </w:p>
    <w:p w:rsidR="002F2C02" w:rsidRPr="00B47B2F" w:rsidRDefault="002F2C02">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2F2C02" w:rsidRPr="00B47B2F" w:rsidRDefault="00705FEB">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B47B2F">
        <w:rPr>
          <w:rFonts w:ascii="Times New Roman" w:hAnsi="Times New Roman"/>
          <w:b/>
          <w:spacing w:val="-2"/>
          <w:sz w:val="22"/>
          <w:szCs w:val="22"/>
        </w:rPr>
        <w:t>BACKGROUND PROJECT INFORMATION</w:t>
      </w:r>
      <w:r w:rsidRPr="00B47B2F">
        <w:rPr>
          <w:rFonts w:ascii="Times New Roman" w:hAnsi="Times New Roman"/>
          <w:spacing w:val="-2"/>
          <w:sz w:val="22"/>
          <w:szCs w:val="22"/>
        </w:rPr>
        <w:t>:</w:t>
      </w:r>
    </w:p>
    <w:p w:rsidR="00B47B2F" w:rsidRPr="00B47B2F" w:rsidRDefault="00B47B2F">
      <w:pPr>
        <w:tabs>
          <w:tab w:val="left" w:pos="-1440"/>
          <w:tab w:val="left" w:pos="-720"/>
        </w:tabs>
        <w:suppressAutoHyphens/>
        <w:ind w:left="354"/>
        <w:jc w:val="both"/>
        <w:rPr>
          <w:rFonts w:ascii="Times New Roman" w:hAnsi="Times New Roman"/>
          <w:spacing w:val="-2"/>
          <w:sz w:val="22"/>
          <w:szCs w:val="22"/>
        </w:rPr>
      </w:pPr>
      <w:r w:rsidRPr="00B47B2F">
        <w:rPr>
          <w:rFonts w:ascii="Times New Roman" w:hAnsi="Times New Roman"/>
          <w:spacing w:val="-2"/>
          <w:sz w:val="22"/>
          <w:szCs w:val="22"/>
        </w:rPr>
        <w:t>To enhance the capability of the Iran Nuclear Regulatory Authority (INRA) in licensing and control of nuclear facilities and radiation activities in IRAN, in accordance with international safety codes, standards and proven practice.</w:t>
      </w:r>
    </w:p>
    <w:p w:rsidR="00705FEB" w:rsidRPr="00B47B2F" w:rsidRDefault="00705FEB">
      <w:pPr>
        <w:tabs>
          <w:tab w:val="left" w:pos="-1440"/>
          <w:tab w:val="left" w:pos="-720"/>
        </w:tabs>
        <w:suppressAutoHyphens/>
        <w:ind w:left="354"/>
        <w:jc w:val="both"/>
        <w:rPr>
          <w:rFonts w:ascii="Times New Roman" w:hAnsi="Times New Roman"/>
          <w:spacing w:val="-2"/>
          <w:sz w:val="22"/>
          <w:szCs w:val="22"/>
        </w:rPr>
      </w:pPr>
    </w:p>
    <w:sectPr w:rsidR="00705FEB" w:rsidRPr="00B47B2F">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2F" w:rsidRDefault="00B47B2F">
      <w:pPr>
        <w:spacing w:line="20" w:lineRule="exact"/>
        <w:rPr>
          <w:sz w:val="24"/>
        </w:rPr>
      </w:pPr>
    </w:p>
  </w:endnote>
  <w:endnote w:type="continuationSeparator" w:id="0">
    <w:p w:rsidR="00B47B2F" w:rsidRDefault="00B47B2F">
      <w:r>
        <w:rPr>
          <w:sz w:val="24"/>
        </w:rPr>
        <w:t xml:space="preserve"> </w:t>
      </w:r>
    </w:p>
  </w:endnote>
  <w:endnote w:type="continuationNotice" w:id="1">
    <w:p w:rsidR="00B47B2F" w:rsidRDefault="00B47B2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02" w:rsidRDefault="00705FEB">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sidR="00B47B2F">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2F" w:rsidRDefault="00B47B2F">
      <w:r>
        <w:rPr>
          <w:sz w:val="24"/>
        </w:rPr>
        <w:separator/>
      </w:r>
    </w:p>
  </w:footnote>
  <w:footnote w:type="continuationSeparator" w:id="0">
    <w:p w:rsidR="00B47B2F" w:rsidRDefault="00B47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2F"/>
    <w:rsid w:val="002F2C02"/>
    <w:rsid w:val="00705FEB"/>
    <w:rsid w:val="00B47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B47B2F"/>
    <w:rPr>
      <w:rFonts w:ascii="Tahoma" w:hAnsi="Tahoma" w:cs="Tahoma"/>
      <w:sz w:val="16"/>
      <w:szCs w:val="16"/>
    </w:rPr>
  </w:style>
  <w:style w:type="character" w:customStyle="1" w:styleId="BalloonTextChar">
    <w:name w:val="Balloon Text Char"/>
    <w:basedOn w:val="DefaultParagraphFont"/>
    <w:link w:val="BalloonText"/>
    <w:uiPriority w:val="99"/>
    <w:semiHidden/>
    <w:rsid w:val="00B47B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B47B2F"/>
    <w:rPr>
      <w:rFonts w:ascii="Tahoma" w:hAnsi="Tahoma" w:cs="Tahoma"/>
      <w:sz w:val="16"/>
      <w:szCs w:val="16"/>
    </w:rPr>
  </w:style>
  <w:style w:type="character" w:customStyle="1" w:styleId="BalloonTextChar">
    <w:name w:val="Balloon Text Char"/>
    <w:basedOn w:val="DefaultParagraphFont"/>
    <w:link w:val="BalloonText"/>
    <w:uiPriority w:val="99"/>
    <w:semiHidden/>
    <w:rsid w:val="00B47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2010\Job%20Descrip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Description.dotm</Template>
  <TotalTime>2</TotalTime>
  <Pages>1</Pages>
  <Words>245</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2004-06-18T14:37:00Z</cp:lastPrinted>
  <dcterms:created xsi:type="dcterms:W3CDTF">2012-11-12T17:34:00Z</dcterms:created>
  <dcterms:modified xsi:type="dcterms:W3CDTF">2012-11-12T17:36:00Z</dcterms:modified>
</cp:coreProperties>
</file>