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640" w:type="dxa"/>
        <w:tblLayout w:type="fixed"/>
        <w:tblLook w:val="04A0" w:firstRow="1" w:lastRow="0" w:firstColumn="1" w:lastColumn="0" w:noHBand="0" w:noVBand="1"/>
      </w:tblPr>
      <w:tblGrid>
        <w:gridCol w:w="883"/>
        <w:gridCol w:w="2722"/>
        <w:gridCol w:w="2523"/>
        <w:gridCol w:w="1275"/>
        <w:gridCol w:w="2410"/>
        <w:gridCol w:w="1276"/>
        <w:gridCol w:w="2551"/>
      </w:tblGrid>
      <w:tr w:rsidR="00B149A4" w:rsidRPr="00B44AD6" w:rsidTr="00F77867">
        <w:trPr>
          <w:tblHeader/>
        </w:trPr>
        <w:tc>
          <w:tcPr>
            <w:tcW w:w="13640" w:type="dxa"/>
            <w:gridSpan w:val="7"/>
            <w:shd w:val="clear" w:color="auto" w:fill="C6DBDC"/>
            <w:vAlign w:val="center"/>
          </w:tcPr>
          <w:p w:rsidR="00B149A4" w:rsidRPr="00B44AD6" w:rsidRDefault="00B149A4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جدول اقدامات مترتب بر اجرای آیین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نامه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اجرایی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تبصره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(2)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ماده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(26)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قانون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احکام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br/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دایمی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برنامه</w:t>
            </w:r>
            <w:r w:rsidRPr="00B44AD6">
              <w:rPr>
                <w:rFonts w:ascii="Times New Roman" w:hAnsi="Times New Roman" w:cs="B Mitra" w:hint="eastAsia"/>
                <w:b/>
                <w:bCs/>
                <w:sz w:val="20"/>
                <w:szCs w:val="24"/>
                <w:rtl/>
              </w:rPr>
              <w:t>‌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های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توسعه</w:t>
            </w:r>
            <w:r w:rsidRPr="00B44AD6"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کشور</w:t>
            </w:r>
          </w:p>
        </w:tc>
      </w:tr>
      <w:tr w:rsidR="00B149A4" w:rsidRPr="00B44AD6" w:rsidTr="00B149A4">
        <w:trPr>
          <w:trHeight w:val="512"/>
          <w:tblHeader/>
        </w:trPr>
        <w:tc>
          <w:tcPr>
            <w:tcW w:w="883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ماده/بند</w:t>
            </w:r>
          </w:p>
        </w:tc>
        <w:tc>
          <w:tcPr>
            <w:tcW w:w="2722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موضوع</w:t>
            </w:r>
          </w:p>
        </w:tc>
        <w:tc>
          <w:tcPr>
            <w:tcW w:w="2523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نوع اقدام</w:t>
            </w:r>
          </w:p>
        </w:tc>
        <w:tc>
          <w:tcPr>
            <w:tcW w:w="1275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مسئول اقدام</w:t>
            </w:r>
          </w:p>
        </w:tc>
        <w:tc>
          <w:tcPr>
            <w:tcW w:w="2410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مشاركت كننده</w:t>
            </w:r>
          </w:p>
        </w:tc>
        <w:tc>
          <w:tcPr>
            <w:tcW w:w="1276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تاریخ انجام</w:t>
            </w:r>
          </w:p>
        </w:tc>
        <w:tc>
          <w:tcPr>
            <w:tcW w:w="2551" w:type="dxa"/>
            <w:shd w:val="clear" w:color="auto" w:fill="ACA73B" w:themeFill="background2" w:themeFillShade="80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b/>
                <w:bCs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b/>
                <w:bCs/>
                <w:sz w:val="20"/>
                <w:szCs w:val="24"/>
                <w:rtl/>
              </w:rPr>
              <w:t>توضیحات</w:t>
            </w:r>
          </w:p>
        </w:tc>
      </w:tr>
      <w:tr w:rsidR="00B149A4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EE04D2" w:rsidRPr="00B44AD6" w:rsidRDefault="00EE04D2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Align w:val="center"/>
          </w:tcPr>
          <w:p w:rsidR="00EE04D2" w:rsidRPr="00EE04D2" w:rsidRDefault="00EE04D2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كارگروه</w:t>
            </w:r>
          </w:p>
        </w:tc>
        <w:tc>
          <w:tcPr>
            <w:tcW w:w="2523" w:type="dxa"/>
            <w:vAlign w:val="center"/>
          </w:tcPr>
          <w:p w:rsidR="00EE04D2" w:rsidRPr="00EE04D2" w:rsidRDefault="00EE04D2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عنوان كارگروه / كميته داخلي سازمان و اعضاي آن</w:t>
            </w:r>
          </w:p>
        </w:tc>
        <w:tc>
          <w:tcPr>
            <w:tcW w:w="1275" w:type="dxa"/>
            <w:vAlign w:val="center"/>
          </w:tcPr>
          <w:p w:rsidR="00EE04D2" w:rsidRPr="009808DF" w:rsidRDefault="009808DF" w:rsidP="00B149A4">
            <w:pPr>
              <w:jc w:val="center"/>
              <w:rPr>
                <w:highlight w:val="yellow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EE04D2" w:rsidRDefault="00EE04D2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E04D2" w:rsidRPr="00B44AD6" w:rsidRDefault="00EE04D2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EE04D2" w:rsidRPr="00B44AD6" w:rsidRDefault="00EE04D2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Align w:val="center"/>
          </w:tcPr>
          <w:p w:rsidR="009808DF" w:rsidRPr="00EE04D2" w:rsidRDefault="009808DF" w:rsidP="00B149A4">
            <w:pPr>
              <w:jc w:val="both"/>
              <w:rPr>
                <w:rFonts w:ascii="Times New Roman" w:hAnsi="Times New Roman" w:cs="B Mitra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مشاور</w:t>
            </w:r>
          </w:p>
        </w:tc>
        <w:tc>
          <w:tcPr>
            <w:tcW w:w="2523" w:type="dxa"/>
            <w:vAlign w:val="center"/>
          </w:tcPr>
          <w:p w:rsidR="009808DF" w:rsidRPr="00EE04D2" w:rsidRDefault="009808DF" w:rsidP="00B149A4">
            <w:pPr>
              <w:jc w:val="both"/>
              <w:rPr>
                <w:rFonts w:ascii="Times New Roman" w:hAnsi="Times New Roman" w:cs="B Mitra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مشاور يا شركت پشتيباني فني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2225E0">
            <w:pPr>
              <w:jc w:val="center"/>
              <w:rPr>
                <w:highlight w:val="yellow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Align w:val="center"/>
          </w:tcPr>
          <w:p w:rsidR="009808DF" w:rsidRPr="00EE04D2" w:rsidRDefault="009808DF" w:rsidP="009808DF">
            <w:pPr>
              <w:pStyle w:val="CommentText"/>
              <w:jc w:val="both"/>
              <w:rPr>
                <w:rFonts w:ascii="Times New Roman" w:hAnsi="Times New Roman" w:cs="B Mitra"/>
                <w:szCs w:val="24"/>
                <w:highlight w:val="yellow"/>
                <w:rtl/>
              </w:rPr>
            </w:pPr>
            <w:r w:rsidRPr="00AF671E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روش اندازه</w:t>
            </w:r>
            <w:r>
              <w:rPr>
                <w:rFonts w:ascii="Times New Roman" w:hAnsi="Times New Roman" w:cs="B Mitra"/>
                <w:szCs w:val="24"/>
                <w:highlight w:val="yellow"/>
                <w:rtl/>
              </w:rPr>
              <w:softHyphen/>
            </w:r>
            <w:r w:rsidRPr="00AF671E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گيري</w:t>
            </w:r>
          </w:p>
        </w:tc>
        <w:tc>
          <w:tcPr>
            <w:tcW w:w="2523" w:type="dxa"/>
            <w:vAlign w:val="center"/>
          </w:tcPr>
          <w:p w:rsidR="009808DF" w:rsidRPr="00EE04D2" w:rsidRDefault="009808DF" w:rsidP="009808DF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روش اندازه</w:t>
            </w:r>
            <w:r>
              <w:rPr>
                <w:rFonts w:ascii="Times New Roman" w:hAnsi="Times New Roman" w:cs="B Mitra"/>
                <w:szCs w:val="24"/>
                <w:highlight w:val="yellow"/>
                <w:rtl/>
              </w:rPr>
              <w:softHyphen/>
            </w: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گيري يا نوع نرم‌افزار مورد استفاده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2225E0">
            <w:pPr>
              <w:jc w:val="center"/>
              <w:rPr>
                <w:highlight w:val="yellow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Align w:val="center"/>
          </w:tcPr>
          <w:p w:rsidR="009808DF" w:rsidRPr="00EE04D2" w:rsidRDefault="009808DF" w:rsidP="009808DF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روش رقومي</w:t>
            </w:r>
            <w:r>
              <w:rPr>
                <w:rFonts w:ascii="Times New Roman" w:hAnsi="Times New Roman" w:cs="B Mitra"/>
                <w:szCs w:val="24"/>
                <w:highlight w:val="yellow"/>
                <w:rtl/>
              </w:rPr>
              <w:softHyphen/>
            </w: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سازي</w:t>
            </w:r>
          </w:p>
        </w:tc>
        <w:tc>
          <w:tcPr>
            <w:tcW w:w="2523" w:type="dxa"/>
            <w:vAlign w:val="center"/>
          </w:tcPr>
          <w:p w:rsidR="009808DF" w:rsidRPr="00EE04D2" w:rsidRDefault="009808DF" w:rsidP="009808DF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روش رقومي</w:t>
            </w:r>
            <w:r>
              <w:rPr>
                <w:rFonts w:ascii="Times New Roman" w:hAnsi="Times New Roman" w:cs="B Mitra"/>
                <w:szCs w:val="24"/>
                <w:highlight w:val="yellow"/>
                <w:rtl/>
              </w:rPr>
              <w:softHyphen/>
            </w: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سازي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2225E0">
            <w:pPr>
              <w:jc w:val="center"/>
              <w:rPr>
                <w:highlight w:val="yellow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Align w:val="center"/>
          </w:tcPr>
          <w:p w:rsidR="009808DF" w:rsidRPr="00EE04D2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مرجع محاسبه</w:t>
            </w:r>
            <w:r w:rsidRPr="00EE04D2">
              <w:rPr>
                <w:rFonts w:hint="cs"/>
                <w:highlight w:val="yellow"/>
                <w:rtl/>
              </w:rPr>
              <w:t xml:space="preserve">  </w:t>
            </w:r>
          </w:p>
        </w:tc>
        <w:tc>
          <w:tcPr>
            <w:tcW w:w="2523" w:type="dxa"/>
            <w:vAlign w:val="center"/>
          </w:tcPr>
          <w:p w:rsidR="009808DF" w:rsidRPr="00EE04D2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highlight w:val="yellow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مرجع محاسبه  بدترين وضعيت حادثه</w:t>
            </w:r>
            <w:r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در نيروگاه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2225E0">
            <w:pPr>
              <w:jc w:val="center"/>
              <w:rPr>
                <w:highlight w:val="yellow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983B05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۱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983B05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اصطلاحات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983B05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---------</w:t>
            </w:r>
          </w:p>
        </w:tc>
        <w:tc>
          <w:tcPr>
            <w:tcW w:w="1275" w:type="dxa"/>
            <w:vAlign w:val="center"/>
          </w:tcPr>
          <w:p w:rsidR="009808DF" w:rsidRPr="00B149A4" w:rsidRDefault="009808DF" w:rsidP="00983B05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B149A4">
              <w:rPr>
                <w:rFonts w:ascii="Times New Roman" w:hAnsi="Times New Roman" w:cs="B Mitra" w:hint="cs"/>
                <w:sz w:val="20"/>
                <w:szCs w:val="20"/>
                <w:rtl/>
              </w:rPr>
              <w:t>---------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983B05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983B05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983B05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vMerge w:val="restart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۲</w:t>
            </w:r>
          </w:p>
        </w:tc>
        <w:tc>
          <w:tcPr>
            <w:tcW w:w="2722" w:type="dxa"/>
            <w:vMerge w:val="restart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سازمان پس از تعیین محدوده سه گانه ایمنی هر یک از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سیسات هسته‌ای طبق بند 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﴿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۷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﴾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ماده 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﴿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۱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﴾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این آیین</w:t>
            </w:r>
            <w:r>
              <w:rPr>
                <w:rFonts w:ascii="Times New Roman" w:hAnsi="Times New Roman" w:cs="B Mitra" w:hint="eastAsia"/>
                <w:sz w:val="20"/>
                <w:szCs w:val="24"/>
                <w:rtl/>
              </w:rPr>
              <w:t>‌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نامه باید کلیه نقشه‌های رقومی شعاع محدوده سه‌گانه را جهت لحاظ الزامات سازمان در طرح‌های توسعه و عمران کشور به دبیرخانه شورای عالی شهرسازی و معماری ایران اعلام نماید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9808DF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FB439C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تعیین و ارائه‌ي پيشنهاد شعاع </w:t>
            </w:r>
            <w:r w:rsidRPr="009808DF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نواحی سه‌گانه</w:t>
            </w:r>
            <w:r w:rsidRPr="009808DF">
              <w:rPr>
                <w:rFonts w:ascii="Times New Roman" w:hAnsi="Times New Roman" w:cs="B Mitra"/>
                <w:szCs w:val="24"/>
                <w:highlight w:val="yellow"/>
              </w:rPr>
              <w:t xml:space="preserve"> </w:t>
            </w:r>
            <w:r w:rsidRPr="009808DF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بر اساس روش‌ها،  نرم افزارها و مراجع  معرفي شده توسط شركت توليد و توسعه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highlight w:val="yellow"/>
              </w:rPr>
            </w:pPr>
            <w:r w:rsidRPr="009808DF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شركت بهره</w:t>
            </w:r>
            <w:r w:rsidRPr="009808DF">
              <w:rPr>
                <w:rFonts w:ascii="Times New Roman" w:hAnsi="Times New Roman" w:cs="B Mitra" w:hint="cs"/>
                <w:sz w:val="18"/>
                <w:highlight w:val="yellow"/>
                <w:rtl/>
              </w:rPr>
              <w:softHyphen/>
              <w:t>برداري/شركت مشاور يا شركت پشتيباني فني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3"/>
        </w:trPr>
        <w:tc>
          <w:tcPr>
            <w:tcW w:w="883" w:type="dxa"/>
            <w:vMerge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 w:hint="cs"/>
                <w:sz w:val="20"/>
                <w:szCs w:val="24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 w:hint="cs"/>
                <w:sz w:val="20"/>
                <w:szCs w:val="24"/>
                <w:rtl/>
              </w:rPr>
            </w:pPr>
          </w:p>
        </w:tc>
        <w:tc>
          <w:tcPr>
            <w:tcW w:w="2523" w:type="dxa"/>
            <w:vAlign w:val="center"/>
          </w:tcPr>
          <w:p w:rsidR="009808DF" w:rsidRPr="00FB439C" w:rsidRDefault="009808DF" w:rsidP="009808DF">
            <w:pPr>
              <w:jc w:val="both"/>
              <w:rPr>
                <w:rFonts w:ascii="Times New Roman" w:hAnsi="Times New Roman" w:cs="B Mitra" w:hint="cs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استخراج نقشه‌های رقومی</w:t>
            </w:r>
            <w:r w:rsidRPr="009808DF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</w:t>
            </w:r>
            <w:r w:rsidRPr="009808DF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بر اساس روش‌ها،  نرم افزارها و مراجع  معرفي شده توسط شركت توليد و توسعه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highlight w:val="yellow"/>
              </w:rPr>
            </w:pPr>
            <w:r w:rsidRPr="009808DF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شركت بهره</w:t>
            </w:r>
            <w:r w:rsidRPr="009808DF">
              <w:rPr>
                <w:rFonts w:ascii="Times New Roman" w:hAnsi="Times New Roman" w:cs="B Mitra" w:hint="cs"/>
                <w:sz w:val="18"/>
                <w:highlight w:val="yellow"/>
                <w:rtl/>
              </w:rPr>
              <w:softHyphen/>
              <w:t>برداري/شركت مشاور يا شركت پشتيباني فني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1"/>
        </w:trPr>
        <w:tc>
          <w:tcPr>
            <w:tcW w:w="883" w:type="dxa"/>
            <w:vMerge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23" w:type="dxa"/>
            <w:vAlign w:val="center"/>
          </w:tcPr>
          <w:p w:rsidR="009808DF" w:rsidRPr="00B44AD6" w:rsidRDefault="009808DF" w:rsidP="008A5EE3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FB439C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بررسي</w:t>
            </w:r>
            <w:r w:rsidR="008A5EE3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و تاييد شعاع نواحي سه گانه</w:t>
            </w:r>
            <w:r w:rsidRPr="00FB439C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و نقشه هاي رقومي </w:t>
            </w:r>
          </w:p>
        </w:tc>
        <w:tc>
          <w:tcPr>
            <w:tcW w:w="1275" w:type="dxa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شركت توليد و توسعه</w:t>
            </w:r>
            <w:r w:rsidR="008A5EE3"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 xml:space="preserve"> (معاونت فني و مهندسي)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8A5EE3" w:rsidRPr="00B44AD6" w:rsidTr="00B149A4">
        <w:trPr>
          <w:trHeight w:val="91"/>
        </w:trPr>
        <w:tc>
          <w:tcPr>
            <w:tcW w:w="883" w:type="dxa"/>
            <w:vMerge/>
            <w:shd w:val="clear" w:color="auto" w:fill="D5D185" w:themeFill="background2" w:themeFillShade="BF"/>
            <w:vAlign w:val="center"/>
          </w:tcPr>
          <w:p w:rsidR="008A5EE3" w:rsidRPr="00B44AD6" w:rsidRDefault="008A5EE3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8A5EE3" w:rsidRPr="00B44AD6" w:rsidRDefault="008A5EE3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23" w:type="dxa"/>
            <w:vAlign w:val="center"/>
          </w:tcPr>
          <w:p w:rsidR="008A5EE3" w:rsidRPr="008A5EE3" w:rsidRDefault="008A5EE3" w:rsidP="008A5EE3">
            <w:pPr>
              <w:jc w:val="both"/>
              <w:rPr>
                <w:rFonts w:ascii="Times New Roman" w:hAnsi="Times New Roman" w:cs="B Mitra" w:hint="cs"/>
                <w:szCs w:val="24"/>
                <w:highlight w:val="yellow"/>
                <w:rtl/>
              </w:rPr>
            </w:pP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t xml:space="preserve">ارسال </w:t>
            </w: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t>نقشه</w:t>
            </w: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softHyphen/>
              <w:t xml:space="preserve">هاي رقومي تاييد شده </w:t>
            </w: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t xml:space="preserve"> به </w:t>
            </w:r>
            <w:r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t xml:space="preserve">مركز </w:t>
            </w: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t>نظام ايمني هسته</w:t>
            </w:r>
            <w:r w:rsidRPr="008A5EE3">
              <w:rPr>
                <w:rFonts w:ascii="Times New Roman" w:hAnsi="Times New Roman" w:cs="B Mitra" w:hint="cs"/>
                <w:sz w:val="20"/>
                <w:szCs w:val="24"/>
                <w:highlight w:val="yellow"/>
                <w:rtl/>
              </w:rPr>
              <w:softHyphen/>
              <w:t>اي</w:t>
            </w:r>
          </w:p>
        </w:tc>
        <w:tc>
          <w:tcPr>
            <w:tcW w:w="1275" w:type="dxa"/>
            <w:vAlign w:val="center"/>
          </w:tcPr>
          <w:p w:rsidR="008A5EE3" w:rsidRPr="008A5EE3" w:rsidRDefault="008A5EE3" w:rsidP="008A5EE3">
            <w:pPr>
              <w:spacing w:before="240"/>
              <w:jc w:val="center"/>
              <w:rPr>
                <w:rFonts w:ascii="Times New Roman" w:hAnsi="Times New Roman" w:cs="B Mitra" w:hint="cs"/>
                <w:sz w:val="18"/>
                <w:highlight w:val="yellow"/>
                <w:rtl/>
              </w:rPr>
            </w:pP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شركت توليد و توسعه (مديريت سيمتم</w:t>
            </w: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softHyphen/>
              <w:t>هاي مديريت و نظارت هست</w:t>
            </w:r>
            <w:r w:rsidRPr="008A5EE3">
              <w:rPr>
                <w:rFonts w:ascii="Times New Roman" w:hAnsi="Times New Roman" w:cs="B Mitra"/>
                <w:sz w:val="18"/>
                <w:highlight w:val="yellow"/>
                <w:rtl/>
              </w:rPr>
              <w:softHyphen/>
            </w: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اي</w:t>
            </w:r>
          </w:p>
        </w:tc>
        <w:tc>
          <w:tcPr>
            <w:tcW w:w="2410" w:type="dxa"/>
            <w:vAlign w:val="center"/>
          </w:tcPr>
          <w:p w:rsidR="008A5EE3" w:rsidRPr="00B44AD6" w:rsidRDefault="008A5EE3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8A5EE3" w:rsidRPr="00B44AD6" w:rsidRDefault="008A5EE3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8A5EE3" w:rsidRPr="00B44AD6" w:rsidRDefault="008A5EE3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rPr>
          <w:trHeight w:val="91"/>
        </w:trPr>
        <w:tc>
          <w:tcPr>
            <w:tcW w:w="883" w:type="dxa"/>
            <w:vMerge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722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23" w:type="dxa"/>
            <w:vAlign w:val="center"/>
          </w:tcPr>
          <w:p w:rsidR="009808DF" w:rsidRPr="00B44AD6" w:rsidRDefault="009808DF" w:rsidP="008A5EE3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EE04D2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بررسي و تأييد نقشه هاي رقومي نواحي  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و ارسال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به دبیرخانه شورای عالی شهرسازی و معماری ایران</w:t>
            </w:r>
          </w:p>
        </w:tc>
        <w:tc>
          <w:tcPr>
            <w:tcW w:w="1275" w:type="dxa"/>
            <w:vAlign w:val="center"/>
          </w:tcPr>
          <w:p w:rsidR="009808DF" w:rsidRPr="00B44AD6" w:rsidRDefault="008A5EE3" w:rsidP="008A5EE3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مرکز نظام ایمنی هسته‌ای</w:t>
            </w:r>
            <w:r w:rsidRPr="008A5EE3">
              <w:rPr>
                <w:rFonts w:ascii="Times New Roman" w:hAnsi="Times New Roman" w:cs="B Mitra" w:hint="cs"/>
                <w:sz w:val="18"/>
                <w:highlight w:val="yellow"/>
                <w:rtl/>
              </w:rPr>
              <w:t>/ سازمان انرژی اتمی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۳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شورای عالی شهرسازی و معماری ایران موظف است محدوده نواحی سه‌گانه ایمنی را به کلیه دستگاه‌های اجرایی ذیربط و سایر مراجع قانونی محل استقرار تاسیسات هسته‌ای اعلام نماید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---------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B149A4">
            <w:pPr>
              <w:jc w:val="center"/>
              <w:rPr>
                <w:rFonts w:ascii="Times New Roman" w:hAnsi="Times New Roman" w:cs="B Mitra"/>
                <w:sz w:val="18"/>
                <w:rtl/>
              </w:rPr>
            </w:pPr>
            <w:r w:rsidRPr="009808DF">
              <w:rPr>
                <w:rFonts w:ascii="Times New Roman" w:hAnsi="Times New Roman" w:cs="B Mitra" w:hint="cs"/>
                <w:sz w:val="18"/>
                <w:rtl/>
              </w:rPr>
              <w:t>شورای عالی شهرسازی و معماری ایران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۴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در اجرای طرح‌های توسعه و عمران، استانداری‌ها موظفند تثبیت محدوده نواحی ایمنی بر اساس ضوابط و مقررات مربوط را از طریق سایر دستگاه‌ها و ادارات ذیربط 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استان تا حصول نتیجه پیگیری نمایند.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----------</w:t>
            </w:r>
          </w:p>
        </w:tc>
        <w:tc>
          <w:tcPr>
            <w:tcW w:w="1275" w:type="dxa"/>
            <w:vAlign w:val="center"/>
          </w:tcPr>
          <w:p w:rsidR="009808DF" w:rsidRPr="009808DF" w:rsidRDefault="009808DF" w:rsidP="00B149A4">
            <w:pPr>
              <w:jc w:val="center"/>
              <w:rPr>
                <w:rFonts w:ascii="Times New Roman" w:hAnsi="Times New Roman" w:cs="B Mitra"/>
                <w:sz w:val="18"/>
                <w:rtl/>
              </w:rPr>
            </w:pPr>
            <w:r w:rsidRPr="009808DF">
              <w:rPr>
                <w:rFonts w:ascii="Times New Roman" w:hAnsi="Times New Roman" w:cs="B Mitra" w:hint="cs"/>
                <w:sz w:val="18"/>
                <w:rtl/>
              </w:rPr>
              <w:t>استانداری بوشهر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۵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ایجاد هرگونه مستحدثات جدید،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جابجایی،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تملک، تغییر کاربری املاک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و اراضی، صدور سند مالک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یت، پروانه و مجوز به عنوان سکونت</w:t>
            </w:r>
            <w:r>
              <w:rPr>
                <w:rFonts w:ascii="Times New Roman" w:hAnsi="Times New Roman" w:cs="B Mitra" w:hint="eastAsia"/>
                <w:sz w:val="20"/>
                <w:szCs w:val="24"/>
                <w:rtl/>
              </w:rPr>
              <w:t>‌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گاه دا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یم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توسط اشخاص در ناحیه انحصاری ممنوع و در ناحیه کم جمعیت بدون اخذ مجوز سازمان ممنوع است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lastRenderedPageBreak/>
              <w:t>مكاتبه با نظام يا هيئت دولت جهت تعيين متولي اقدام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D739B5" w:rsidRDefault="009808DF" w:rsidP="00B149A4">
            <w:pPr>
              <w:pStyle w:val="CommentText"/>
              <w:jc w:val="both"/>
              <w:rPr>
                <w:rtl/>
              </w:rPr>
            </w:pPr>
            <w:r w:rsidRPr="00B44AD6">
              <w:rPr>
                <w:rFonts w:ascii="Times New Roman" w:hAnsi="Times New Roman" w:cs="B Mitra" w:hint="cs"/>
                <w:szCs w:val="24"/>
                <w:rtl/>
              </w:rPr>
              <w:t xml:space="preserve">در خصوص </w:t>
            </w: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كمپ مرواريد</w:t>
            </w:r>
            <w:r w:rsidRPr="004F756D">
              <w:rPr>
                <w:rFonts w:ascii="Times New Roman" w:hAnsi="Times New Roman" w:cs="B Mitra" w:hint="cs"/>
                <w:szCs w:val="24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Cs w:val="24"/>
                <w:rtl/>
              </w:rPr>
              <w:t>کمپ صدف جدید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ماده ۶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هرگونه تملک و صدور سند از طریق معامله، خرید و فروش اراضی و املاک تحت هر عنوان اعم از عادی،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رسمی،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وکالتی در محدوده انحصاری به عنوان سکونت‌گاه 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ای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 ممنوع است. در صورتیکه هر کدام از مالکان قصد فروش و یا واگذاری داشته باشند، باید املاک و اراضی خود را در قبال دریافت بهای نقدی و یا غیرنقدی، مطابق توافق و یا قیمت کارشناسی منتقل نماید و حقوق صاحبان حق بر اساس لایحه قانونی نحوه خرید و تملک اراضی و املاک برای اجرای برنامه‌های عمومی، عمرانی و نظامی دولت-مصوب ۱۳۵۸-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مین نماید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مكاتبه با نظام يا هيئت دولت جهت تعيين متولي اقدام و سازوكار اجراي اين ماده از قانون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B44AD6">
              <w:rPr>
                <w:rFonts w:ascii="Times New Roman" w:hAnsi="Times New Roman" w:cs="B Mitra"/>
                <w:sz w:val="20"/>
                <w:szCs w:val="24"/>
              </w:rPr>
              <w:t>--------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B44AD6">
              <w:rPr>
                <w:rFonts w:ascii="Times New Roman" w:hAnsi="Times New Roman" w:cs="B Mitra"/>
                <w:sz w:val="20"/>
                <w:szCs w:val="24"/>
              </w:rPr>
              <w:t>--------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۷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در خصوص روستاهای هلیله و بندرگاه مجاور نیروگاه اتمی بوشهر مطابق</w:t>
            </w:r>
            <w:r>
              <w:rPr>
                <w:rFonts w:ascii="Times New Roman" w:hAnsi="Times New Roman" w:cs="B Mitra"/>
                <w:sz w:val="20"/>
                <w:szCs w:val="24"/>
                <w:rtl/>
              </w:rPr>
              <w:br/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بند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﴿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ب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﴾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ماده 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﴿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۴۱ 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>﴾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قانون برنامه پنج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ساله ششم توسعه اقتصادی، اجتماعی و فرهنگی جمهوری اسلامی ایران مصوب ۱۳۹۵ اقدام می‌شود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lastRenderedPageBreak/>
              <w:t>مكاتبه با نظام يا هيئت دولت جهت تعيين متولي اقدام و ساز</w:t>
            </w:r>
            <w:r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</w:t>
            </w: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و</w:t>
            </w:r>
            <w:r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</w:t>
            </w: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كار اجراي اين ماده از قانون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</w:tr>
      <w:tr w:rsidR="009808DF" w:rsidRPr="00716782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ماده ۸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سازمان/بهره‌بردار موظف است در مکان‌یابی و ایجاد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سیسات هسته‌ای جدید، هرگونه تلاقی یا تعارض حقوق و منافع اشخاص حقیقی یا حقوقی در محدوده سه‌گانه ایمنی را شناسایی و آن را قبل از صدور پروانه احداث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سیسات هسته‌ای مطابق ماده۲۶ قانون، مرتفع و حقوق صاحبان حق را تامین و پرداخت نماید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D739B5" w:rsidRDefault="009808DF" w:rsidP="00B149A4">
            <w:pPr>
              <w:pStyle w:val="CommentText"/>
              <w:numPr>
                <w:ilvl w:val="0"/>
                <w:numId w:val="1"/>
              </w:numPr>
              <w:ind w:right="-170"/>
              <w:jc w:val="both"/>
              <w:rPr>
                <w:highlight w:val="yellow"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ساز وكار شناسایی و مرتفع نمودن هرگونه تلاقی یا تعارض حقوق و منافع اشخاص حقیقی یا حقوقی در محدوده سه‌گانه ایمنی در مکان‌یابی و ایجاد تأسیسات هسته‌ای جدید و تامین و پرداخت حقوق صاحبان حق قبل از صدور پروانه احداث تأسیسات هسته‌ای مطابق ماده۲۶ قانون.</w:t>
            </w:r>
          </w:p>
          <w:p w:rsidR="009808DF" w:rsidRPr="00D739B5" w:rsidRDefault="009808DF" w:rsidP="00B149A4">
            <w:pPr>
              <w:pStyle w:val="ListParagraph"/>
              <w:numPr>
                <w:ilvl w:val="0"/>
                <w:numId w:val="1"/>
              </w:numPr>
              <w:ind w:right="-170"/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 شناسایی و مرتفع نمودن هرگونه تلاقی یا تعارض حقوق و منافع اشخاص حقیقی یا حقوقی در محدوده سه‌گانه ایمنی در مکان‌یابی و ایجاد تأسیسات هسته‌ای جدید و تامین و پرداخت حقوق صاحبان حق قبل از صدور پروانه احداث تأسیسات هسته‌ای مطابق ماده۲۶ قانون</w:t>
            </w:r>
            <w:r w:rsidRPr="00D739B5">
              <w:rPr>
                <w:rFonts w:hint="cs"/>
                <w:highlight w:val="yellow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--------</w:t>
            </w:r>
          </w:p>
        </w:tc>
        <w:tc>
          <w:tcPr>
            <w:tcW w:w="2551" w:type="dxa"/>
            <w:vAlign w:val="center"/>
          </w:tcPr>
          <w:p w:rsidR="009808DF" w:rsidRPr="00716782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716782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واحد ۲ آلمانی </w:t>
            </w: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و واحدهای جدید 2و3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ماده ۹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رسیدگی به تخلفات و هرگونه فعالیت ساختمانی غیرمجاز در نواحی انحصاری و کم</w:t>
            </w:r>
            <w:r>
              <w:rPr>
                <w:rFonts w:ascii="Times New Roman" w:hAnsi="Times New Roman" w:cs="B Mitra" w:hint="eastAsia"/>
                <w:sz w:val="20"/>
                <w:szCs w:val="24"/>
                <w:rtl/>
              </w:rPr>
              <w:t>‌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جمعیت پیرامون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سیسات هسته‌ای براساس گزارش دستگاه مربوط یا شکایت سازمان/بهره‌بردار به عهده مراجع ذیربط است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FB439C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ساز وكار رسیدگی به تخلفات و هرگونه فعالیت ساختمانی غیرمجاز در نواحی انحصاری و کم</w:t>
            </w:r>
            <w:r w:rsidRPr="00FB439C">
              <w:rPr>
                <w:rFonts w:ascii="Times New Roman" w:hAnsi="Times New Roman" w:cs="B Mitra" w:hint="eastAsia"/>
                <w:szCs w:val="24"/>
                <w:highlight w:val="yellow"/>
                <w:rtl/>
              </w:rPr>
              <w:t>‌</w:t>
            </w:r>
            <w:r w:rsidRPr="00FB439C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جمعیت پیرامون تأسیسات هسته‌ای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285E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۱۰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اعتبار لازم برای پرداخت حقوق صاحبان حق حسب مورد در بودجه سنواتی دستگاه ذیربط پیش‌بینی و پرداخت شود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7367F3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 xml:space="preserve">پيش بيني اعتبار لازم برای پرداخت حقوق صاحبان حق حسب مورد در بودجه سنواتی </w:t>
            </w:r>
            <w:r w:rsidRPr="007367F3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سازمان انرژي اتمي</w:t>
            </w:r>
          </w:p>
        </w:tc>
        <w:tc>
          <w:tcPr>
            <w:tcW w:w="1275" w:type="dxa"/>
            <w:vAlign w:val="center"/>
          </w:tcPr>
          <w:p w:rsidR="009808DF" w:rsidRPr="00B44AD6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  <w:r w:rsidRPr="00B44AD6">
              <w:rPr>
                <w:rFonts w:ascii="Times New Roman" w:hAnsi="Times New Roman" w:cs="Times New Roman" w:hint="cs"/>
                <w:sz w:val="20"/>
                <w:szCs w:val="24"/>
                <w:rtl/>
              </w:rPr>
              <w:t xml:space="preserve"> </w:t>
            </w:r>
            <w:r w:rsidR="009808DF" w:rsidRPr="008456B1">
              <w:rPr>
                <w:rFonts w:ascii="Times New Roman" w:hAnsi="Times New Roman" w:cs="Times New Roman" w:hint="cs"/>
                <w:sz w:val="18"/>
                <w:rtl/>
              </w:rPr>
              <w:t>﴿</w:t>
            </w:r>
            <w:r w:rsidR="009808DF" w:rsidRPr="008456B1">
              <w:rPr>
                <w:rFonts w:ascii="Times New Roman" w:hAnsi="Times New Roman" w:cs="B Mitra" w:hint="cs"/>
                <w:sz w:val="18"/>
                <w:rtl/>
              </w:rPr>
              <w:t>معاونت توسعه مدیریت و منابع</w:t>
            </w:r>
            <w:r w:rsidR="009808DF" w:rsidRPr="008456B1">
              <w:rPr>
                <w:rFonts w:ascii="Times New Roman" w:hAnsi="Times New Roman" w:cs="Times New Roman" w:hint="cs"/>
                <w:sz w:val="18"/>
                <w:rtl/>
              </w:rPr>
              <w:t xml:space="preserve">﴾ 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۱۱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در صورت تداخل محدوده سه‌گانه ایمنی نیروگاه‌ها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و تاسیس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ت هسته‌ای با محدوده سایر دستگاه‌ها، با توجه به الزامات بین‌المللی حوزه هسته‌ای و ضوابط آن، محدوده حوزه هسته‌ای ملاک عمل خواهد بود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.</w:t>
            </w:r>
          </w:p>
        </w:tc>
        <w:tc>
          <w:tcPr>
            <w:tcW w:w="2523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t>تعيين و اعمال قانون در مورد تداخل محدوده سه‌گانه ایمنی نیروگاه‌ها و تاسیسأت هسته‌ای با محدوده سایر دستگاه‌ها، با توجه به الزامات بین‌المللی حوزه هسته‌ای و ضوابط آن بر اساسنقشه هاي رقومي تأييد شده.</w:t>
            </w:r>
          </w:p>
        </w:tc>
        <w:tc>
          <w:tcPr>
            <w:tcW w:w="1275" w:type="dxa"/>
            <w:vAlign w:val="center"/>
          </w:tcPr>
          <w:p w:rsidR="009808DF" w:rsidRPr="00B149A4" w:rsidRDefault="008456B1" w:rsidP="00B149A4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9808DF">
              <w:rPr>
                <w:rFonts w:ascii="Times New Roman" w:hAnsi="Times New Roman" w:cs="B Mitra" w:hint="cs"/>
                <w:highlight w:val="yellow"/>
                <w:rtl/>
              </w:rPr>
              <w:t>شركت توليد و توسعه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-------</w:t>
            </w:r>
          </w:p>
        </w:tc>
      </w:tr>
      <w:tr w:rsidR="009808DF" w:rsidRPr="00B44AD6" w:rsidTr="00B149A4">
        <w:tc>
          <w:tcPr>
            <w:tcW w:w="883" w:type="dxa"/>
            <w:shd w:val="clear" w:color="auto" w:fill="D5D185" w:themeFill="background2" w:themeFillShade="BF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ماده ۱۲</w:t>
            </w:r>
          </w:p>
        </w:tc>
        <w:tc>
          <w:tcPr>
            <w:tcW w:w="2722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>چنانچه در طول زمان و در اثر تغییر شرایط یا ضوابط، نیاز به تغییر در محدوده سه‌گانه ایمنی نیروگاه‌ها و ت</w:t>
            </w:r>
            <w:r>
              <w:rPr>
                <w:rFonts w:ascii="Times New Roman" w:hAnsi="Times New Roman" w:cs="B Mitra" w:hint="cs"/>
                <w:sz w:val="20"/>
                <w:szCs w:val="24"/>
                <w:rtl/>
              </w:rPr>
              <w:t>أ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t xml:space="preserve">سیسات هسته‌ای باشد، این تغییرات سازمان به دبیرخانه شورای عالی </w:t>
            </w:r>
            <w:r w:rsidRPr="00B44AD6">
              <w:rPr>
                <w:rFonts w:ascii="Times New Roman" w:hAnsi="Times New Roman" w:cs="B Mitra" w:hint="cs"/>
                <w:sz w:val="20"/>
                <w:szCs w:val="24"/>
                <w:rtl/>
              </w:rPr>
              <w:lastRenderedPageBreak/>
              <w:t>شهرسازی و معماری ایران اعلام می‌شود.</w:t>
            </w:r>
          </w:p>
        </w:tc>
        <w:tc>
          <w:tcPr>
            <w:tcW w:w="2523" w:type="dxa"/>
            <w:vAlign w:val="center"/>
          </w:tcPr>
          <w:p w:rsidR="009808DF" w:rsidRPr="00AB2F45" w:rsidRDefault="009808DF" w:rsidP="00B149A4">
            <w:pPr>
              <w:pStyle w:val="CommentText"/>
              <w:jc w:val="both"/>
              <w:rPr>
                <w:rFonts w:ascii="Times New Roman" w:hAnsi="Times New Roman" w:cs="B Mitra"/>
                <w:szCs w:val="24"/>
              </w:rPr>
            </w:pPr>
            <w:r w:rsidRPr="00D739B5">
              <w:rPr>
                <w:rFonts w:ascii="Times New Roman" w:hAnsi="Times New Roman" w:cs="B Mitra" w:hint="cs"/>
                <w:szCs w:val="24"/>
                <w:highlight w:val="yellow"/>
                <w:rtl/>
              </w:rPr>
              <w:lastRenderedPageBreak/>
              <w:t>كنترل و پايش دوره‌اي  3 ساله و ارائه‌ي اطلاعات به روز و پي‌گيري اقدامات مجدد  طبق روندنماي حاضر</w:t>
            </w:r>
          </w:p>
          <w:p w:rsidR="009808DF" w:rsidRPr="00D739B5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8DF" w:rsidRPr="00B44AD6" w:rsidRDefault="009808DF" w:rsidP="00B149A4">
            <w:pPr>
              <w:jc w:val="center"/>
              <w:rPr>
                <w:rFonts w:ascii="Times New Roman" w:hAnsi="Times New Roman" w:cs="B Mitra"/>
                <w:sz w:val="20"/>
                <w:szCs w:val="24"/>
                <w:rtl/>
              </w:rPr>
            </w:pPr>
            <w:r w:rsidRPr="008456B1">
              <w:rPr>
                <w:rFonts w:ascii="Times New Roman" w:hAnsi="Times New Roman" w:cs="B Mitra" w:hint="cs"/>
                <w:sz w:val="18"/>
                <w:rtl/>
              </w:rPr>
              <w:t>سازمان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 xml:space="preserve"> 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انرژی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 xml:space="preserve"> 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اتمی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>/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مرکز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 xml:space="preserve"> 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نظام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 xml:space="preserve"> 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ایمنی</w:t>
            </w:r>
            <w:r w:rsidRPr="008456B1">
              <w:rPr>
                <w:rFonts w:ascii="Times New Roman" w:hAnsi="Times New Roman" w:cs="B Mitra"/>
                <w:sz w:val="18"/>
                <w:rtl/>
              </w:rPr>
              <w:t xml:space="preserve"> </w:t>
            </w:r>
            <w:r w:rsidRPr="008456B1">
              <w:rPr>
                <w:rFonts w:ascii="Times New Roman" w:hAnsi="Times New Roman" w:cs="B Mitra" w:hint="cs"/>
                <w:sz w:val="18"/>
                <w:rtl/>
              </w:rPr>
              <w:t>هسته‌ای کشور</w:t>
            </w:r>
          </w:p>
        </w:tc>
        <w:tc>
          <w:tcPr>
            <w:tcW w:w="2410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B44AD6">
              <w:rPr>
                <w:rFonts w:ascii="Times New Roman" w:hAnsi="Times New Roman" w:cs="B Mitra"/>
                <w:sz w:val="20"/>
                <w:szCs w:val="24"/>
              </w:rPr>
              <w:t>-------</w:t>
            </w:r>
          </w:p>
        </w:tc>
        <w:tc>
          <w:tcPr>
            <w:tcW w:w="2551" w:type="dxa"/>
            <w:vAlign w:val="center"/>
          </w:tcPr>
          <w:p w:rsidR="009808DF" w:rsidRPr="00B44AD6" w:rsidRDefault="009808DF" w:rsidP="00B149A4">
            <w:pPr>
              <w:jc w:val="both"/>
              <w:rPr>
                <w:rFonts w:ascii="Times New Roman" w:hAnsi="Times New Roman" w:cs="B Mitra"/>
                <w:sz w:val="20"/>
                <w:szCs w:val="24"/>
              </w:rPr>
            </w:pPr>
            <w:r w:rsidRPr="00B44AD6">
              <w:rPr>
                <w:rFonts w:ascii="Times New Roman" w:hAnsi="Times New Roman" w:cs="B Mitra"/>
                <w:sz w:val="20"/>
                <w:szCs w:val="24"/>
              </w:rPr>
              <w:t>-------</w:t>
            </w:r>
          </w:p>
        </w:tc>
      </w:tr>
    </w:tbl>
    <w:p w:rsidR="00C813D4" w:rsidRPr="00B44AD6" w:rsidRDefault="00C813D4" w:rsidP="00B149A4">
      <w:pPr>
        <w:jc w:val="both"/>
        <w:rPr>
          <w:rFonts w:ascii="Times New Roman" w:hAnsi="Times New Roman" w:cs="B Mitra"/>
          <w:sz w:val="20"/>
          <w:szCs w:val="24"/>
        </w:rPr>
      </w:pPr>
    </w:p>
    <w:sectPr w:rsidR="00C813D4" w:rsidRPr="00B44AD6" w:rsidSect="00B149A4">
      <w:foot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6" w:rsidRDefault="001655E6" w:rsidP="00B44AD6">
      <w:pPr>
        <w:spacing w:after="0" w:line="240" w:lineRule="auto"/>
      </w:pPr>
      <w:r>
        <w:separator/>
      </w:r>
    </w:p>
  </w:endnote>
  <w:endnote w:type="continuationSeparator" w:id="0">
    <w:p w:rsidR="001655E6" w:rsidRDefault="001655E6" w:rsidP="00B4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D6" w:rsidRPr="00B44AD6" w:rsidRDefault="001655E6">
    <w:pPr>
      <w:pStyle w:val="Footer"/>
      <w:jc w:val="center"/>
      <w:rPr>
        <w:rFonts w:cs="B Mitra"/>
        <w:sz w:val="20"/>
        <w:szCs w:val="20"/>
      </w:rPr>
    </w:pPr>
    <w:sdt>
      <w:sdtPr>
        <w:rPr>
          <w:rFonts w:cs="B Mitra"/>
          <w:sz w:val="20"/>
          <w:szCs w:val="20"/>
          <w:rtl/>
        </w:rPr>
        <w:id w:val="14067187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4AD6" w:rsidRPr="00B44AD6">
          <w:rPr>
            <w:rFonts w:cs="B Mitra"/>
            <w:sz w:val="20"/>
            <w:szCs w:val="20"/>
          </w:rPr>
          <w:fldChar w:fldCharType="begin"/>
        </w:r>
        <w:r w:rsidR="00B44AD6" w:rsidRPr="00B44AD6">
          <w:rPr>
            <w:rFonts w:cs="B Mitra"/>
            <w:sz w:val="20"/>
            <w:szCs w:val="20"/>
          </w:rPr>
          <w:instrText xml:space="preserve"> PAGE   \* MERGEFORMAT </w:instrText>
        </w:r>
        <w:r w:rsidR="00B44AD6" w:rsidRPr="00B44AD6">
          <w:rPr>
            <w:rFonts w:cs="B Mitra"/>
            <w:sz w:val="20"/>
            <w:szCs w:val="20"/>
          </w:rPr>
          <w:fldChar w:fldCharType="separate"/>
        </w:r>
        <w:r w:rsidR="008456B1">
          <w:rPr>
            <w:rFonts w:cs="B Mitra"/>
            <w:noProof/>
            <w:sz w:val="20"/>
            <w:szCs w:val="20"/>
            <w:rtl/>
          </w:rPr>
          <w:t>5</w:t>
        </w:r>
        <w:r w:rsidR="00B44AD6" w:rsidRPr="00B44AD6">
          <w:rPr>
            <w:rFonts w:cs="B Mitra"/>
            <w:noProof/>
            <w:sz w:val="20"/>
            <w:szCs w:val="20"/>
          </w:rPr>
          <w:fldChar w:fldCharType="end"/>
        </w:r>
      </w:sdtContent>
    </w:sdt>
    <w:r w:rsidR="00B44AD6">
      <w:rPr>
        <w:rFonts w:cs="B Mitra" w:hint="cs"/>
        <w:noProof/>
        <w:sz w:val="20"/>
        <w:szCs w:val="20"/>
        <w:rtl/>
      </w:rPr>
      <w:t xml:space="preserve"> از 3</w:t>
    </w:r>
  </w:p>
  <w:p w:rsidR="00B44AD6" w:rsidRDefault="00B44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6" w:rsidRDefault="001655E6" w:rsidP="00B44AD6">
      <w:pPr>
        <w:spacing w:after="0" w:line="240" w:lineRule="auto"/>
      </w:pPr>
      <w:r>
        <w:separator/>
      </w:r>
    </w:p>
  </w:footnote>
  <w:footnote w:type="continuationSeparator" w:id="0">
    <w:p w:rsidR="001655E6" w:rsidRDefault="001655E6" w:rsidP="00B4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949"/>
    <w:multiLevelType w:val="hybridMultilevel"/>
    <w:tmpl w:val="0AD4D388"/>
    <w:lvl w:ilvl="0" w:tplc="53A8C87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B"/>
    <w:rsid w:val="00060066"/>
    <w:rsid w:val="000D16F4"/>
    <w:rsid w:val="0016028C"/>
    <w:rsid w:val="001655E6"/>
    <w:rsid w:val="00182E2C"/>
    <w:rsid w:val="00274182"/>
    <w:rsid w:val="00285ED6"/>
    <w:rsid w:val="002B6215"/>
    <w:rsid w:val="002F26B7"/>
    <w:rsid w:val="00370471"/>
    <w:rsid w:val="003A61F9"/>
    <w:rsid w:val="003C6733"/>
    <w:rsid w:val="003D25D0"/>
    <w:rsid w:val="0044413C"/>
    <w:rsid w:val="004F756D"/>
    <w:rsid w:val="00527B37"/>
    <w:rsid w:val="00550E86"/>
    <w:rsid w:val="0058664A"/>
    <w:rsid w:val="005F653C"/>
    <w:rsid w:val="00602C0F"/>
    <w:rsid w:val="006626EB"/>
    <w:rsid w:val="00716782"/>
    <w:rsid w:val="007367F3"/>
    <w:rsid w:val="007538AB"/>
    <w:rsid w:val="008456B1"/>
    <w:rsid w:val="008A5EE3"/>
    <w:rsid w:val="009808DF"/>
    <w:rsid w:val="009C54B1"/>
    <w:rsid w:val="00A947F7"/>
    <w:rsid w:val="00AB2F45"/>
    <w:rsid w:val="00AF671E"/>
    <w:rsid w:val="00B043C5"/>
    <w:rsid w:val="00B149A4"/>
    <w:rsid w:val="00B33D54"/>
    <w:rsid w:val="00B44AD6"/>
    <w:rsid w:val="00B608AA"/>
    <w:rsid w:val="00B63119"/>
    <w:rsid w:val="00BC52F9"/>
    <w:rsid w:val="00BD14D4"/>
    <w:rsid w:val="00BD61F1"/>
    <w:rsid w:val="00C813D4"/>
    <w:rsid w:val="00C815C5"/>
    <w:rsid w:val="00CB55A6"/>
    <w:rsid w:val="00D739B5"/>
    <w:rsid w:val="00D8495B"/>
    <w:rsid w:val="00DC7CCB"/>
    <w:rsid w:val="00EA5CE9"/>
    <w:rsid w:val="00EE04D2"/>
    <w:rsid w:val="00F16259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D6"/>
  </w:style>
  <w:style w:type="paragraph" w:styleId="Footer">
    <w:name w:val="footer"/>
    <w:basedOn w:val="Normal"/>
    <w:link w:val="FooterChar"/>
    <w:uiPriority w:val="99"/>
    <w:unhideWhenUsed/>
    <w:rsid w:val="00B4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D6"/>
  </w:style>
  <w:style w:type="character" w:styleId="CommentReference">
    <w:name w:val="annotation reference"/>
    <w:basedOn w:val="DefaultParagraphFont"/>
    <w:uiPriority w:val="99"/>
    <w:semiHidden/>
    <w:unhideWhenUsed/>
    <w:rsid w:val="0060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D6"/>
  </w:style>
  <w:style w:type="paragraph" w:styleId="Footer">
    <w:name w:val="footer"/>
    <w:basedOn w:val="Normal"/>
    <w:link w:val="FooterChar"/>
    <w:uiPriority w:val="99"/>
    <w:unhideWhenUsed/>
    <w:rsid w:val="00B4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D6"/>
  </w:style>
  <w:style w:type="character" w:styleId="CommentReference">
    <w:name w:val="annotation reference"/>
    <w:basedOn w:val="DefaultParagraphFont"/>
    <w:uiPriority w:val="99"/>
    <w:semiHidden/>
    <w:unhideWhenUsed/>
    <w:rsid w:val="0060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Haghighat , Faranak</dc:creator>
  <cp:lastModifiedBy>Moazzen , Mohsen</cp:lastModifiedBy>
  <cp:revision>4</cp:revision>
  <dcterms:created xsi:type="dcterms:W3CDTF">2022-08-31T05:47:00Z</dcterms:created>
  <dcterms:modified xsi:type="dcterms:W3CDTF">2022-08-31T05:56:00Z</dcterms:modified>
</cp:coreProperties>
</file>