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220"/>
        <w:gridCol w:w="5783"/>
      </w:tblGrid>
      <w:tr>
        <w:trPr/>
        <w:tc>
          <w:tcPr>
            <w:gridSpan w:val="3"/>
            <w:tcW w:w="14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Перечень модернизаций, осуществленных на оборудовании и системах для повышения мощности и увеличения 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продолжительности топливного цикла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Оборудование турбинного цеха блока №1, 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Установка дополнительного теплообменника охлаждения обмотки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статора генератора (1SS23W01)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1.2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Обеспечение пропускной способности трубопровода слива сепарата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при увеличении тепловой мощности РУ до 104% от номинальной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1.3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Усовершенствование алгоритма защиты SAF16, предусматривающего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отключение турбины при повышении уровня в ПНД-3 до 350 см и отключение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турбины при повышении уровня в ПНД-4 до 250 см.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Оборудование цеха тепловой автоматики и измерений блока №1, 2, 3, 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2.1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Доработка блоков БМ-12 и замена блоков питания БПЗ панелей ПФС для работы на повышенной мощности энергоблока </w:t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Модернизация технических средств контроля, управления регулирования, алгоритмов их работы на повышенной мощности энергоблока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Оборудование электрического цеха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3.1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Модернизация возбудителей турбогенераторов, в части замены блоков вращающегося выпрямителя, щеток щеточной траверсы и преобразователей влажности возбудителя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3.2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Оснащение турбогенераторов энергоблоков Ростовской АЭС системой контроля вибраций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3.3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 части статора турбогенератора установлен в узел «шина-концевой вывод» плетенные связи взамен гибких вставок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45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Перечень документов/отчетов, разработанных в связи повышением мощности и продолжительности топливного цикла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Решение об организации работ по переводу энергоблока Ростовской АЭС на увеличенные топливные кампании длительностью до 18 месяцев при эксплуатации на мощности 104% номинальной, начиная с третьей топливной загрузки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Корректировка типового проекта в части модернизации и перевода энергоблока в эксплуатацию на уровень тепловой мощности 3120 МВт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Установка реакторная В-320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ОКБ «Гидропресс» «Требование к модернизации технических средств контроля, управления, регулирования, к алгоритмам их работы на повышение мощности в 18 месячном топливном цикле»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320.00.00.00.000 Д157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Проектная докум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ентация ОКБ «Гидропресс» «Повышение мощности реакторной установки В-320. Требования к модернизации технических средств контроля, управления, регулирования, к алгоритмам их работы на повышенной мощности в 18 - месячном топливном цикле 320.104.00.00.000 Д27»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Программа опытно-промышленной эксплуатации на повышенной мощности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Расчетный анализ и обоснование технологических защит и блокировок конденсатно-питательного оборудования при повышенном уровне уровне мощности до 104 % номинальной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Расчет устойчивости клапанной системы СРК турбины К-1000-60/1500-2 с повышенным ресурсом работы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Обоснование безопасности при изменении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периодичности проверок работоспособности и ревизии предохранительных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устройств ТО при увеличении с 12 до 18 месяцев кампании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Обоснование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допустимости увеличения до 18 месяцев периодичности ТОиР оборудования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вспомогательных систем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 части оборудования отдела радиационной безопасности выполнены запросы на заводы изготовители оборудования,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расположенного в помещении гермообъема, в части возможности увеличения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промежутка проведения технического обслуживания и ремонта, а также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метрологической поверки в сроки не менее чем срок топливной кампании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Решение о повышении тепловой мощности энергоблока Ростовской АЭС до 104 % от номинальной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Обследование технического состояния и определение возможности и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условий несения повышенной нагрузки возбудителями и турбогенераторами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Ростовской АЭС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Обоснование допустимости увеличения до 18 месяцев периодичности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ТОиР электротехнического оборудования энергоблоков и               ОРУ-500/220 кВ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Ростовской АЭС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Дополнение к техническому обоснованию безопасности по разработанным ОКБ «Гидропресс», НИАЭП,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ВНИИАЭС, ЦКБМ и др.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Обоснованиям безопасности и изменениям в проектную документацию энергоблока Ростовской АЭС, а также по обоснованиям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 полученным с заводов-изготовителей оборудования и трубопроводов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 по увеличению межремонтного срока службы, увеличению установленной в проекте периодичности испытаний и проверок систем и оборудования, а также межповерочного интервала А-107946 пм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Дополнение к отчету по обоснованию безопасности. Обоснование безопасной эксплуатации энергоблока на уровне мощности 104% от номинальной при работе в 18-ти месячной топливной кампании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Дополнение к отчету по обоснованию безопасности по разработанным ОКБ «Гидропресс», НИАЭП,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АО «Атотехэнерго»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Обоснованиям безопасности и изменениям в проектную документацию энергоблока Ростовской АЭС, а также по обоснованиям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 полученным с заводов-изготовителей оборудования и трубопроводов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 по увеличению межремонтного срока службы, увеличению установленной в проекте периодичности испытаний и проверок систем и оборудования, а также межповерочного интервала R3.09208.9.0.11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45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Какие критерии проектирования изменились на вашей станции в ходе работ по увеличению мощности и продолжительности </w:t>
            </w:r>
            <w:r>
              <w:rPr>
                <w:b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топливного цикла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Критерии безопасности не изменялись</w:t>
            </w:r>
            <w:r/>
          </w:p>
        </w:tc>
      </w:tr>
      <w:tr>
        <w:trPr/>
        <w:tc>
          <w:tcPr>
            <w:gridSpan w:val="3"/>
            <w:tcW w:w="145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Требования национальных органов по регулированию безопасности в отношении увеличения мощности и продолжительности </w:t>
            </w:r>
            <w:r>
              <w:rPr>
                <w:b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топливного цикла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Решение Эксплуатирующей организации об организации работ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по повышению мощности энергоблока АЭС до 104 %.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9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Разработка документов: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Комплексная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программы испытаний энергоблока АЭС при освоении уровня тепловой мощности 104 % от номинальной;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- программы и методики, ссылки на которые имеются в Комплексной программе;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- извещени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об изменении  в Отчет по обоснованию безопасности;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- извещени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об изменении  в Рабочий технологический регламент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Направление в Ростехнадзор лицензионным заявлением комплекта документов по п.2.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После прохождения лицензионных процедур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Ростехнадзором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изменения в условия действия лицензии (УДЛ) с разрешением выполнения работ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в соответствии с Комплексной программой и требованием предоставления отчета по результатам испытаний.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Проведение испытаний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на энергоблоке АЭС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с Комплексной программой. 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Разработка отчета по результатам испытаний.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Разработка Программы опытно-промышленной эксплуатации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(ОПЭ)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энергоблока АЭС на тепловой мощности 104 % в течение 3-х топливных кампаний (по опыту Ростовской АЭС – это ОПЭ в 2-ю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, 3-ю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и 4-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топливные кампании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, топливный цикл – 18 месяцев)</w:t>
            </w:r>
            <w:bookmarkStart w:id="0" w:name="_GoBack"/>
            <w:r>
              <w:rPr>
                <w:rFonts w:ascii="Times New Roman" w:hAnsi="Times New Roman" w:cs="Times New Roman" w:eastAsia="Times New Roman"/>
                <w:sz w:val="24"/>
              </w:rPr>
            </w:r>
            <w:bookmarkEnd w:id="0"/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Направление в Ростехнадзор лицензионным заявлением комплекта документов по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.5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, 6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После прохождения лицензионных процедур, связанных с принятием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Ростехнадзором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направленного Отчета и выдачи  изменения  в УДЛ с разрешением ОПЭ энергоблока АЭС в течение запрошенных топливных кампаний.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В УДЛ также устанавливается требование о направлении в Ростехнадзор отчетов по каждой 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прошедших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кампаний.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По завершении крайней топливной кампании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в Ростехнадзор направляются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- отдельно Отчеты по всем топливным кампаниям;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- сводный Общий отчет;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- обосновывающие материалы;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- иные материалы по запросу экспертов и Ростехнадзора;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- утвержденная в установленном порядке государственная экологическая экспертиза материалов обоснования работы на мощности 104 %.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140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После прохождения лицензионных процедур, связанных с принятием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Ростехнадзором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направленного Отчета, АЭС уведомляет в установленном порядке Ростехнадзор о переходе энергоблока АЭС в промышленную эксплуатацию (ПЭ) на мощности 104 %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0"/>
    <w:next w:val="820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0"/>
    <w:next w:val="820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0"/>
    <w:next w:val="820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qFormat/>
    <w:uiPriority w:val="11"/>
    <w:rPr>
      <w:sz w:val="24"/>
      <w:szCs w:val="24"/>
    </w:rPr>
    <w:pPr>
      <w:spacing w:after="200" w:before="200"/>
    </w:p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qFormat/>
    <w:uiPriority w:val="29"/>
    <w:rPr>
      <w:i/>
    </w:rPr>
    <w:pPr>
      <w:ind w:left="720" w:right="720"/>
    </w:p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 &amp; 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9">
    <w:name w:val="Bordered &amp; 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0">
    <w:name w:val="Bordered &amp; 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1">
    <w:name w:val="Bordered &amp; 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2">
    <w:name w:val="Bordered &amp; 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3">
    <w:name w:val="Bordered &amp; 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4">
    <w:name w:val="Bordered &amp; 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5">
    <w:name w:val="Bordered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qFormat/>
    <w:uiPriority w:val="1"/>
    <w:pPr>
      <w:spacing w:lineRule="auto" w:line="240" w:after="0"/>
    </w:pPr>
  </w:style>
  <w:style w:type="paragraph" w:styleId="824">
    <w:name w:val="List Paragraph"/>
    <w:basedOn w:val="820"/>
    <w:qFormat/>
    <w:uiPriority w:val="34"/>
    <w:pPr>
      <w:contextualSpacing w:val="true"/>
      <w:ind w:left="720"/>
    </w:pPr>
  </w:style>
  <w:style w:type="character" w:styleId="82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2022-06-17T11:13:39Z</dcterms:modified>
</cp:coreProperties>
</file>