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C6" w:rsidRPr="00D818C0" w:rsidRDefault="00DB2EBA" w:rsidP="00391DB2">
      <w:pPr>
        <w:bidi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D2575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مشخصات </w:t>
      </w:r>
      <w:r w:rsidR="00391DB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پروژه</w:t>
      </w:r>
      <w:r w:rsidRPr="00D2575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8046"/>
      </w:tblGrid>
      <w:tr w:rsidR="00DB2EBA" w:rsidRPr="00DB2EBA" w:rsidTr="00C62BAF"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 xml:space="preserve">خدمات مشاوره جهت طرح‌ريزي و استقرار سيستم مديريت يكپارچه 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lang w:bidi="fa-IR"/>
              </w:rPr>
            </w:pPr>
            <w:r w:rsidRPr="00DB2EBA">
              <w:rPr>
                <w:rFonts w:cs="B Mitra"/>
                <w:color w:val="004F8A"/>
                <w:sz w:val="24"/>
                <w:szCs w:val="24"/>
                <w:lang w:bidi="fa-IR"/>
              </w:rPr>
              <w:t>CNT-1823-96-95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كارفرما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شركت بهره‌برداري نيروگاه اتمي بوشهر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مجري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شركت مهندسين مشاور افق هسته‌اي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22/01/1397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پايان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22/05/1398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پيشرفت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092A08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 xml:space="preserve">  26%</w:t>
            </w:r>
          </w:p>
        </w:tc>
      </w:tr>
    </w:tbl>
    <w:p w:rsidR="00DB2EBA" w:rsidRDefault="00DB2EBA" w:rsidP="00DB2EBA">
      <w:pPr>
        <w:bidi/>
        <w:rPr>
          <w:rFonts w:cs="B Mitra"/>
          <w:sz w:val="28"/>
          <w:szCs w:val="28"/>
          <w:rtl/>
          <w:lang w:bidi="fa-IR"/>
        </w:rPr>
      </w:pPr>
    </w:p>
    <w:p w:rsidR="00D25755" w:rsidRPr="00961A86" w:rsidRDefault="00961A86" w:rsidP="00D25755">
      <w:pPr>
        <w:bidi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61A86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شرح مختصري از فعاليت‌هاي انجام گرفته: </w:t>
      </w:r>
    </w:p>
    <w:p w:rsidR="003E7857" w:rsidRDefault="003E7857" w:rsidP="001D21B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چارچوب فاز شناخت آشنايي با فعاليت‌هاي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6175B0">
        <w:rPr>
          <w:rFonts w:cs="B Mitra" w:hint="cs"/>
          <w:sz w:val="28"/>
          <w:szCs w:val="28"/>
          <w:rtl/>
          <w:lang w:bidi="fa-IR"/>
        </w:rPr>
        <w:t>مديريت برنامه</w:t>
      </w:r>
      <w:r w:rsidRPr="006175B0">
        <w:rPr>
          <w:rFonts w:cs="B Mitra" w:hint="cs"/>
          <w:sz w:val="28"/>
          <w:szCs w:val="28"/>
          <w:rtl/>
          <w:lang w:bidi="fa-IR"/>
        </w:rPr>
        <w:softHyphen/>
        <w:t>ريزي و مدارك فني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F77788">
        <w:rPr>
          <w:rFonts w:cs="B Mitra" w:hint="cs"/>
          <w:sz w:val="28"/>
          <w:szCs w:val="28"/>
          <w:rtl/>
          <w:lang w:bidi="fa-IR"/>
        </w:rPr>
        <w:t xml:space="preserve"> معاون</w:t>
      </w:r>
      <w:r>
        <w:rPr>
          <w:rFonts w:cs="B Mitra" w:hint="cs"/>
          <w:sz w:val="28"/>
          <w:szCs w:val="28"/>
          <w:rtl/>
          <w:lang w:bidi="fa-IR"/>
        </w:rPr>
        <w:t>ت</w:t>
      </w:r>
      <w:r w:rsidRPr="00F77788">
        <w:rPr>
          <w:rFonts w:cs="B Mitra" w:hint="cs"/>
          <w:sz w:val="28"/>
          <w:szCs w:val="28"/>
          <w:rtl/>
          <w:lang w:bidi="fa-IR"/>
        </w:rPr>
        <w:t xml:space="preserve"> ايمن</w:t>
      </w:r>
      <w:r>
        <w:rPr>
          <w:rFonts w:cs="B Mitra" w:hint="cs"/>
          <w:sz w:val="28"/>
          <w:szCs w:val="28"/>
          <w:rtl/>
          <w:lang w:bidi="fa-IR"/>
        </w:rPr>
        <w:t xml:space="preserve">ي، </w:t>
      </w:r>
      <w:r w:rsidR="001D21B6" w:rsidRPr="00E05B1C">
        <w:rPr>
          <w:rFonts w:cs="B Mitra" w:hint="cs"/>
          <w:sz w:val="28"/>
          <w:szCs w:val="28"/>
          <w:rtl/>
          <w:lang w:bidi="fa-IR"/>
        </w:rPr>
        <w:t>معاونت فني و مهندسي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، </w:t>
      </w:r>
      <w:r w:rsidR="001D21B6" w:rsidRPr="00951C00">
        <w:rPr>
          <w:rFonts w:cs="B Mitra" w:hint="cs"/>
          <w:sz w:val="28"/>
          <w:szCs w:val="28"/>
          <w:rtl/>
          <w:lang w:bidi="fa-IR"/>
        </w:rPr>
        <w:t>مركز منابع انساني و آموزش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، </w:t>
      </w:r>
      <w:r w:rsidR="001D21B6" w:rsidRPr="00767D19">
        <w:rPr>
          <w:rFonts w:cs="B Mitra" w:hint="cs"/>
          <w:sz w:val="28"/>
          <w:szCs w:val="28"/>
          <w:rtl/>
          <w:lang w:bidi="fa-IR"/>
        </w:rPr>
        <w:t>مديريت كنترل و ابزاردقيق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، </w:t>
      </w:r>
      <w:r w:rsidR="001D21B6" w:rsidRPr="00767D19">
        <w:rPr>
          <w:rFonts w:cs="B Mitra" w:hint="cs"/>
          <w:sz w:val="28"/>
          <w:szCs w:val="28"/>
          <w:rtl/>
          <w:lang w:bidi="fa-IR"/>
        </w:rPr>
        <w:t xml:space="preserve">مديريت 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برق، </w:t>
      </w:r>
      <w:r w:rsidR="001D21B6" w:rsidRPr="00767D19">
        <w:rPr>
          <w:rFonts w:cs="B Mitra" w:hint="cs"/>
          <w:sz w:val="28"/>
          <w:szCs w:val="28"/>
          <w:rtl/>
          <w:lang w:bidi="fa-IR"/>
        </w:rPr>
        <w:t>معاونت نگهداري و تعميرات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، معاونت توليد و </w:t>
      </w:r>
      <w:r w:rsidR="001D21B6" w:rsidRPr="00C81DE2">
        <w:rPr>
          <w:rFonts w:cs="B Mitra" w:hint="cs"/>
          <w:sz w:val="28"/>
          <w:szCs w:val="28"/>
          <w:rtl/>
          <w:lang w:bidi="fa-IR"/>
        </w:rPr>
        <w:t>معاونت پشتيباني و توسعه</w:t>
      </w:r>
      <w:r w:rsidR="001D21B6">
        <w:rPr>
          <w:rFonts w:cs="Times New Roman" w:hint="cs"/>
          <w:sz w:val="28"/>
          <w:szCs w:val="28"/>
          <w:rtl/>
          <w:lang w:bidi="fa-IR"/>
        </w:rPr>
        <w:t>"</w:t>
      </w:r>
      <w:r w:rsidR="001D21B6">
        <w:rPr>
          <w:rFonts w:cs="B Mitra" w:hint="cs"/>
          <w:sz w:val="28"/>
          <w:szCs w:val="28"/>
          <w:rtl/>
          <w:lang w:bidi="fa-IR"/>
        </w:rPr>
        <w:t xml:space="preserve"> انجام گرديد.</w:t>
      </w:r>
    </w:p>
    <w:p w:rsidR="008960B7" w:rsidRDefault="008960B7" w:rsidP="008960B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تعيين كميته‌هاي راهبري و اجرايي.</w:t>
      </w:r>
    </w:p>
    <w:p w:rsidR="008960B7" w:rsidRDefault="008960B7" w:rsidP="00A852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برگزاري </w:t>
      </w:r>
      <w:r w:rsidRPr="00A630B0">
        <w:rPr>
          <w:rFonts w:cs="B Mitra" w:hint="cs"/>
          <w:sz w:val="28"/>
          <w:szCs w:val="28"/>
          <w:rtl/>
          <w:lang w:bidi="fa-IR"/>
        </w:rPr>
        <w:t>جلسه توجيهي براي اعضاي كميته اجرايي</w:t>
      </w:r>
      <w:r>
        <w:rPr>
          <w:rFonts w:cs="B Mitra" w:hint="cs"/>
          <w:sz w:val="28"/>
          <w:szCs w:val="28"/>
          <w:rtl/>
          <w:lang w:bidi="fa-IR"/>
        </w:rPr>
        <w:t xml:space="preserve"> (</w:t>
      </w:r>
      <w:r w:rsidR="00A8521A">
        <w:rPr>
          <w:rFonts w:cs="B Mitra" w:hint="cs"/>
          <w:sz w:val="28"/>
          <w:szCs w:val="28"/>
          <w:rtl/>
          <w:lang w:bidi="fa-IR"/>
        </w:rPr>
        <w:t>سه</w:t>
      </w:r>
      <w:r>
        <w:rPr>
          <w:rFonts w:cs="B Mitra" w:hint="cs"/>
          <w:sz w:val="28"/>
          <w:szCs w:val="28"/>
          <w:rtl/>
          <w:lang w:bidi="fa-IR"/>
        </w:rPr>
        <w:t xml:space="preserve"> جلسه، </w:t>
      </w:r>
      <w:r w:rsidR="00A8521A">
        <w:rPr>
          <w:rFonts w:cs="B Mitra" w:hint="cs"/>
          <w:sz w:val="28"/>
          <w:szCs w:val="28"/>
          <w:rtl/>
          <w:lang w:bidi="fa-IR"/>
        </w:rPr>
        <w:t>276 نفر-ساعت)</w:t>
      </w:r>
    </w:p>
    <w:p w:rsidR="008960B7" w:rsidRDefault="008960B7" w:rsidP="008960B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برگزاري </w:t>
      </w:r>
      <w:r w:rsidRPr="00A630B0">
        <w:rPr>
          <w:rFonts w:cs="B Mitra" w:hint="cs"/>
          <w:sz w:val="28"/>
          <w:szCs w:val="28"/>
          <w:rtl/>
          <w:lang w:bidi="fa-IR"/>
        </w:rPr>
        <w:t xml:space="preserve">جلسه توجيهي براي اعضاي كميته </w:t>
      </w:r>
      <w:r>
        <w:rPr>
          <w:rFonts w:cs="B Mitra" w:hint="cs"/>
          <w:sz w:val="28"/>
          <w:szCs w:val="28"/>
          <w:rtl/>
          <w:lang w:bidi="fa-IR"/>
        </w:rPr>
        <w:t>راهبري</w:t>
      </w:r>
      <w:r w:rsidR="00A8521A">
        <w:rPr>
          <w:rFonts w:cs="B Mitra" w:hint="cs"/>
          <w:sz w:val="28"/>
          <w:szCs w:val="28"/>
          <w:rtl/>
          <w:lang w:bidi="fa-IR"/>
        </w:rPr>
        <w:t xml:space="preserve"> (يك جلسه، 22 نفر-ساعت)</w:t>
      </w:r>
    </w:p>
    <w:p w:rsidR="00A8521A" w:rsidRDefault="00A8521A" w:rsidP="00A852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تعيين فهرست دوره‌هاي آموزشي مورد نياز جهت استقرار سيستم مديريت يكپارچه</w:t>
      </w:r>
    </w:p>
    <w:p w:rsidR="002244DA" w:rsidRDefault="002244DA" w:rsidP="002244D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تدوين خط مشي سيستم مديريت يكپارچه</w:t>
      </w:r>
    </w:p>
    <w:p w:rsidR="002244DA" w:rsidRDefault="002244DA" w:rsidP="002244D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طرح جهت استقرار فرآيند مديريت ريسك</w:t>
      </w:r>
      <w:r w:rsidR="00D818C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818C0" w:rsidRDefault="00D818C0" w:rsidP="00D818C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برگزاري كارگاه مديريت ريسك</w:t>
      </w:r>
    </w:p>
    <w:p w:rsidR="00D818C0" w:rsidRDefault="00D818C0" w:rsidP="00D818C0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</w:p>
    <w:p w:rsidR="00D818C0" w:rsidRPr="00D818C0" w:rsidRDefault="00D818C0" w:rsidP="00D818C0">
      <w:pPr>
        <w:bidi/>
        <w:ind w:left="36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D818C0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دوره‌هاي آموزشي برگزار شده:</w:t>
      </w:r>
    </w:p>
    <w:p w:rsidR="00D818C0" w:rsidRP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كيفيت </w:t>
      </w:r>
      <w:r w:rsidRPr="00D818C0">
        <w:rPr>
          <w:rFonts w:cs="B Mitra"/>
          <w:sz w:val="28"/>
          <w:szCs w:val="28"/>
          <w:lang w:bidi="fa-IR"/>
        </w:rPr>
        <w:t>ISO 9001:2015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(16 ساعت)</w:t>
      </w:r>
    </w:p>
    <w:p w:rsidR="00D818C0" w:rsidRP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ايمني و بهداشت حرفه‌اي </w:t>
      </w:r>
      <w:r w:rsidRPr="00D818C0">
        <w:rPr>
          <w:rFonts w:cs="B Mitra"/>
          <w:sz w:val="28"/>
          <w:szCs w:val="28"/>
          <w:lang w:bidi="fa-IR"/>
        </w:rPr>
        <w:t>ISO 45001:2018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(8 ساعت)</w:t>
      </w:r>
    </w:p>
    <w:p w:rsid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محيط زيست </w:t>
      </w:r>
      <w:r w:rsidRPr="00D818C0">
        <w:rPr>
          <w:rFonts w:cs="B Mitra"/>
          <w:sz w:val="28"/>
          <w:szCs w:val="28"/>
          <w:lang w:bidi="fa-IR"/>
        </w:rPr>
        <w:t>ISO 14001:2015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(8 ساعت)</w:t>
      </w:r>
    </w:p>
    <w:p w:rsidR="00D818C0" w:rsidRDefault="00D818C0" w:rsidP="00D818C0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</w:p>
    <w:p w:rsidR="00455BF5" w:rsidRPr="00455BF5" w:rsidRDefault="00455BF5" w:rsidP="00455BF5">
      <w:pPr>
        <w:bidi/>
        <w:ind w:left="36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455BF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lastRenderedPageBreak/>
        <w:t xml:space="preserve">وضعيت اجرايي فازهاي پروژه: </w:t>
      </w:r>
    </w:p>
    <w:tbl>
      <w:tblPr>
        <w:tblStyle w:val="MediumShading2-Accent4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6455"/>
        <w:gridCol w:w="1591"/>
      </w:tblGrid>
      <w:tr w:rsidR="00E00AF8" w:rsidTr="00CD6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فاز پروژه</w:t>
            </w:r>
          </w:p>
        </w:tc>
        <w:tc>
          <w:tcPr>
            <w:tcW w:w="6455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عنوان فاز</w:t>
            </w:r>
          </w:p>
        </w:tc>
        <w:tc>
          <w:tcPr>
            <w:tcW w:w="159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درصد پيشرفت</w:t>
            </w:r>
          </w:p>
        </w:tc>
      </w:tr>
      <w:tr w:rsidR="00455BF5" w:rsidTr="0026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12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اول</w:t>
            </w:r>
          </w:p>
        </w:tc>
        <w:tc>
          <w:tcPr>
            <w:tcW w:w="6455" w:type="dxa"/>
            <w:tcBorders>
              <w:top w:val="single" w:sz="12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شناخت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وضعیت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موجود</w:t>
            </w:r>
          </w:p>
        </w:tc>
        <w:tc>
          <w:tcPr>
            <w:tcW w:w="1591" w:type="dxa"/>
            <w:tcBorders>
              <w:top w:val="single" w:sz="12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455BF5" w:rsidTr="00261B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دوم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طرح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ریزی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سیستم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مدیریتی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مبتنی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بر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الزامات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استانداردهای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مبنا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30%</w:t>
            </w:r>
          </w:p>
        </w:tc>
      </w:tr>
      <w:tr w:rsidR="00455BF5" w:rsidTr="00795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سوم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(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تسهيل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تدوین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اصلاح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کلیه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قبیل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روش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اجرایی،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سازمانی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15%</w:t>
            </w:r>
          </w:p>
        </w:tc>
      </w:tr>
      <w:tr w:rsidR="00455BF5" w:rsidTr="00795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چهارم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پیاده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استقرار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سیستم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مدیریت</w:t>
            </w:r>
            <w:r w:rsidRPr="00E00AF8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(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طرح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ریزی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فرايندها،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جاری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ایجاد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سوابق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5%</w:t>
            </w:r>
          </w:p>
        </w:tc>
      </w:tr>
      <w:tr w:rsidR="00455BF5" w:rsidTr="0026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پنجم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پایش،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اندازه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گیری،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تجزیه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تحلیل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بهبود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10%</w:t>
            </w:r>
          </w:p>
        </w:tc>
      </w:tr>
      <w:tr w:rsidR="00455BF5" w:rsidTr="00261B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ش</w:t>
            </w:r>
            <w:r w:rsidRPr="001A75DF">
              <w:rPr>
                <w:rFonts w:cs="B Mitra" w:hint="cs"/>
                <w:color w:val="auto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شم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12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همکاری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همراهی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ارزیابی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شخص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ثالث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تا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توصیه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جهت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صدور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گواهینامه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12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0%</w:t>
            </w:r>
          </w:p>
        </w:tc>
      </w:tr>
    </w:tbl>
    <w:p w:rsidR="00F218FB" w:rsidRDefault="00F218FB" w:rsidP="00455BF5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</w:p>
    <w:p w:rsidR="00F218FB" w:rsidRDefault="005112CE" w:rsidP="00912009">
      <w:pPr>
        <w:jc w:val="center"/>
        <w:rPr>
          <w:rFonts w:cs="B Mitra"/>
          <w:sz w:val="28"/>
          <w:szCs w:val="28"/>
          <w:rtl/>
          <w:lang w:bidi="fa-IR"/>
        </w:rPr>
      </w:pPr>
      <w:r w:rsidRPr="00B45B4C">
        <w:rPr>
          <w:noProof/>
          <w:color w:val="FF0000"/>
        </w:rPr>
        <w:drawing>
          <wp:inline distT="0" distB="0" distL="0" distR="0" wp14:anchorId="37229E8B" wp14:editId="4628FCE2">
            <wp:extent cx="4374107" cy="2852382"/>
            <wp:effectExtent l="0" t="0" r="2667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2A5017" w:rsidRPr="00983423" w:rsidRDefault="002A5017" w:rsidP="00983423">
      <w:pPr>
        <w:rPr>
          <w:rFonts w:cs="B Mitra"/>
          <w:color w:val="00B050"/>
          <w:sz w:val="28"/>
          <w:szCs w:val="28"/>
          <w:rtl/>
          <w:lang w:bidi="fa-IR"/>
        </w:rPr>
      </w:pPr>
    </w:p>
    <w:sectPr w:rsidR="002A5017" w:rsidRPr="0098342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2A" w:rsidRDefault="0079462A" w:rsidP="00E90BB2">
      <w:pPr>
        <w:spacing w:after="0" w:line="240" w:lineRule="auto"/>
      </w:pPr>
      <w:r>
        <w:separator/>
      </w:r>
    </w:p>
  </w:endnote>
  <w:endnote w:type="continuationSeparator" w:id="0">
    <w:p w:rsidR="0079462A" w:rsidRDefault="0079462A" w:rsidP="00E9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849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B65" w:rsidRDefault="009D3B65" w:rsidP="009D3B65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BB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D3B65" w:rsidRDefault="009D3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2A" w:rsidRDefault="0079462A" w:rsidP="00E90BB2">
      <w:pPr>
        <w:spacing w:after="0" w:line="240" w:lineRule="auto"/>
      </w:pPr>
      <w:r>
        <w:separator/>
      </w:r>
    </w:p>
  </w:footnote>
  <w:footnote w:type="continuationSeparator" w:id="0">
    <w:p w:rsidR="0079462A" w:rsidRDefault="0079462A" w:rsidP="00E9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B2" w:rsidRPr="009D3B65" w:rsidRDefault="00E90BB2" w:rsidP="009D3B65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9D3B65">
      <w:rPr>
        <w:rFonts w:ascii="Tahoma" w:hAnsi="Tahoma" w:cs="B 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AF135" wp14:editId="40743DE8">
              <wp:simplePos x="0" y="0"/>
              <wp:positionH relativeFrom="column">
                <wp:posOffset>-868045</wp:posOffset>
              </wp:positionH>
              <wp:positionV relativeFrom="paragraph">
                <wp:posOffset>177004</wp:posOffset>
              </wp:positionV>
              <wp:extent cx="1160060" cy="300250"/>
              <wp:effectExtent l="0" t="0" r="21590" b="241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0060" cy="30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BB2" w:rsidRPr="009D3B65" w:rsidRDefault="00E90BB2" w:rsidP="00E90BB2">
                          <w:pPr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9D3B65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تاريخ: 31/06/1397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8.35pt;margin-top:13.95pt;width:91.35pt;height:2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" fillcolor="white [3201]" strokecolor="white [3212]" strokeweight=".5pt">
              <v:textbox>
                <w:txbxContent>
                  <w:p w:rsidR="00E90BB2" w:rsidRPr="009D3B65" w:rsidRDefault="00E90BB2" w:rsidP="00E90BB2">
                    <w:pPr>
                      <w:jc w:val="center"/>
                      <w:rPr>
                        <w:rFonts w:cs="B Nazanin" w:hint="cs"/>
                        <w:rtl/>
                        <w:lang w:bidi="fa-IR"/>
                      </w:rPr>
                    </w:pPr>
                    <w:r w:rsidRPr="009D3B65">
                      <w:rPr>
                        <w:rFonts w:cs="B Nazanin" w:hint="cs"/>
                        <w:rtl/>
                        <w:lang w:bidi="fa-IR"/>
                      </w:rPr>
                      <w:t>تاريخ: 31/06/1397</w:t>
                    </w:r>
                  </w:p>
                </w:txbxContent>
              </v:textbox>
            </v:shape>
          </w:pict>
        </mc:Fallback>
      </mc:AlternateContent>
    </w:r>
    <w:r w:rsidRPr="009D3B65">
      <w:rPr>
        <w:rFonts w:ascii="Tahoma" w:hAnsi="Tahoma" w:cs="B Nazanin"/>
        <w:b/>
        <w:bCs/>
        <w:sz w:val="28"/>
        <w:szCs w:val="28"/>
        <w:rtl/>
        <w:lang w:bidi="fa-IR"/>
      </w:rPr>
      <w:t xml:space="preserve"> پروژه طرح‌ريزي و استقرار سيستم مديريت يكپارچه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88B"/>
    <w:multiLevelType w:val="hybridMultilevel"/>
    <w:tmpl w:val="20CCAF50"/>
    <w:lvl w:ilvl="0" w:tplc="62C0E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0C9B"/>
    <w:multiLevelType w:val="hybridMultilevel"/>
    <w:tmpl w:val="F31ADA4A"/>
    <w:lvl w:ilvl="0" w:tplc="8252E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D"/>
    <w:rsid w:val="000628CF"/>
    <w:rsid w:val="00092A08"/>
    <w:rsid w:val="000A0AE8"/>
    <w:rsid w:val="00120F2B"/>
    <w:rsid w:val="00150E3B"/>
    <w:rsid w:val="001841AA"/>
    <w:rsid w:val="00196395"/>
    <w:rsid w:val="001A12A7"/>
    <w:rsid w:val="001A75DF"/>
    <w:rsid w:val="001D21B6"/>
    <w:rsid w:val="00203729"/>
    <w:rsid w:val="002244DA"/>
    <w:rsid w:val="00261B36"/>
    <w:rsid w:val="00287433"/>
    <w:rsid w:val="002A5017"/>
    <w:rsid w:val="002C5A76"/>
    <w:rsid w:val="00311E14"/>
    <w:rsid w:val="00335208"/>
    <w:rsid w:val="00337C79"/>
    <w:rsid w:val="0038148A"/>
    <w:rsid w:val="00391DB2"/>
    <w:rsid w:val="003B32E0"/>
    <w:rsid w:val="003C74FD"/>
    <w:rsid w:val="003E7857"/>
    <w:rsid w:val="00455BF5"/>
    <w:rsid w:val="00480D98"/>
    <w:rsid w:val="004B1D79"/>
    <w:rsid w:val="005112CE"/>
    <w:rsid w:val="00514487"/>
    <w:rsid w:val="005F0868"/>
    <w:rsid w:val="005F567A"/>
    <w:rsid w:val="006175B0"/>
    <w:rsid w:val="0062208C"/>
    <w:rsid w:val="00672F11"/>
    <w:rsid w:val="00767D19"/>
    <w:rsid w:val="0079462A"/>
    <w:rsid w:val="00795115"/>
    <w:rsid w:val="007E5153"/>
    <w:rsid w:val="00811063"/>
    <w:rsid w:val="008716DB"/>
    <w:rsid w:val="008960B7"/>
    <w:rsid w:val="008D2645"/>
    <w:rsid w:val="00912009"/>
    <w:rsid w:val="00932473"/>
    <w:rsid w:val="00934C6C"/>
    <w:rsid w:val="00951C00"/>
    <w:rsid w:val="00961A86"/>
    <w:rsid w:val="00983423"/>
    <w:rsid w:val="009D3B65"/>
    <w:rsid w:val="00A02E49"/>
    <w:rsid w:val="00A630B0"/>
    <w:rsid w:val="00A8521A"/>
    <w:rsid w:val="00AB1DFD"/>
    <w:rsid w:val="00AB35FE"/>
    <w:rsid w:val="00AB74F9"/>
    <w:rsid w:val="00B162D0"/>
    <w:rsid w:val="00B20508"/>
    <w:rsid w:val="00B25725"/>
    <w:rsid w:val="00B33BB6"/>
    <w:rsid w:val="00B45B4C"/>
    <w:rsid w:val="00B8387A"/>
    <w:rsid w:val="00BC56C1"/>
    <w:rsid w:val="00BE070D"/>
    <w:rsid w:val="00C43855"/>
    <w:rsid w:val="00C62BAF"/>
    <w:rsid w:val="00C81DE2"/>
    <w:rsid w:val="00CD6071"/>
    <w:rsid w:val="00D123BC"/>
    <w:rsid w:val="00D25755"/>
    <w:rsid w:val="00D818C0"/>
    <w:rsid w:val="00DA4FCF"/>
    <w:rsid w:val="00DB2EBA"/>
    <w:rsid w:val="00DC04C6"/>
    <w:rsid w:val="00DC0EB8"/>
    <w:rsid w:val="00E00AF8"/>
    <w:rsid w:val="00E05B1C"/>
    <w:rsid w:val="00E90BB2"/>
    <w:rsid w:val="00EC0504"/>
    <w:rsid w:val="00F218FB"/>
    <w:rsid w:val="00F77788"/>
    <w:rsid w:val="00FB14A1"/>
    <w:rsid w:val="00FC3C78"/>
    <w:rsid w:val="00FC455A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DFD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1A7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B2"/>
  </w:style>
  <w:style w:type="paragraph" w:styleId="Footer">
    <w:name w:val="footer"/>
    <w:basedOn w:val="Normal"/>
    <w:link w:val="Foot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DFD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1A7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B2"/>
  </w:style>
  <w:style w:type="paragraph" w:styleId="Footer">
    <w:name w:val="footer"/>
    <w:basedOn w:val="Normal"/>
    <w:link w:val="Foot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MS\Reports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 w="12700"/>
            <a:scene3d>
              <a:camera prst="orthographicFront"/>
              <a:lightRig rig="threePt" dir="t"/>
            </a:scene3d>
            <a:sp3d prstMaterial="metal"/>
          </c:spPr>
          <c:invertIfNegative val="0"/>
          <c:dPt>
            <c:idx val="0"/>
            <c:invertIfNegative val="0"/>
            <c:bubble3D val="0"/>
            <c:spPr>
              <a:solidFill>
                <a:srgbClr val="25AD52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</c:dPt>
          <c:dPt>
            <c:idx val="1"/>
            <c:invertIfNegative val="0"/>
            <c:bubble3D val="0"/>
            <c:spPr>
              <a:solidFill>
                <a:srgbClr val="3EA6C2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</c:dPt>
          <c:dPt>
            <c:idx val="3"/>
            <c:invertIfNegative val="0"/>
            <c:bubble3D val="0"/>
            <c:spPr>
              <a:solidFill>
                <a:srgbClr val="FF3399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</c:dPt>
          <c:dLbls>
            <c:dLbl>
              <c:idx val="2"/>
              <c:layout>
                <c:manualLayout>
                  <c:x val="0"/>
                  <c:y val="8.36140274132401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2.9414552347623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872265966754156E-7"/>
                  <c:y val="6.34587343248761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Agency FB" panose="020B0503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Sheet1!$G$9:$G$14</c:f>
              <c:numCache>
                <c:formatCode>0%</c:formatCode>
                <c:ptCount val="6"/>
                <c:pt idx="0">
                  <c:v>1</c:v>
                </c:pt>
                <c:pt idx="1">
                  <c:v>0.3</c:v>
                </c:pt>
                <c:pt idx="2">
                  <c:v>0.15</c:v>
                </c:pt>
                <c:pt idx="3">
                  <c:v>0.05</c:v>
                </c:pt>
                <c:pt idx="4">
                  <c:v>0.1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617984"/>
        <c:axId val="120627968"/>
      </c:barChart>
      <c:catAx>
        <c:axId val="12061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فاز پروژه</a:t>
                </a:r>
                <a:endParaRPr lang="en-US"/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Agency FB" panose="020B0503020202020204" pitchFamily="34" charset="0"/>
              </a:defRPr>
            </a:pPr>
            <a:endParaRPr lang="en-US"/>
          </a:p>
        </c:txPr>
        <c:crossAx val="120627968"/>
        <c:crosses val="autoZero"/>
        <c:auto val="1"/>
        <c:lblAlgn val="ctr"/>
        <c:lblOffset val="100"/>
        <c:noMultiLvlLbl val="0"/>
      </c:catAx>
      <c:valAx>
        <c:axId val="120627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a-IR"/>
                  <a:t>درصد پيشرفت</a:t>
                </a:r>
                <a:endParaRPr lang="en-US"/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Agency FB" panose="020B0503020202020204" pitchFamily="34" charset="0"/>
              </a:defRPr>
            </a:pPr>
            <a:endParaRPr lang="en-US"/>
          </a:p>
        </c:txPr>
        <c:crossAx val="120617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 algn="ctr" rtl="0">
        <a:defRPr lang="en-US" sz="1100" b="1" i="0" u="none" strike="noStrike" kern="1200" baseline="0">
          <a:solidFill>
            <a:sysClr val="windowText" lastClr="000000"/>
          </a:solidFill>
          <a:latin typeface="+mn-lt"/>
          <a:ea typeface="+mn-ea"/>
          <a:cs typeface="B Mitra" panose="00000400000000000000" pitchFamily="2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14E5-66C9-465C-90A1-D3FB34D4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Alinejad, Hamed</dc:creator>
  <cp:keywords/>
  <dc:description/>
  <cp:lastModifiedBy>Alinejad, Hamed</cp:lastModifiedBy>
  <cp:revision>77</cp:revision>
  <dcterms:created xsi:type="dcterms:W3CDTF">2018-09-22T11:54:00Z</dcterms:created>
  <dcterms:modified xsi:type="dcterms:W3CDTF">2018-09-23T11:22:00Z</dcterms:modified>
</cp:coreProperties>
</file>