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53" w:rsidRDefault="00C30553"/>
    <w:p w:rsidR="00063489" w:rsidRDefault="00063489">
      <w:pPr>
        <w:rPr>
          <w:lang w:val="ru-RU"/>
        </w:rPr>
      </w:pPr>
      <w:r>
        <w:rPr>
          <w:lang w:val="ru-RU"/>
        </w:rPr>
        <w:t>Уважаемые коллеги!</w:t>
      </w:r>
    </w:p>
    <w:p w:rsidR="00063489" w:rsidRPr="00063489" w:rsidRDefault="00063489" w:rsidP="00063489">
      <w:pPr>
        <w:pStyle w:val="a3"/>
        <w:spacing w:before="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Как вы знаете МЦ готовиться провести очередной региональный семинар по тематике показателей эффективности ВАО АЭС. Предлагается в этом году </w:t>
      </w:r>
      <w:r w:rsidR="006B0C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провести семинар целевым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(как было ранее определено</w:t>
      </w:r>
      <w:r w:rsidRPr="000634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основе рекомендаций секретариата Московского Центра ВАО АЭС и организаций-членов ВАО АЭС МЦ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6B0CA1">
        <w:rPr>
          <w:rFonts w:asciiTheme="minorHAnsi" w:eastAsiaTheme="minorHAnsi" w:hAnsiTheme="minorHAnsi" w:cstheme="minorBidi"/>
          <w:sz w:val="22"/>
          <w:szCs w:val="22"/>
          <w:lang w:eastAsia="en-US"/>
        </w:rPr>
        <w:t>. Для этого более подробно рассмотреть ряд вопросов:</w:t>
      </w:r>
    </w:p>
    <w:p w:rsidR="006B0CA1" w:rsidRPr="00063489" w:rsidRDefault="006B0CA1" w:rsidP="006B0CA1">
      <w:pPr>
        <w:pStyle w:val="a3"/>
        <w:numPr>
          <w:ilvl w:val="0"/>
          <w:numId w:val="1"/>
        </w:numPr>
        <w:spacing w:before="0" w:beforeAutospacing="0"/>
        <w:ind w:left="425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34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Статус программы «Показатели </w:t>
      </w:r>
      <w:r w:rsidR="007E7E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эффективности </w:t>
      </w:r>
      <w:r w:rsidRPr="000634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работы </w:t>
      </w:r>
      <w:r w:rsidR="007E7E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ВАО </w:t>
      </w:r>
      <w:r w:rsidRPr="00063489">
        <w:rPr>
          <w:rFonts w:asciiTheme="minorHAnsi" w:eastAsiaTheme="minorHAnsi" w:hAnsiTheme="minorHAnsi" w:cstheme="minorBidi"/>
          <w:sz w:val="22"/>
          <w:szCs w:val="22"/>
          <w:lang w:eastAsia="en-US"/>
        </w:rPr>
        <w:t>АЭС», годовой отчет ВАО АЭС-МЦ за 2016 год.</w:t>
      </w:r>
    </w:p>
    <w:p w:rsidR="006B0CA1" w:rsidRPr="00063489" w:rsidRDefault="006B0CA1" w:rsidP="006B0CA1">
      <w:pPr>
        <w:pStyle w:val="a3"/>
        <w:numPr>
          <w:ilvl w:val="0"/>
          <w:numId w:val="1"/>
        </w:numPr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34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Изменения в программе «Показатели </w:t>
      </w:r>
      <w:r w:rsidR="007E7E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эффективности </w:t>
      </w:r>
      <w:r w:rsidR="007E7E31" w:rsidRPr="000634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работы </w:t>
      </w:r>
      <w:r w:rsidR="007E7E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ВАО </w:t>
      </w:r>
      <w:r w:rsidR="007E7E31" w:rsidRPr="00063489">
        <w:rPr>
          <w:rFonts w:asciiTheme="minorHAnsi" w:eastAsiaTheme="minorHAnsi" w:hAnsiTheme="minorHAnsi" w:cstheme="minorBidi"/>
          <w:sz w:val="22"/>
          <w:szCs w:val="22"/>
          <w:lang w:eastAsia="en-US"/>
        </w:rPr>
        <w:t>АЭС</w:t>
      </w:r>
      <w:r w:rsidRPr="00063489">
        <w:rPr>
          <w:rFonts w:asciiTheme="minorHAnsi" w:eastAsiaTheme="minorHAnsi" w:hAnsiTheme="minorHAnsi" w:cstheme="minorBidi"/>
          <w:sz w:val="22"/>
          <w:szCs w:val="22"/>
          <w:lang w:eastAsia="en-US"/>
        </w:rPr>
        <w:t>».</w:t>
      </w:r>
    </w:p>
    <w:p w:rsidR="006B0CA1" w:rsidRDefault="006B0CA1" w:rsidP="00063489">
      <w:pPr>
        <w:pStyle w:val="a3"/>
        <w:numPr>
          <w:ilvl w:val="0"/>
          <w:numId w:val="1"/>
        </w:numPr>
        <w:spacing w:before="0" w:beforeAutospacing="0"/>
        <w:ind w:left="425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Детализированное рассмотрение показателей,</w:t>
      </w:r>
      <w:r w:rsidRPr="006B0C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63489">
        <w:rPr>
          <w:rFonts w:asciiTheme="minorHAnsi" w:eastAsiaTheme="minorHAnsi" w:hAnsiTheme="minorHAnsi" w:cstheme="minorBidi"/>
          <w:sz w:val="22"/>
          <w:szCs w:val="22"/>
          <w:lang w:eastAsia="en-US"/>
        </w:rPr>
        <w:t>связанных с работоспособностью систем безопасности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B0CA1" w:rsidRDefault="006B0CA1" w:rsidP="00063489">
      <w:pPr>
        <w:pStyle w:val="a3"/>
        <w:numPr>
          <w:ilvl w:val="0"/>
          <w:numId w:val="1"/>
        </w:numPr>
        <w:spacing w:before="0" w:beforeAutospacing="0"/>
        <w:ind w:left="425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Рассмотреть возможные варианты событий на системах безопасности, с точки зрения их корректной оценки в системе показателей ВАО АЭС.</w:t>
      </w:r>
    </w:p>
    <w:p w:rsidR="006B0CA1" w:rsidRDefault="006B0CA1" w:rsidP="00063489">
      <w:pPr>
        <w:pStyle w:val="a3"/>
        <w:numPr>
          <w:ilvl w:val="0"/>
          <w:numId w:val="1"/>
        </w:numPr>
        <w:spacing w:before="0" w:beforeAutospacing="0"/>
        <w:ind w:left="425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Рассмотреть результаты анализа данных по работоспособности систем безопасности.</w:t>
      </w:r>
    </w:p>
    <w:p w:rsidR="006B0CA1" w:rsidRDefault="006B0CA1" w:rsidP="00063489">
      <w:pPr>
        <w:pStyle w:val="a3"/>
        <w:numPr>
          <w:ilvl w:val="0"/>
          <w:numId w:val="1"/>
        </w:numPr>
        <w:spacing w:before="0" w:beforeAutospacing="0"/>
        <w:ind w:left="425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Рассмотрение используемых на АЭС методик по сбору данных для показателей SSPI.</w:t>
      </w:r>
    </w:p>
    <w:p w:rsidR="006B0CA1" w:rsidRDefault="006B0CA1" w:rsidP="00063489">
      <w:pPr>
        <w:pStyle w:val="a3"/>
        <w:numPr>
          <w:ilvl w:val="0"/>
          <w:numId w:val="1"/>
        </w:numPr>
        <w:spacing w:before="0" w:beforeAutospacing="0"/>
        <w:ind w:left="425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Обоснование выбора показателя коллективной дозы радиационного облучения (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 для мониторинга среди АЭС МЦ.</w:t>
      </w:r>
    </w:p>
    <w:p w:rsidR="006B0CA1" w:rsidRDefault="006B0CA1" w:rsidP="006B0CA1">
      <w:pPr>
        <w:pStyle w:val="a3"/>
        <w:numPr>
          <w:ilvl w:val="0"/>
          <w:numId w:val="1"/>
        </w:numPr>
        <w:spacing w:before="0" w:beforeAutospacing="0"/>
        <w:ind w:left="425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Рассмотреть результаты анализа данных по</w:t>
      </w:r>
      <w:r w:rsidRPr="006B0C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показателю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B0CA1" w:rsidRDefault="006B0CA1" w:rsidP="006B0CA1">
      <w:pPr>
        <w:pStyle w:val="a3"/>
        <w:numPr>
          <w:ilvl w:val="0"/>
          <w:numId w:val="1"/>
        </w:numPr>
        <w:spacing w:before="0" w:beforeAutospacing="0"/>
        <w:ind w:left="425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Рассмотрение используемых на АЭС методик по сбору данных для показателя</w:t>
      </w:r>
      <w:r w:rsidRPr="006B0CA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B0CA1" w:rsidRDefault="006B0CA1" w:rsidP="006B0CA1">
      <w:pPr>
        <w:pStyle w:val="a3"/>
        <w:numPr>
          <w:ilvl w:val="0"/>
          <w:numId w:val="1"/>
        </w:numPr>
        <w:spacing w:before="0" w:beforeAutospacing="0"/>
        <w:ind w:left="425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Использование результатов мониторинга показателей SSPI и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 производственной деятельности АЭС.</w:t>
      </w:r>
    </w:p>
    <w:p w:rsidR="00063489" w:rsidRDefault="00063489" w:rsidP="00063489">
      <w:pPr>
        <w:pStyle w:val="a3"/>
        <w:numPr>
          <w:ilvl w:val="0"/>
          <w:numId w:val="1"/>
        </w:numPr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3489">
        <w:rPr>
          <w:rFonts w:asciiTheme="minorHAnsi" w:eastAsiaTheme="minorHAnsi" w:hAnsiTheme="minorHAnsi" w:cstheme="minorBidi"/>
          <w:sz w:val="22"/>
          <w:szCs w:val="22"/>
          <w:lang w:eastAsia="en-US"/>
        </w:rPr>
        <w:t>Общие вопросы и дискуссия.</w:t>
      </w:r>
    </w:p>
    <w:p w:rsidR="006B0CA1" w:rsidRDefault="006B0CA1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Для того чтобы наше мероприятие было эффективным, полезным и интересным, </w:t>
      </w:r>
      <w:r w:rsidR="00E03329">
        <w:rPr>
          <w:rFonts w:asciiTheme="minorHAnsi" w:eastAsiaTheme="minorHAnsi" w:hAnsiTheme="minorHAnsi" w:cstheme="minorBidi"/>
          <w:sz w:val="22"/>
          <w:szCs w:val="22"/>
          <w:lang w:eastAsia="en-US"/>
        </w:rPr>
        <w:t>рекомендуем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подготовить свои презентации с учетом всех описанных выше вопросов, а именно подготовить </w:t>
      </w:r>
      <w:r w:rsidR="00E03329">
        <w:rPr>
          <w:rFonts w:asciiTheme="minorHAnsi" w:eastAsiaTheme="minorHAnsi" w:hAnsiTheme="minorHAnsi" w:cstheme="minorBidi"/>
          <w:sz w:val="22"/>
          <w:szCs w:val="22"/>
          <w:lang w:eastAsia="en-US"/>
        </w:rPr>
        <w:t>следующие материалы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6B0CA1" w:rsidRDefault="006B0CA1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 какие системы безопасности подлежат мониторингу на вашей станции;</w:t>
      </w:r>
    </w:p>
    <w:p w:rsidR="006B0CA1" w:rsidRDefault="006B0CA1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каким образом происходит сбор данных по временам неработоспособности оборудования систем безопасности;</w:t>
      </w:r>
    </w:p>
    <w:p w:rsidR="006B0CA1" w:rsidRDefault="006B0CA1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E033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ваше понимание предложенных методик расчета показателей </w:t>
      </w:r>
      <w:r w:rsidR="00E0332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SSPI</w:t>
      </w:r>
      <w:r w:rsidR="00E03329">
        <w:rPr>
          <w:rFonts w:asciiTheme="minorHAnsi" w:eastAsiaTheme="minorHAnsi" w:hAnsiTheme="minorHAnsi" w:cstheme="minorBidi"/>
          <w:sz w:val="22"/>
          <w:szCs w:val="22"/>
          <w:lang w:eastAsia="en-US"/>
        </w:rPr>
        <w:t>, с точки зрения различных событий;</w:t>
      </w:r>
    </w:p>
    <w:p w:rsidR="00E03329" w:rsidRDefault="00E03329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взаимодействие со службой учета и расследования событий на станции;</w:t>
      </w:r>
    </w:p>
    <w:p w:rsidR="00E03329" w:rsidRDefault="00E03329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фактическое использование результатов анализа данных, связанных с показателями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SSPI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на вашей станции;</w:t>
      </w:r>
    </w:p>
    <w:p w:rsidR="00E03329" w:rsidRDefault="00E03329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используемая методика сбора и подсчета данных по коллективной дозе радиационного облучения персонала на станции;</w:t>
      </w:r>
    </w:p>
    <w:p w:rsidR="00E03329" w:rsidRDefault="00E03329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результаты мониторинга данных по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использование результатов мониторинга в производственной деятельности;</w:t>
      </w:r>
    </w:p>
    <w:p w:rsidR="00E03329" w:rsidRDefault="00E03329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используемый приборный парк для мониторинга коллективной дозе радиационного облучения персонала на станции;</w:t>
      </w:r>
    </w:p>
    <w:p w:rsidR="00E03329" w:rsidRDefault="00E03329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- вопросы и предложения.</w:t>
      </w:r>
    </w:p>
    <w:p w:rsidR="00E03329" w:rsidRDefault="00E03329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Хотим обратить ваше внимание, что в своих презентациях </w:t>
      </w:r>
      <w:r w:rsidRPr="00AD46F1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 xml:space="preserve">не приводите данные по стандартному набору показателей эффективности работы ВАО АЭС, их трендам для вашей станции. </w:t>
      </w:r>
      <w:r w:rsidR="00AD46F1" w:rsidRPr="00AD46F1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 xml:space="preserve">Вам этого делать не нужно.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Эти материалы будут представлены </w:t>
      </w:r>
      <w:r w:rsidRPr="007E7E31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только со стороны ВАО АЭС – МЦ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bookmarkStart w:id="0" w:name="_GoBack"/>
      <w:bookmarkEnd w:id="0"/>
    </w:p>
    <w:p w:rsidR="00E03329" w:rsidRDefault="00E03329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Сфокусируйте внимание только на описанных выше рекомендациях к подготовке своих презентаций.</w:t>
      </w:r>
    </w:p>
    <w:p w:rsidR="00E03329" w:rsidRDefault="00E03329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В анонсе к семинару было указано, что свои презентации необходимо подготовить до 01 мая. С учетом сложившейся ситуации по организации семинара предлага</w:t>
      </w:r>
      <w:r w:rsidR="00AD46F1">
        <w:rPr>
          <w:rFonts w:asciiTheme="minorHAnsi" w:eastAsiaTheme="minorHAnsi" w:hAnsiTheme="minorHAnsi" w:cstheme="minorBidi"/>
          <w:sz w:val="22"/>
          <w:szCs w:val="22"/>
          <w:lang w:eastAsia="en-US"/>
        </w:rPr>
        <w:t>ем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сдвинуть эту границу до </w:t>
      </w:r>
      <w:r w:rsidRPr="00AD46F1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>15 мая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D46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Это последняя дата для получения ваших презентаций, которые необходимо своевременно обработать как переводчикам, так и организаторам семинара. </w:t>
      </w:r>
    </w:p>
    <w:p w:rsidR="00E03329" w:rsidRPr="00AD46F1" w:rsidRDefault="00E03329" w:rsidP="006B0CA1">
      <w:pPr>
        <w:pStyle w:val="a3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D46F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Также хотим обратить ваше внимание, что участие в семинаре рассматривается только с предоставлением презентационных материалов. </w:t>
      </w:r>
    </w:p>
    <w:p w:rsidR="00E03329" w:rsidRDefault="00E03329" w:rsidP="006B0CA1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Dear colleagues!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As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 you know</w:t>
      </w:r>
      <w:r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,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 MC is preparing to hold regional seminar on the topic of WANO performance indicators. It is proposed to conduct a targeted seminar this year (as previously determined on the basis of the recommendations of the Secretariat of the WANO MC</w:t>
      </w:r>
      <w:r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 and WANO-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member organizations). To do this, consider a number of issues in more detail: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1. Status of the program "</w:t>
      </w:r>
      <w:r w:rsidR="007E7E3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WANO 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Performance Indicators", WANO-MC's annual report for 2016.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2. Changes in the WANO Performance Indicators Program.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3. Detailed consideration of indicators related to the </w:t>
      </w:r>
      <w:r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availability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 of s</w:t>
      </w:r>
      <w:r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afe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ty systems.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4. To consider possible variants of events on safety systems, from the point of view of their correct estimation in the WANO </w:t>
      </w:r>
      <w:r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PIs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5. Review the results of the data analysis on the </w:t>
      </w:r>
      <w:r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availability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 of safety systems.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6. Consideration of the methods used at NPPs for data collection for SSPI indicators.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7. Justification of the choice of the collective dose of radiation exposure (CRE) for monitoring among nuclear power plants of the MC.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8. Review the results of the analysis of data for the CRE indicator.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9. Consideration of the methods used at NPPs for data collection for the CRE indicator.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10. Use of results of monitoring of SSPI and CRE indicators in NPP production activities.</w:t>
      </w:r>
    </w:p>
    <w:p w:rsidR="00AD46F1" w:rsidRPr="007E7E3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7E7E3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11. General issues and discussion.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lastRenderedPageBreak/>
        <w:t>In order for our event to be effective, useful and interesting, we recommend preparing your presentations taking into account all the issues described above, namely, to prepare the following materials: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- what safety systems are to be monitored at your station;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- how the data are collected on the times when the safety equipment is </w:t>
      </w:r>
      <w:r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unavailable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;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- your understanding of the proposed methodologies for calculating SSPI indicators, from the point of view of various events;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- interaction with the service of registration and investigation of events at the station;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- actual use of the results of data analysis related to SSPI indicators at your station;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- the methodology used to collect and calculate data on the collective dose of radiation exposure to personnel at the station;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- results of monitoring data on CRE, use of monitoring results in production activities;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- the instrument park used to monitor the collective dose of radiation exposure of personnel at the station;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- questions and suggestions.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We would like to draw your attention to the fact that in your presentations </w:t>
      </w:r>
      <w:r w:rsidRPr="00AD46F1">
        <w:rPr>
          <w:rFonts w:asciiTheme="minorHAnsi" w:eastAsiaTheme="minorHAnsi" w:hAnsiTheme="minorHAnsi" w:cstheme="minorBidi"/>
          <w:b/>
          <w:color w:val="FF0000"/>
          <w:sz w:val="22"/>
          <w:szCs w:val="22"/>
          <w:lang w:val="en-US" w:eastAsia="en-US"/>
        </w:rPr>
        <w:t>do not provide data on the standard set of WANO performance indicators, their trends for your station.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 </w:t>
      </w:r>
      <w:r w:rsidRPr="00AD46F1">
        <w:rPr>
          <w:rFonts w:asciiTheme="minorHAnsi" w:eastAsiaTheme="minorHAnsi" w:hAnsiTheme="minorHAnsi" w:cstheme="minorBidi"/>
          <w:b/>
          <w:color w:val="FF0000"/>
          <w:sz w:val="22"/>
          <w:szCs w:val="22"/>
          <w:lang w:val="en-US" w:eastAsia="en-US"/>
        </w:rPr>
        <w:t>You do not need to do this.</w:t>
      </w:r>
      <w:r w:rsidRPr="00AD46F1">
        <w:rPr>
          <w:rFonts w:asciiTheme="minorHAnsi" w:eastAsiaTheme="minorHAnsi" w:hAnsiTheme="minorHAnsi" w:cstheme="minorBidi"/>
          <w:color w:val="FF0000"/>
          <w:sz w:val="22"/>
          <w:szCs w:val="22"/>
          <w:lang w:val="en-US" w:eastAsia="en-US"/>
        </w:rPr>
        <w:t xml:space="preserve"> 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These materials will be </w:t>
      </w:r>
      <w:r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present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ed only by WANO - MC.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Focus only on the recommendations described above to prepare your presentations.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In the announcement to the seminar it was stated that their presentations should be prepared before May 01. In view of the current situation on the organization of the seminar, </w:t>
      </w:r>
      <w:r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we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 xml:space="preserve"> propose to move this border to </w:t>
      </w:r>
      <w:r w:rsidRPr="00AD46F1">
        <w:rPr>
          <w:rFonts w:asciiTheme="minorHAnsi" w:eastAsiaTheme="minorHAnsi" w:hAnsiTheme="minorHAnsi" w:cstheme="minorBidi"/>
          <w:b/>
          <w:color w:val="FF0000"/>
          <w:sz w:val="22"/>
          <w:szCs w:val="22"/>
          <w:lang w:val="en-US" w:eastAsia="en-US"/>
        </w:rPr>
        <w:t>May 15.</w:t>
      </w:r>
      <w:r w:rsidRPr="00AD46F1">
        <w:rPr>
          <w:rFonts w:asciiTheme="minorHAnsi" w:eastAsiaTheme="minorHAnsi" w:hAnsiTheme="minorHAnsi" w:cstheme="minorBidi"/>
          <w:color w:val="FF0000"/>
          <w:sz w:val="22"/>
          <w:szCs w:val="22"/>
          <w:lang w:val="en-US" w:eastAsia="en-US"/>
        </w:rPr>
        <w:t xml:space="preserve"> </w:t>
      </w:r>
      <w:r w:rsidRPr="00AD46F1">
        <w:rPr>
          <w:rFonts w:asciiTheme="minorHAnsi" w:eastAsiaTheme="minorHAnsi" w:hAnsiTheme="minorHAnsi" w:cstheme="minorBidi"/>
          <w:color w:val="C00000"/>
          <w:sz w:val="22"/>
          <w:szCs w:val="22"/>
          <w:lang w:val="en-US" w:eastAsia="en-US"/>
        </w:rPr>
        <w:t>This is the last date for receiving your presentations, which must be processed in a timely manner by both translators and organizers of the seminar.</w:t>
      </w:r>
    </w:p>
    <w:p w:rsidR="00AD46F1" w:rsidRPr="00AD46F1" w:rsidRDefault="00AD46F1" w:rsidP="00AD46F1">
      <w:pPr>
        <w:pStyle w:val="a3"/>
        <w:jc w:val="both"/>
        <w:rPr>
          <w:rFonts w:asciiTheme="minorHAnsi" w:eastAsiaTheme="minorHAnsi" w:hAnsiTheme="minorHAnsi" w:cstheme="minorBidi"/>
          <w:b/>
          <w:color w:val="C00000"/>
          <w:sz w:val="22"/>
          <w:szCs w:val="22"/>
          <w:lang w:val="en-US" w:eastAsia="en-US"/>
        </w:rPr>
      </w:pPr>
      <w:r w:rsidRPr="00AD46F1">
        <w:rPr>
          <w:rFonts w:asciiTheme="minorHAnsi" w:eastAsiaTheme="minorHAnsi" w:hAnsiTheme="minorHAnsi" w:cstheme="minorBidi"/>
          <w:b/>
          <w:color w:val="C00000"/>
          <w:sz w:val="22"/>
          <w:szCs w:val="22"/>
          <w:lang w:val="en-US" w:eastAsia="en-US"/>
        </w:rPr>
        <w:t>We also want to draw your attention to the fact that participation in the seminar is considered only with presentation.</w:t>
      </w:r>
    </w:p>
    <w:p w:rsidR="00063489" w:rsidRPr="00AD46F1" w:rsidRDefault="00063489">
      <w:pPr>
        <w:rPr>
          <w:color w:val="C00000"/>
        </w:rPr>
      </w:pPr>
    </w:p>
    <w:sectPr w:rsidR="00063489" w:rsidRPr="00AD46F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75D"/>
    <w:multiLevelType w:val="hybridMultilevel"/>
    <w:tmpl w:val="C8364C16"/>
    <w:lvl w:ilvl="0" w:tplc="5DD08E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89"/>
    <w:rsid w:val="00063489"/>
    <w:rsid w:val="00073F9D"/>
    <w:rsid w:val="00095AF7"/>
    <w:rsid w:val="000A65D2"/>
    <w:rsid w:val="000E1C31"/>
    <w:rsid w:val="001203B6"/>
    <w:rsid w:val="001C6541"/>
    <w:rsid w:val="0022088D"/>
    <w:rsid w:val="00291148"/>
    <w:rsid w:val="002B7258"/>
    <w:rsid w:val="002D3F9F"/>
    <w:rsid w:val="00307508"/>
    <w:rsid w:val="0034249B"/>
    <w:rsid w:val="00375E19"/>
    <w:rsid w:val="00394AA0"/>
    <w:rsid w:val="004758E1"/>
    <w:rsid w:val="004A5D2E"/>
    <w:rsid w:val="004C548D"/>
    <w:rsid w:val="004F0B22"/>
    <w:rsid w:val="00503CD8"/>
    <w:rsid w:val="005402B1"/>
    <w:rsid w:val="00565088"/>
    <w:rsid w:val="005871C3"/>
    <w:rsid w:val="005906C5"/>
    <w:rsid w:val="00634C37"/>
    <w:rsid w:val="00653D1B"/>
    <w:rsid w:val="00662966"/>
    <w:rsid w:val="00696AFA"/>
    <w:rsid w:val="006B0CA1"/>
    <w:rsid w:val="006C4CAE"/>
    <w:rsid w:val="006C5A0A"/>
    <w:rsid w:val="006E36A7"/>
    <w:rsid w:val="006F18A4"/>
    <w:rsid w:val="007426FC"/>
    <w:rsid w:val="00746F85"/>
    <w:rsid w:val="007B5CDE"/>
    <w:rsid w:val="007E7E31"/>
    <w:rsid w:val="008A2A2B"/>
    <w:rsid w:val="008B6AE4"/>
    <w:rsid w:val="00A20F8D"/>
    <w:rsid w:val="00A612DB"/>
    <w:rsid w:val="00AA000C"/>
    <w:rsid w:val="00AD46F1"/>
    <w:rsid w:val="00B13068"/>
    <w:rsid w:val="00B41F50"/>
    <w:rsid w:val="00B70B54"/>
    <w:rsid w:val="00B9104E"/>
    <w:rsid w:val="00BB5DFE"/>
    <w:rsid w:val="00BF0361"/>
    <w:rsid w:val="00C12F52"/>
    <w:rsid w:val="00C30553"/>
    <w:rsid w:val="00CC4CD8"/>
    <w:rsid w:val="00CE2A84"/>
    <w:rsid w:val="00D304C2"/>
    <w:rsid w:val="00D3610C"/>
    <w:rsid w:val="00DF3ABF"/>
    <w:rsid w:val="00E03329"/>
    <w:rsid w:val="00E404EF"/>
    <w:rsid w:val="00E428BF"/>
    <w:rsid w:val="00EC1CDB"/>
    <w:rsid w:val="00ED4ACC"/>
    <w:rsid w:val="00ED63CB"/>
    <w:rsid w:val="00F2345E"/>
    <w:rsid w:val="00F30B6D"/>
    <w:rsid w:val="00F9661E"/>
    <w:rsid w:val="00FC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8FF"/>
  <w15:chartTrackingRefBased/>
  <w15:docId w15:val="{F1759927-BF3A-4EAE-956C-94C3E1B7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348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podoprygora</dc:creator>
  <cp:keywords/>
  <dc:description/>
  <cp:lastModifiedBy>podoprygora</cp:lastModifiedBy>
  <cp:revision>2</cp:revision>
  <dcterms:created xsi:type="dcterms:W3CDTF">2017-04-02T10:36:00Z</dcterms:created>
  <dcterms:modified xsi:type="dcterms:W3CDTF">2017-04-03T11:59:00Z</dcterms:modified>
</cp:coreProperties>
</file>