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7BC39" w14:textId="77777777" w:rsidR="00387DC2" w:rsidRPr="00387DC2" w:rsidRDefault="00387DC2" w:rsidP="00387DC2">
      <w:pPr>
        <w:overflowPunct/>
        <w:autoSpaceDE/>
        <w:autoSpaceDN/>
        <w:adjustRightInd/>
        <w:spacing w:after="85"/>
        <w:ind w:firstLine="0"/>
        <w:jc w:val="center"/>
        <w:textAlignment w:val="auto"/>
        <w:outlineLvl w:val="0"/>
        <w:rPr>
          <w:rFonts w:eastAsia="Times New Roman"/>
          <w:b/>
          <w:szCs w:val="24"/>
        </w:rPr>
      </w:pPr>
      <w:r w:rsidRPr="00387DC2">
        <w:rPr>
          <w:rFonts w:eastAsia="Times New Roman"/>
          <w:noProof/>
          <w:sz w:val="18"/>
          <w:lang w:eastAsia="en-GB"/>
        </w:rPr>
        <w:drawing>
          <wp:inline distT="0" distB="0" distL="0" distR="0" wp14:anchorId="736C5D73" wp14:editId="1F4A001D">
            <wp:extent cx="2246400" cy="1951200"/>
            <wp:effectExtent l="0" t="0" r="1905" b="0"/>
            <wp:docPr id="5" name="Picture 5" descr="http://oasis.iaea.org/OASIS/OASIS/MTCD/References/VID/IAEA_LOGO_NEW_JPG/With_slogan_vertical/IAEA-Logo-E_vertical_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asis.iaea.org/OASIS/OASIS/MTCD/References/VID/IAEA_LOGO_NEW_JPG/With_slogan_vertical/IAEA-Logo-E_vertical_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400" cy="19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CCC6A" w14:textId="77777777" w:rsidR="00387DC2" w:rsidRPr="00387DC2" w:rsidRDefault="00387DC2" w:rsidP="00387DC2">
      <w:pPr>
        <w:overflowPunct/>
        <w:autoSpaceDE/>
        <w:autoSpaceDN/>
        <w:adjustRightInd/>
        <w:spacing w:after="85"/>
        <w:ind w:firstLine="0"/>
        <w:jc w:val="center"/>
        <w:textAlignment w:val="auto"/>
        <w:outlineLvl w:val="0"/>
        <w:rPr>
          <w:rFonts w:eastAsia="Times New Roman"/>
          <w:b/>
          <w:szCs w:val="24"/>
        </w:rPr>
      </w:pPr>
    </w:p>
    <w:p w14:paraId="605B0C6C" w14:textId="77777777" w:rsidR="00387DC2" w:rsidRPr="00387DC2" w:rsidRDefault="005C3D09" w:rsidP="00387DC2">
      <w:pPr>
        <w:tabs>
          <w:tab w:val="left" w:pos="1701"/>
        </w:tabs>
        <w:overflowPunct/>
        <w:autoSpaceDE/>
        <w:autoSpaceDN/>
        <w:adjustRightInd/>
        <w:spacing w:line="360" w:lineRule="auto"/>
        <w:ind w:firstLine="0"/>
        <w:jc w:val="center"/>
        <w:textAlignment w:val="auto"/>
        <w:rPr>
          <w:rFonts w:eastAsia="Times New Roman"/>
          <w:b/>
          <w:bCs/>
          <w:sz w:val="42"/>
          <w:szCs w:val="42"/>
        </w:rPr>
      </w:pPr>
      <w:r>
        <w:rPr>
          <w:rFonts w:eastAsia="Times New Roman"/>
          <w:b/>
          <w:bCs/>
          <w:sz w:val="42"/>
          <w:szCs w:val="42"/>
        </w:rPr>
        <w:t>Consultancy Meeting</w:t>
      </w:r>
    </w:p>
    <w:p w14:paraId="1FF86646" w14:textId="77777777" w:rsidR="00387DC2" w:rsidRPr="00387DC2" w:rsidRDefault="00157832" w:rsidP="00387DC2">
      <w:pPr>
        <w:tabs>
          <w:tab w:val="left" w:pos="1701"/>
        </w:tabs>
        <w:overflowPunct/>
        <w:autoSpaceDE/>
        <w:autoSpaceDN/>
        <w:adjustRightInd/>
        <w:spacing w:line="360" w:lineRule="auto"/>
        <w:ind w:firstLine="0"/>
        <w:jc w:val="center"/>
        <w:textAlignment w:val="auto"/>
        <w:rPr>
          <w:rFonts w:eastAsia="Times New Roman"/>
          <w:b/>
          <w:bCs/>
          <w:sz w:val="42"/>
          <w:szCs w:val="42"/>
        </w:rPr>
      </w:pPr>
      <w:r>
        <w:rPr>
          <w:rFonts w:eastAsia="Times New Roman"/>
          <w:b/>
          <w:bCs/>
          <w:sz w:val="42"/>
          <w:szCs w:val="42"/>
        </w:rPr>
        <w:t>on</w:t>
      </w:r>
    </w:p>
    <w:p w14:paraId="17785982" w14:textId="77777777" w:rsidR="003B351D" w:rsidRDefault="00706B77" w:rsidP="00996452">
      <w:pPr>
        <w:overflowPunct/>
        <w:spacing w:line="276" w:lineRule="auto"/>
        <w:ind w:firstLine="0"/>
        <w:jc w:val="center"/>
        <w:textAlignment w:val="auto"/>
        <w:rPr>
          <w:rFonts w:eastAsia="Times New Roman"/>
          <w:b/>
          <w:bCs/>
          <w:sz w:val="42"/>
          <w:szCs w:val="42"/>
        </w:rPr>
      </w:pPr>
      <w:r w:rsidRPr="00706B77">
        <w:rPr>
          <w:rFonts w:eastAsia="Times New Roman"/>
          <w:b/>
          <w:bCs/>
          <w:sz w:val="42"/>
          <w:szCs w:val="42"/>
        </w:rPr>
        <w:t>Exploring Agency Support for Expanding and Replacing Nuclear Power Programs</w:t>
      </w:r>
    </w:p>
    <w:p w14:paraId="7F0E8E0A" w14:textId="77777777" w:rsidR="004A6700" w:rsidRDefault="004A6700" w:rsidP="00387DC2">
      <w:pPr>
        <w:overflowPunct/>
        <w:spacing w:line="276" w:lineRule="auto"/>
        <w:ind w:firstLine="0"/>
        <w:jc w:val="center"/>
        <w:textAlignment w:val="auto"/>
        <w:rPr>
          <w:rFonts w:eastAsia="Times New Roman"/>
          <w:b/>
          <w:bCs/>
          <w:sz w:val="28"/>
          <w:szCs w:val="28"/>
          <w:lang w:eastAsia="en-GB"/>
        </w:rPr>
      </w:pPr>
    </w:p>
    <w:p w14:paraId="6C6C1037" w14:textId="77777777" w:rsidR="00D30B6A" w:rsidRDefault="00D30B6A" w:rsidP="00387DC2">
      <w:pPr>
        <w:overflowPunct/>
        <w:spacing w:line="276" w:lineRule="auto"/>
        <w:ind w:firstLine="0"/>
        <w:jc w:val="center"/>
        <w:textAlignment w:val="auto"/>
        <w:rPr>
          <w:rFonts w:eastAsia="Times New Roman"/>
          <w:b/>
          <w:bCs/>
          <w:sz w:val="28"/>
          <w:szCs w:val="28"/>
          <w:lang w:eastAsia="en-GB"/>
        </w:rPr>
      </w:pPr>
    </w:p>
    <w:p w14:paraId="08B6EE1E" w14:textId="77777777" w:rsidR="00387DC2" w:rsidRPr="0081317F" w:rsidRDefault="0081317F" w:rsidP="0081317F">
      <w:pPr>
        <w:overflowPunct/>
        <w:spacing w:line="276" w:lineRule="auto"/>
        <w:ind w:firstLine="0"/>
        <w:jc w:val="center"/>
        <w:textAlignment w:val="auto"/>
        <w:rPr>
          <w:rFonts w:eastAsia="Times New Roman"/>
          <w:b/>
          <w:bCs/>
          <w:sz w:val="28"/>
          <w:szCs w:val="28"/>
          <w:lang w:eastAsia="en-GB"/>
        </w:rPr>
      </w:pPr>
      <w:r>
        <w:rPr>
          <w:rFonts w:eastAsia="Times New Roman"/>
          <w:b/>
          <w:bCs/>
          <w:sz w:val="28"/>
          <w:szCs w:val="28"/>
          <w:lang w:eastAsia="en-GB"/>
        </w:rPr>
        <w:t>IAEA Headquarters</w:t>
      </w:r>
      <w:r>
        <w:rPr>
          <w:rFonts w:eastAsia="Times New Roman"/>
          <w:b/>
          <w:bCs/>
          <w:sz w:val="28"/>
          <w:szCs w:val="28"/>
          <w:lang w:eastAsia="en-GB"/>
        </w:rPr>
        <w:br/>
        <w:t>Vienna, Austria</w:t>
      </w:r>
    </w:p>
    <w:p w14:paraId="6CD9AA2C" w14:textId="77777777" w:rsidR="00387DC2" w:rsidRDefault="00387DC2" w:rsidP="00387DC2">
      <w:pPr>
        <w:overflowPunct/>
        <w:spacing w:line="276" w:lineRule="auto"/>
        <w:ind w:firstLine="0"/>
        <w:jc w:val="center"/>
        <w:textAlignment w:val="auto"/>
        <w:rPr>
          <w:rFonts w:eastAsia="Times New Roman"/>
          <w:b/>
          <w:bCs/>
          <w:sz w:val="28"/>
          <w:szCs w:val="28"/>
          <w:highlight w:val="yellow"/>
          <w:lang w:eastAsia="en-GB"/>
        </w:rPr>
      </w:pPr>
    </w:p>
    <w:p w14:paraId="75623971" w14:textId="77777777" w:rsidR="00D30B6A" w:rsidRDefault="00D30B6A" w:rsidP="00387DC2">
      <w:pPr>
        <w:overflowPunct/>
        <w:spacing w:line="276" w:lineRule="auto"/>
        <w:ind w:firstLine="0"/>
        <w:jc w:val="center"/>
        <w:textAlignment w:val="auto"/>
        <w:rPr>
          <w:rFonts w:eastAsia="Times New Roman"/>
          <w:b/>
          <w:bCs/>
          <w:sz w:val="28"/>
          <w:szCs w:val="28"/>
          <w:highlight w:val="yellow"/>
          <w:lang w:eastAsia="en-GB"/>
        </w:rPr>
      </w:pPr>
    </w:p>
    <w:p w14:paraId="54428DC6" w14:textId="77777777" w:rsidR="00387DC2" w:rsidRPr="00387DC2" w:rsidRDefault="000C32E3" w:rsidP="00387DC2">
      <w:pPr>
        <w:overflowPunct/>
        <w:spacing w:line="276" w:lineRule="auto"/>
        <w:ind w:firstLine="0"/>
        <w:jc w:val="center"/>
        <w:textAlignment w:val="auto"/>
        <w:rPr>
          <w:rFonts w:eastAsia="Times New Roman"/>
          <w:b/>
          <w:bCs/>
          <w:sz w:val="28"/>
          <w:szCs w:val="28"/>
          <w:lang w:eastAsia="en-GB"/>
        </w:rPr>
      </w:pPr>
      <w:r>
        <w:rPr>
          <w:rFonts w:eastAsia="Times New Roman"/>
          <w:b/>
          <w:bCs/>
          <w:sz w:val="28"/>
          <w:szCs w:val="28"/>
          <w:lang w:eastAsia="en-GB"/>
        </w:rPr>
        <w:t>2</w:t>
      </w:r>
      <w:r w:rsidR="00706B77">
        <w:rPr>
          <w:rFonts w:eastAsia="Times New Roman"/>
          <w:b/>
          <w:bCs/>
          <w:sz w:val="28"/>
          <w:szCs w:val="28"/>
          <w:lang w:eastAsia="en-GB"/>
        </w:rPr>
        <w:t>3</w:t>
      </w:r>
      <w:r w:rsidR="00967A53">
        <w:rPr>
          <w:b/>
          <w:bCs/>
          <w:color w:val="000000"/>
        </w:rPr>
        <w:t>–</w:t>
      </w:r>
      <w:r>
        <w:rPr>
          <w:rFonts w:eastAsia="Times New Roman"/>
          <w:b/>
          <w:bCs/>
          <w:sz w:val="28"/>
          <w:szCs w:val="28"/>
          <w:lang w:eastAsia="en-GB"/>
        </w:rPr>
        <w:t>2</w:t>
      </w:r>
      <w:r w:rsidR="00706B77">
        <w:rPr>
          <w:rFonts w:eastAsia="Times New Roman"/>
          <w:b/>
          <w:bCs/>
          <w:sz w:val="28"/>
          <w:szCs w:val="28"/>
          <w:lang w:eastAsia="en-GB"/>
        </w:rPr>
        <w:t>5</w:t>
      </w:r>
      <w:r w:rsidR="002A1225">
        <w:rPr>
          <w:rFonts w:eastAsia="Times New Roman"/>
          <w:b/>
          <w:bCs/>
          <w:sz w:val="28"/>
          <w:szCs w:val="28"/>
          <w:lang w:eastAsia="en-GB"/>
        </w:rPr>
        <w:t> </w:t>
      </w:r>
      <w:r w:rsidR="00706B77">
        <w:rPr>
          <w:rFonts w:eastAsia="Times New Roman"/>
          <w:b/>
          <w:bCs/>
          <w:sz w:val="28"/>
          <w:szCs w:val="28"/>
          <w:lang w:eastAsia="en-GB"/>
        </w:rPr>
        <w:t>October</w:t>
      </w:r>
      <w:r w:rsidR="00F2446C">
        <w:rPr>
          <w:rFonts w:eastAsia="Times New Roman"/>
          <w:b/>
          <w:bCs/>
          <w:sz w:val="28"/>
          <w:szCs w:val="28"/>
          <w:lang w:eastAsia="en-GB"/>
        </w:rPr>
        <w:t> 2018</w:t>
      </w:r>
    </w:p>
    <w:p w14:paraId="1845CA29" w14:textId="77777777" w:rsidR="00387DC2" w:rsidRDefault="00387DC2" w:rsidP="00387DC2">
      <w:pPr>
        <w:overflowPunct/>
        <w:spacing w:line="276" w:lineRule="auto"/>
        <w:ind w:firstLine="0"/>
        <w:jc w:val="center"/>
        <w:textAlignment w:val="auto"/>
        <w:rPr>
          <w:rFonts w:eastAsia="Times New Roman"/>
          <w:b/>
          <w:bCs/>
          <w:sz w:val="28"/>
          <w:szCs w:val="28"/>
          <w:lang w:eastAsia="en-GB"/>
        </w:rPr>
      </w:pPr>
    </w:p>
    <w:p w14:paraId="48694995" w14:textId="77777777" w:rsidR="00D30B6A" w:rsidRPr="00387DC2" w:rsidRDefault="00D30B6A" w:rsidP="00387DC2">
      <w:pPr>
        <w:overflowPunct/>
        <w:spacing w:line="276" w:lineRule="auto"/>
        <w:ind w:firstLine="0"/>
        <w:jc w:val="center"/>
        <w:textAlignment w:val="auto"/>
        <w:rPr>
          <w:rFonts w:eastAsia="Times New Roman"/>
          <w:b/>
          <w:bCs/>
          <w:sz w:val="28"/>
          <w:szCs w:val="28"/>
          <w:lang w:eastAsia="en-GB"/>
        </w:rPr>
      </w:pPr>
    </w:p>
    <w:p w14:paraId="0A38A5EF" w14:textId="77777777" w:rsidR="00387DC2" w:rsidRPr="00387DC2" w:rsidRDefault="00387DC2" w:rsidP="00387DC2">
      <w:pPr>
        <w:overflowPunct/>
        <w:spacing w:line="276" w:lineRule="auto"/>
        <w:ind w:firstLine="0"/>
        <w:jc w:val="center"/>
        <w:textAlignment w:val="auto"/>
        <w:rPr>
          <w:rFonts w:eastAsia="Times New Roman"/>
          <w:b/>
          <w:bCs/>
          <w:szCs w:val="24"/>
          <w:lang w:eastAsia="en-GB"/>
        </w:rPr>
      </w:pPr>
      <w:r w:rsidRPr="00387DC2">
        <w:rPr>
          <w:rFonts w:eastAsia="Times New Roman"/>
          <w:b/>
          <w:bCs/>
          <w:szCs w:val="24"/>
        </w:rPr>
        <w:t xml:space="preserve">Ref. No: </w:t>
      </w:r>
      <w:r w:rsidR="000C32E3">
        <w:rPr>
          <w:rFonts w:eastAsia="Times New Roman"/>
          <w:b/>
          <w:bCs/>
          <w:szCs w:val="24"/>
        </w:rPr>
        <w:t>EVT1</w:t>
      </w:r>
      <w:r w:rsidR="00706B77">
        <w:rPr>
          <w:rFonts w:eastAsia="Times New Roman"/>
          <w:b/>
          <w:bCs/>
          <w:szCs w:val="24"/>
        </w:rPr>
        <w:t>803499</w:t>
      </w:r>
    </w:p>
    <w:p w14:paraId="3A427C45" w14:textId="77777777" w:rsidR="00387DC2" w:rsidRDefault="00387DC2" w:rsidP="00387DC2">
      <w:pPr>
        <w:overflowPunct/>
        <w:autoSpaceDE/>
        <w:autoSpaceDN/>
        <w:adjustRightInd/>
        <w:spacing w:after="85"/>
        <w:ind w:firstLine="0"/>
        <w:jc w:val="center"/>
        <w:textAlignment w:val="auto"/>
        <w:outlineLvl w:val="0"/>
        <w:rPr>
          <w:rFonts w:eastAsia="Times New Roman"/>
          <w:szCs w:val="24"/>
          <w:lang w:val="en-US"/>
        </w:rPr>
      </w:pPr>
    </w:p>
    <w:p w14:paraId="23A6309F" w14:textId="77777777" w:rsidR="00387DC2" w:rsidRDefault="004F22B4" w:rsidP="00387DC2">
      <w:pPr>
        <w:overflowPunct/>
        <w:spacing w:line="276" w:lineRule="auto"/>
        <w:ind w:firstLine="0"/>
        <w:jc w:val="center"/>
        <w:textAlignment w:val="auto"/>
        <w:rPr>
          <w:rFonts w:eastAsia="Times New Roman"/>
          <w:b/>
          <w:bCs/>
          <w:color w:val="000000"/>
          <w:sz w:val="36"/>
          <w:szCs w:val="36"/>
          <w:lang w:eastAsia="en-GB"/>
        </w:rPr>
      </w:pPr>
      <w:r>
        <w:rPr>
          <w:rFonts w:eastAsia="Times New Roman"/>
          <w:b/>
          <w:bCs/>
          <w:color w:val="000000"/>
          <w:sz w:val="36"/>
          <w:szCs w:val="36"/>
          <w:lang w:eastAsia="en-GB"/>
        </w:rPr>
        <w:t>Information Sheet</w:t>
      </w:r>
    </w:p>
    <w:p w14:paraId="39A3F72A" w14:textId="77777777" w:rsidR="006F3AA5" w:rsidRDefault="00387DC2" w:rsidP="00CD7AF6">
      <w:pPr>
        <w:pStyle w:val="Heading1"/>
      </w:pPr>
      <w:r w:rsidRPr="00387DC2">
        <w:t>Background</w:t>
      </w:r>
    </w:p>
    <w:p w14:paraId="624DD0F6" w14:textId="77777777" w:rsidR="008E7C7F" w:rsidRPr="008E7C7F" w:rsidRDefault="008E7C7F" w:rsidP="008E7C7F">
      <w:pPr>
        <w:pStyle w:val="List1"/>
        <w:spacing w:before="120" w:after="170" w:line="280" w:lineRule="atLeast"/>
        <w:rPr>
          <w:rFonts w:eastAsia="MS Mincho" w:cs="Times New Roman"/>
          <w:color w:val="auto"/>
          <w:bdr w:val="none" w:sz="0" w:space="0" w:color="auto"/>
          <w:lang w:val="en-GB" w:eastAsia="en-US"/>
        </w:rPr>
      </w:pPr>
      <w:r w:rsidRPr="008E7C7F">
        <w:rPr>
          <w:rFonts w:eastAsia="MS Mincho" w:cs="Times New Roman"/>
          <w:color w:val="auto"/>
          <w:bdr w:val="none" w:sz="0" w:space="0" w:color="auto"/>
          <w:lang w:val="en-GB" w:eastAsia="en-US"/>
        </w:rPr>
        <w:t>To satisfy growing energy demand, address energy security issues and mitigate environmental concerns</w:t>
      </w:r>
      <w:r w:rsidR="00360034">
        <w:rPr>
          <w:rFonts w:eastAsia="MS Mincho" w:cs="Times New Roman"/>
          <w:color w:val="auto"/>
          <w:bdr w:val="none" w:sz="0" w:space="0" w:color="auto"/>
          <w:lang w:val="en-GB" w:eastAsia="en-US"/>
        </w:rPr>
        <w:t>,</w:t>
      </w:r>
      <w:r w:rsidRPr="008E7C7F">
        <w:rPr>
          <w:rFonts w:eastAsia="MS Mincho" w:cs="Times New Roman"/>
          <w:color w:val="auto"/>
          <w:bdr w:val="none" w:sz="0" w:space="0" w:color="auto"/>
          <w:lang w:val="en-GB" w:eastAsia="en-US"/>
        </w:rPr>
        <w:t xml:space="preserve"> several countries with operational nuclear power plants </w:t>
      </w:r>
      <w:r w:rsidR="00360034">
        <w:rPr>
          <w:rFonts w:eastAsia="MS Mincho" w:cs="Times New Roman"/>
          <w:color w:val="auto"/>
          <w:bdr w:val="none" w:sz="0" w:space="0" w:color="auto"/>
          <w:lang w:val="en-GB" w:eastAsia="en-US"/>
        </w:rPr>
        <w:t>(NPP</w:t>
      </w:r>
      <w:r w:rsidR="00E549AA">
        <w:rPr>
          <w:rFonts w:eastAsia="MS Mincho" w:cs="Times New Roman"/>
          <w:color w:val="auto"/>
          <w:bdr w:val="none" w:sz="0" w:space="0" w:color="auto"/>
          <w:lang w:val="en-GB" w:eastAsia="en-US"/>
        </w:rPr>
        <w:t>s</w:t>
      </w:r>
      <w:r w:rsidR="00360034">
        <w:rPr>
          <w:rFonts w:eastAsia="MS Mincho" w:cs="Times New Roman"/>
          <w:color w:val="auto"/>
          <w:bdr w:val="none" w:sz="0" w:space="0" w:color="auto"/>
          <w:lang w:val="en-GB" w:eastAsia="en-US"/>
        </w:rPr>
        <w:t xml:space="preserve">) </w:t>
      </w:r>
      <w:r w:rsidRPr="008E7C7F">
        <w:rPr>
          <w:rFonts w:eastAsia="MS Mincho" w:cs="Times New Roman"/>
          <w:color w:val="auto"/>
          <w:bdr w:val="none" w:sz="0" w:space="0" w:color="auto"/>
          <w:lang w:val="en-GB" w:eastAsia="en-US"/>
        </w:rPr>
        <w:t>give high priority to retain or expand their existing nuclear power programs, despite lessons learned from the 2011 Fukushima accident.</w:t>
      </w:r>
    </w:p>
    <w:p w14:paraId="5E564AE0" w14:textId="77777777" w:rsidR="002B6AAB" w:rsidRPr="00F760F4" w:rsidRDefault="008E7C7F" w:rsidP="008E7C7F">
      <w:pPr>
        <w:pStyle w:val="List1"/>
        <w:spacing w:before="120" w:after="170" w:line="280" w:lineRule="atLeast"/>
      </w:pPr>
      <w:r w:rsidRPr="008E7C7F">
        <w:rPr>
          <w:rFonts w:eastAsia="MS Mincho" w:cs="Times New Roman"/>
          <w:color w:val="auto"/>
          <w:bdr w:val="none" w:sz="0" w:space="0" w:color="auto"/>
          <w:lang w:val="en-GB" w:eastAsia="en-US"/>
        </w:rPr>
        <w:t xml:space="preserve">According to PRIS data, as of 2018, two thirds of the countries currently operating </w:t>
      </w:r>
      <w:r w:rsidR="00360034">
        <w:rPr>
          <w:rFonts w:eastAsia="MS Mincho" w:cs="Times New Roman"/>
          <w:color w:val="auto"/>
          <w:bdr w:val="none" w:sz="0" w:space="0" w:color="auto"/>
          <w:lang w:val="en-GB" w:eastAsia="en-US"/>
        </w:rPr>
        <w:t>NPP</w:t>
      </w:r>
      <w:r w:rsidRPr="008E7C7F">
        <w:rPr>
          <w:rFonts w:eastAsia="MS Mincho" w:cs="Times New Roman"/>
          <w:color w:val="auto"/>
          <w:bdr w:val="none" w:sz="0" w:space="0" w:color="auto"/>
          <w:lang w:val="en-GB" w:eastAsia="en-US"/>
        </w:rPr>
        <w:t xml:space="preserve">s are considering or planning to add one or more reactor units. Additionally, a large majority – more than 85% – of </w:t>
      </w:r>
      <w:r w:rsidR="00360034">
        <w:rPr>
          <w:rFonts w:eastAsia="MS Mincho" w:cs="Times New Roman"/>
          <w:color w:val="auto"/>
          <w:bdr w:val="none" w:sz="0" w:space="0" w:color="auto"/>
          <w:lang w:val="en-GB" w:eastAsia="en-US"/>
        </w:rPr>
        <w:t>NPP</w:t>
      </w:r>
      <w:r w:rsidRPr="008E7C7F">
        <w:rPr>
          <w:rFonts w:eastAsia="MS Mincho" w:cs="Times New Roman"/>
          <w:color w:val="auto"/>
          <w:bdr w:val="none" w:sz="0" w:space="0" w:color="auto"/>
          <w:lang w:val="en-GB" w:eastAsia="en-US"/>
        </w:rPr>
        <w:t xml:space="preserve"> construction worldwide is taking place in countries with existing nuclear power programs.</w:t>
      </w:r>
    </w:p>
    <w:p w14:paraId="2F836797" w14:textId="77777777" w:rsidR="006F3AA5" w:rsidRDefault="00387DC2" w:rsidP="00CD7AF6">
      <w:pPr>
        <w:pStyle w:val="Heading1"/>
      </w:pPr>
      <w:r w:rsidRPr="00387DC2">
        <w:lastRenderedPageBreak/>
        <w:t>Objectives</w:t>
      </w:r>
    </w:p>
    <w:p w14:paraId="5F29DB21" w14:textId="77777777" w:rsidR="008E7C7F" w:rsidRPr="008E7C7F" w:rsidRDefault="008E7C7F" w:rsidP="008E7C7F">
      <w:pPr>
        <w:pStyle w:val="BodyText"/>
        <w:spacing w:after="170" w:line="280" w:lineRule="atLeast"/>
        <w:rPr>
          <w:rFonts w:ascii="Times New Roman" w:hAnsi="Times New Roman"/>
          <w:sz w:val="22"/>
          <w:szCs w:val="22"/>
          <w:u w:color="000000"/>
        </w:rPr>
      </w:pPr>
      <w:r w:rsidRPr="008E7C7F">
        <w:rPr>
          <w:rFonts w:ascii="Times New Roman" w:hAnsi="Times New Roman"/>
          <w:sz w:val="22"/>
          <w:szCs w:val="22"/>
          <w:u w:color="000000"/>
        </w:rPr>
        <w:t>The purpose of th</w:t>
      </w:r>
      <w:r w:rsidR="00360034">
        <w:rPr>
          <w:rFonts w:ascii="Times New Roman" w:hAnsi="Times New Roman"/>
          <w:sz w:val="22"/>
          <w:szCs w:val="22"/>
          <w:u w:color="000000"/>
        </w:rPr>
        <w:t>e event</w:t>
      </w:r>
      <w:r w:rsidRPr="008E7C7F">
        <w:rPr>
          <w:rFonts w:ascii="Times New Roman" w:hAnsi="Times New Roman"/>
          <w:sz w:val="22"/>
          <w:szCs w:val="22"/>
          <w:u w:color="000000"/>
        </w:rPr>
        <w:t xml:space="preserve"> is to provide a forum for relevant experts to discuss </w:t>
      </w:r>
      <w:r w:rsidR="00360034">
        <w:rPr>
          <w:rFonts w:ascii="Times New Roman" w:hAnsi="Times New Roman"/>
          <w:sz w:val="22"/>
          <w:szCs w:val="22"/>
          <w:u w:color="000000"/>
        </w:rPr>
        <w:t xml:space="preserve">the </w:t>
      </w:r>
      <w:r w:rsidRPr="008E7C7F">
        <w:rPr>
          <w:rFonts w:ascii="Times New Roman" w:hAnsi="Times New Roman"/>
          <w:sz w:val="22"/>
          <w:szCs w:val="22"/>
          <w:u w:color="000000"/>
        </w:rPr>
        <w:t xml:space="preserve">needs of Member States </w:t>
      </w:r>
      <w:r w:rsidR="00E549AA">
        <w:rPr>
          <w:rFonts w:ascii="Times New Roman" w:hAnsi="Times New Roman"/>
          <w:sz w:val="22"/>
          <w:szCs w:val="22"/>
          <w:u w:color="000000"/>
        </w:rPr>
        <w:t xml:space="preserve">(MS) </w:t>
      </w:r>
      <w:r w:rsidRPr="008E7C7F">
        <w:rPr>
          <w:rFonts w:ascii="Times New Roman" w:hAnsi="Times New Roman"/>
          <w:sz w:val="22"/>
          <w:szCs w:val="22"/>
          <w:u w:color="000000"/>
        </w:rPr>
        <w:t xml:space="preserve">with operating </w:t>
      </w:r>
      <w:r w:rsidR="00360034">
        <w:rPr>
          <w:rFonts w:ascii="Times New Roman" w:hAnsi="Times New Roman"/>
          <w:sz w:val="22"/>
          <w:szCs w:val="22"/>
          <w:u w:color="000000"/>
        </w:rPr>
        <w:t>NPP</w:t>
      </w:r>
      <w:r w:rsidRPr="008E7C7F">
        <w:rPr>
          <w:rFonts w:ascii="Times New Roman" w:hAnsi="Times New Roman"/>
          <w:sz w:val="22"/>
          <w:szCs w:val="22"/>
          <w:u w:color="000000"/>
        </w:rPr>
        <w:t xml:space="preserve">s that are currently constructing or considering new </w:t>
      </w:r>
      <w:r w:rsidR="00360034">
        <w:rPr>
          <w:rFonts w:ascii="Times New Roman" w:hAnsi="Times New Roman"/>
          <w:sz w:val="22"/>
          <w:szCs w:val="22"/>
          <w:u w:color="000000"/>
        </w:rPr>
        <w:t>NPP</w:t>
      </w:r>
      <w:r w:rsidRPr="008E7C7F">
        <w:rPr>
          <w:rFonts w:ascii="Times New Roman" w:hAnsi="Times New Roman"/>
          <w:sz w:val="22"/>
          <w:szCs w:val="22"/>
          <w:u w:color="000000"/>
        </w:rPr>
        <w:t xml:space="preserve">s in the future. </w:t>
      </w:r>
      <w:r w:rsidR="00AC39C6">
        <w:rPr>
          <w:rFonts w:ascii="Times New Roman" w:hAnsi="Times New Roman"/>
          <w:sz w:val="22"/>
          <w:szCs w:val="22"/>
          <w:u w:color="000000"/>
        </w:rPr>
        <w:t xml:space="preserve">Discussions </w:t>
      </w:r>
      <w:r w:rsidR="00FE0E33">
        <w:rPr>
          <w:rFonts w:ascii="Times New Roman" w:hAnsi="Times New Roman"/>
          <w:sz w:val="22"/>
          <w:szCs w:val="22"/>
          <w:u w:color="000000"/>
        </w:rPr>
        <w:t xml:space="preserve">during the </w:t>
      </w:r>
      <w:r w:rsidR="00957CBF">
        <w:rPr>
          <w:rFonts w:ascii="Times New Roman" w:hAnsi="Times New Roman"/>
          <w:sz w:val="22"/>
          <w:szCs w:val="22"/>
          <w:u w:color="000000"/>
        </w:rPr>
        <w:t>event</w:t>
      </w:r>
      <w:r w:rsidR="00957CBF" w:rsidRPr="008E7C7F">
        <w:rPr>
          <w:rFonts w:ascii="Times New Roman" w:hAnsi="Times New Roman"/>
          <w:sz w:val="22"/>
          <w:szCs w:val="22"/>
          <w:u w:color="000000"/>
        </w:rPr>
        <w:t xml:space="preserve"> </w:t>
      </w:r>
      <w:r w:rsidRPr="008E7C7F">
        <w:rPr>
          <w:rFonts w:ascii="Times New Roman" w:hAnsi="Times New Roman"/>
          <w:sz w:val="22"/>
          <w:szCs w:val="22"/>
          <w:u w:color="000000"/>
        </w:rPr>
        <w:t xml:space="preserve">will be aligned to produce the specified </w:t>
      </w:r>
      <w:r w:rsidR="00FE0E33">
        <w:rPr>
          <w:rFonts w:ascii="Times New Roman" w:hAnsi="Times New Roman"/>
          <w:sz w:val="22"/>
          <w:szCs w:val="22"/>
          <w:u w:color="000000"/>
        </w:rPr>
        <w:t>o</w:t>
      </w:r>
      <w:r w:rsidRPr="008E7C7F">
        <w:rPr>
          <w:rFonts w:ascii="Times New Roman" w:hAnsi="Times New Roman"/>
          <w:sz w:val="22"/>
          <w:szCs w:val="22"/>
          <w:u w:color="000000"/>
        </w:rPr>
        <w:t xml:space="preserve">utput </w:t>
      </w:r>
      <w:r w:rsidR="00FE0E33">
        <w:rPr>
          <w:rFonts w:ascii="Times New Roman" w:hAnsi="Times New Roman"/>
          <w:sz w:val="22"/>
          <w:szCs w:val="22"/>
          <w:u w:color="000000"/>
        </w:rPr>
        <w:t xml:space="preserve">as listed in Section D </w:t>
      </w:r>
      <w:r w:rsidRPr="008E7C7F">
        <w:rPr>
          <w:rFonts w:ascii="Times New Roman" w:hAnsi="Times New Roman"/>
          <w:sz w:val="22"/>
          <w:szCs w:val="22"/>
          <w:u w:color="000000"/>
        </w:rPr>
        <w:t>below.</w:t>
      </w:r>
    </w:p>
    <w:p w14:paraId="63C86192" w14:textId="77777777" w:rsidR="00BB09A9" w:rsidRPr="00BB09A9" w:rsidRDefault="00BB09A9" w:rsidP="00BB09A9">
      <w:pPr>
        <w:spacing w:before="120" w:after="170" w:line="280" w:lineRule="atLeast"/>
        <w:ind w:firstLine="0"/>
        <w:jc w:val="both"/>
        <w:rPr>
          <w:sz w:val="22"/>
          <w:szCs w:val="22"/>
        </w:rPr>
      </w:pPr>
      <w:r w:rsidRPr="00BB09A9">
        <w:rPr>
          <w:sz w:val="22"/>
          <w:szCs w:val="22"/>
        </w:rPr>
        <w:t xml:space="preserve">The objectives of the </w:t>
      </w:r>
      <w:r w:rsidR="00E549AA">
        <w:rPr>
          <w:sz w:val="22"/>
          <w:szCs w:val="22"/>
        </w:rPr>
        <w:t xml:space="preserve">event </w:t>
      </w:r>
      <w:r w:rsidRPr="00BB09A9">
        <w:rPr>
          <w:sz w:val="22"/>
          <w:szCs w:val="22"/>
        </w:rPr>
        <w:t>are to</w:t>
      </w:r>
      <w:r w:rsidR="00E549AA">
        <w:rPr>
          <w:sz w:val="22"/>
          <w:szCs w:val="22"/>
        </w:rPr>
        <w:t>:</w:t>
      </w:r>
    </w:p>
    <w:p w14:paraId="1953FD0D" w14:textId="77777777" w:rsidR="00BB09A9" w:rsidRPr="00BB09A9" w:rsidRDefault="00E549AA" w:rsidP="00BB09A9">
      <w:pPr>
        <w:pStyle w:val="ListParagraph"/>
        <w:numPr>
          <w:ilvl w:val="0"/>
          <w:numId w:val="29"/>
        </w:numPr>
        <w:spacing w:before="120" w:after="170" w:line="28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BB09A9" w:rsidRPr="00BB09A9">
        <w:rPr>
          <w:sz w:val="22"/>
          <w:szCs w:val="22"/>
        </w:rPr>
        <w:t xml:space="preserve">elp the </w:t>
      </w:r>
      <w:r>
        <w:rPr>
          <w:sz w:val="22"/>
          <w:szCs w:val="22"/>
        </w:rPr>
        <w:t>IAEA</w:t>
      </w:r>
      <w:r w:rsidRPr="00BB09A9">
        <w:rPr>
          <w:sz w:val="22"/>
          <w:szCs w:val="22"/>
        </w:rPr>
        <w:t xml:space="preserve"> </w:t>
      </w:r>
      <w:r w:rsidR="00BB09A9" w:rsidRPr="00BB09A9">
        <w:rPr>
          <w:sz w:val="22"/>
          <w:szCs w:val="22"/>
        </w:rPr>
        <w:t>understand specific challenges countries with existing nuclear power programs might face when initiating new nuclear power projects</w:t>
      </w:r>
      <w:r>
        <w:rPr>
          <w:sz w:val="22"/>
          <w:szCs w:val="22"/>
        </w:rPr>
        <w:t>;</w:t>
      </w:r>
      <w:r w:rsidR="00BB09A9" w:rsidRPr="00BB09A9">
        <w:rPr>
          <w:sz w:val="22"/>
          <w:szCs w:val="22"/>
        </w:rPr>
        <w:t xml:space="preserve"> and</w:t>
      </w:r>
    </w:p>
    <w:p w14:paraId="461F9B7D" w14:textId="77777777" w:rsidR="00BB09A9" w:rsidRPr="00BB09A9" w:rsidRDefault="00E549AA" w:rsidP="00BB09A9">
      <w:pPr>
        <w:pStyle w:val="ListParagraph"/>
        <w:numPr>
          <w:ilvl w:val="0"/>
          <w:numId w:val="29"/>
        </w:numPr>
        <w:spacing w:before="120" w:after="170" w:line="28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BB09A9" w:rsidRPr="00BB09A9">
        <w:rPr>
          <w:sz w:val="22"/>
          <w:szCs w:val="22"/>
        </w:rPr>
        <w:t>xplore how the IAEA might best align existing</w:t>
      </w:r>
      <w:r w:rsidR="00AC39C6">
        <w:rPr>
          <w:sz w:val="22"/>
          <w:szCs w:val="22"/>
        </w:rPr>
        <w:t>,</w:t>
      </w:r>
      <w:r w:rsidR="00BB09A9" w:rsidRPr="00BB09A9">
        <w:rPr>
          <w:sz w:val="22"/>
          <w:szCs w:val="22"/>
        </w:rPr>
        <w:t xml:space="preserve"> or develop new</w:t>
      </w:r>
      <w:r w:rsidR="00AC39C6">
        <w:rPr>
          <w:sz w:val="22"/>
          <w:szCs w:val="22"/>
        </w:rPr>
        <w:t>,</w:t>
      </w:r>
      <w:r w:rsidR="00BB09A9" w:rsidRPr="00BB09A9">
        <w:rPr>
          <w:sz w:val="22"/>
          <w:szCs w:val="22"/>
        </w:rPr>
        <w:t xml:space="preserve"> support mechanisms to help MS overcome identified challenges.</w:t>
      </w:r>
    </w:p>
    <w:p w14:paraId="459CD3FD" w14:textId="77777777" w:rsidR="00BB09A9" w:rsidRPr="00BB09A9" w:rsidRDefault="00BB09A9" w:rsidP="001563F6">
      <w:pPr>
        <w:spacing w:before="120" w:after="170" w:line="280" w:lineRule="atLeast"/>
        <w:ind w:firstLine="0"/>
        <w:jc w:val="both"/>
        <w:rPr>
          <w:sz w:val="22"/>
          <w:szCs w:val="22"/>
        </w:rPr>
      </w:pPr>
      <w:r w:rsidRPr="00BB09A9">
        <w:rPr>
          <w:sz w:val="22"/>
          <w:szCs w:val="22"/>
        </w:rPr>
        <w:t xml:space="preserve">The </w:t>
      </w:r>
      <w:r w:rsidR="00360034">
        <w:rPr>
          <w:sz w:val="22"/>
          <w:szCs w:val="22"/>
        </w:rPr>
        <w:t>event</w:t>
      </w:r>
      <w:r w:rsidRPr="00BB09A9">
        <w:rPr>
          <w:sz w:val="22"/>
          <w:szCs w:val="22"/>
        </w:rPr>
        <w:t xml:space="preserve"> should focus on identifying the gap between existing IAEA support and the needs of relevant stakeholders in </w:t>
      </w:r>
      <w:proofErr w:type="spellStart"/>
      <w:r w:rsidR="00FB4CC0">
        <w:rPr>
          <w:sz w:val="22"/>
          <w:szCs w:val="22"/>
        </w:rPr>
        <w:t>MSs</w:t>
      </w:r>
      <w:r w:rsidRPr="00BB09A9">
        <w:rPr>
          <w:sz w:val="22"/>
          <w:szCs w:val="22"/>
        </w:rPr>
        <w:t>.</w:t>
      </w:r>
      <w:proofErr w:type="spellEnd"/>
    </w:p>
    <w:p w14:paraId="2C7D78FD" w14:textId="77777777" w:rsidR="00961269" w:rsidRPr="00961269" w:rsidRDefault="003504D2" w:rsidP="00CD7AF6">
      <w:pPr>
        <w:pStyle w:val="Heading1"/>
      </w:pPr>
      <w:r>
        <w:t>Scope</w:t>
      </w:r>
    </w:p>
    <w:p w14:paraId="649740D9" w14:textId="77777777" w:rsidR="001563F6" w:rsidRPr="001563F6" w:rsidRDefault="001563F6" w:rsidP="001563F6">
      <w:pPr>
        <w:spacing w:before="120" w:after="170" w:line="280" w:lineRule="atLeast"/>
        <w:ind w:firstLine="0"/>
        <w:rPr>
          <w:sz w:val="22"/>
          <w:szCs w:val="22"/>
        </w:rPr>
      </w:pPr>
      <w:r w:rsidRPr="001563F6">
        <w:rPr>
          <w:sz w:val="22"/>
          <w:szCs w:val="22"/>
        </w:rPr>
        <w:t xml:space="preserve">Discussions should consider all aspects of </w:t>
      </w:r>
      <w:r w:rsidR="00C82742">
        <w:rPr>
          <w:sz w:val="22"/>
          <w:szCs w:val="22"/>
        </w:rPr>
        <w:t>NPP</w:t>
      </w:r>
      <w:r w:rsidRPr="001563F6">
        <w:rPr>
          <w:sz w:val="22"/>
          <w:szCs w:val="22"/>
        </w:rPr>
        <w:t xml:space="preserve"> project initiation and implementation, including all </w:t>
      </w:r>
      <w:r w:rsidR="00C82742">
        <w:rPr>
          <w:sz w:val="22"/>
          <w:szCs w:val="22"/>
        </w:rPr>
        <w:t xml:space="preserve">the </w:t>
      </w:r>
      <w:r w:rsidRPr="001563F6">
        <w:rPr>
          <w:sz w:val="22"/>
          <w:szCs w:val="22"/>
        </w:rPr>
        <w:t>relevant</w:t>
      </w:r>
      <w:r w:rsidR="00C82742">
        <w:rPr>
          <w:sz w:val="22"/>
          <w:szCs w:val="22"/>
        </w:rPr>
        <w:t>:</w:t>
      </w:r>
    </w:p>
    <w:p w14:paraId="199FB4DA" w14:textId="77777777" w:rsidR="001563F6" w:rsidRPr="001563F6" w:rsidRDefault="001563F6" w:rsidP="001563F6">
      <w:pPr>
        <w:pStyle w:val="ListParagraph"/>
        <w:numPr>
          <w:ilvl w:val="0"/>
          <w:numId w:val="29"/>
        </w:numPr>
        <w:spacing w:before="120" w:after="170" w:line="280" w:lineRule="atLeast"/>
        <w:jc w:val="both"/>
        <w:rPr>
          <w:sz w:val="22"/>
          <w:szCs w:val="22"/>
        </w:rPr>
      </w:pPr>
      <w:r w:rsidRPr="001563F6">
        <w:rPr>
          <w:sz w:val="22"/>
          <w:szCs w:val="22"/>
        </w:rPr>
        <w:t>Stakeholder organisations: utility/owner-operator, regulator, government, TSO, NEPIO,</w:t>
      </w:r>
      <w:r w:rsidR="00AC39C6">
        <w:rPr>
          <w:sz w:val="22"/>
          <w:szCs w:val="22"/>
        </w:rPr>
        <w:t xml:space="preserve"> </w:t>
      </w:r>
      <w:r w:rsidRPr="001563F6">
        <w:rPr>
          <w:sz w:val="22"/>
          <w:szCs w:val="22"/>
        </w:rPr>
        <w:t>etc.</w:t>
      </w:r>
    </w:p>
    <w:p w14:paraId="1EE9D7E1" w14:textId="77777777" w:rsidR="001563F6" w:rsidRPr="00AC39C6" w:rsidRDefault="001563F6" w:rsidP="001563F6">
      <w:pPr>
        <w:pStyle w:val="ListParagraph"/>
        <w:numPr>
          <w:ilvl w:val="0"/>
          <w:numId w:val="29"/>
        </w:numPr>
        <w:spacing w:before="120" w:after="170" w:line="280" w:lineRule="atLeast"/>
        <w:jc w:val="both"/>
        <w:rPr>
          <w:sz w:val="22"/>
          <w:szCs w:val="22"/>
        </w:rPr>
      </w:pPr>
      <w:r w:rsidRPr="001563F6">
        <w:rPr>
          <w:sz w:val="22"/>
          <w:szCs w:val="22"/>
        </w:rPr>
        <w:t>Infrastructure</w:t>
      </w:r>
      <w:r w:rsidRPr="00AC39C6">
        <w:rPr>
          <w:sz w:val="22"/>
          <w:szCs w:val="22"/>
        </w:rPr>
        <w:t>: hard and soft</w:t>
      </w:r>
    </w:p>
    <w:p w14:paraId="0C0B8D8F" w14:textId="77777777" w:rsidR="001563F6" w:rsidRDefault="001563F6" w:rsidP="001563F6">
      <w:pPr>
        <w:pStyle w:val="ListParagraph"/>
        <w:numPr>
          <w:ilvl w:val="0"/>
          <w:numId w:val="29"/>
        </w:numPr>
        <w:spacing w:before="120" w:after="170" w:line="280" w:lineRule="atLeast"/>
        <w:jc w:val="both"/>
        <w:rPr>
          <w:sz w:val="22"/>
          <w:szCs w:val="22"/>
        </w:rPr>
      </w:pPr>
      <w:r w:rsidRPr="00AC39C6">
        <w:rPr>
          <w:sz w:val="22"/>
          <w:szCs w:val="22"/>
        </w:rPr>
        <w:t>Activities: R</w:t>
      </w:r>
      <w:r w:rsidR="00AC39C6" w:rsidRPr="00AC39C6">
        <w:rPr>
          <w:sz w:val="22"/>
          <w:szCs w:val="22"/>
        </w:rPr>
        <w:t xml:space="preserve">esearch </w:t>
      </w:r>
      <w:r w:rsidRPr="00AC39C6">
        <w:rPr>
          <w:sz w:val="22"/>
          <w:szCs w:val="22"/>
        </w:rPr>
        <w:t>&amp;</w:t>
      </w:r>
      <w:r w:rsidR="00AC39C6" w:rsidRPr="00AC39C6">
        <w:rPr>
          <w:sz w:val="22"/>
          <w:szCs w:val="22"/>
        </w:rPr>
        <w:t xml:space="preserve"> </w:t>
      </w:r>
      <w:r w:rsidRPr="00AC39C6">
        <w:rPr>
          <w:sz w:val="22"/>
          <w:szCs w:val="22"/>
        </w:rPr>
        <w:t>D</w:t>
      </w:r>
      <w:r w:rsidR="00AC39C6" w:rsidRPr="00AC39C6">
        <w:rPr>
          <w:sz w:val="22"/>
          <w:szCs w:val="22"/>
        </w:rPr>
        <w:t>evelopment</w:t>
      </w:r>
      <w:r w:rsidRPr="00AC39C6">
        <w:rPr>
          <w:sz w:val="22"/>
          <w:szCs w:val="22"/>
        </w:rPr>
        <w:t>, technical support, regulation, engineering, procurement, contracting,</w:t>
      </w:r>
      <w:r w:rsidR="00C82742" w:rsidRPr="00AC39C6">
        <w:rPr>
          <w:sz w:val="22"/>
          <w:szCs w:val="22"/>
        </w:rPr>
        <w:t xml:space="preserve"> </w:t>
      </w:r>
      <w:r w:rsidRPr="00AC39C6">
        <w:rPr>
          <w:sz w:val="22"/>
          <w:szCs w:val="22"/>
        </w:rPr>
        <w:t>H</w:t>
      </w:r>
      <w:r w:rsidR="00AC39C6" w:rsidRPr="00AC39C6">
        <w:rPr>
          <w:sz w:val="22"/>
          <w:szCs w:val="22"/>
        </w:rPr>
        <w:t xml:space="preserve">uman </w:t>
      </w:r>
      <w:r w:rsidRPr="00AC39C6">
        <w:rPr>
          <w:sz w:val="22"/>
          <w:szCs w:val="22"/>
        </w:rPr>
        <w:t>R</w:t>
      </w:r>
      <w:r w:rsidR="00AC39C6" w:rsidRPr="00AC39C6">
        <w:rPr>
          <w:sz w:val="22"/>
          <w:szCs w:val="22"/>
        </w:rPr>
        <w:t xml:space="preserve">esource </w:t>
      </w:r>
      <w:r w:rsidRPr="00AC39C6">
        <w:rPr>
          <w:sz w:val="22"/>
          <w:szCs w:val="22"/>
        </w:rPr>
        <w:t>D</w:t>
      </w:r>
      <w:r w:rsidR="00AC39C6" w:rsidRPr="00AC39C6">
        <w:rPr>
          <w:sz w:val="22"/>
          <w:szCs w:val="22"/>
        </w:rPr>
        <w:t>evelopment</w:t>
      </w:r>
      <w:r w:rsidRPr="001563F6">
        <w:rPr>
          <w:sz w:val="22"/>
          <w:szCs w:val="22"/>
        </w:rPr>
        <w:t>, etc.</w:t>
      </w:r>
    </w:p>
    <w:p w14:paraId="324270FB" w14:textId="77777777" w:rsidR="00432544" w:rsidRDefault="00432544" w:rsidP="00CD7AF6">
      <w:pPr>
        <w:pStyle w:val="Heading1"/>
      </w:pPr>
      <w:r>
        <w:t>Expected Output</w:t>
      </w:r>
    </w:p>
    <w:p w14:paraId="39F51258" w14:textId="77777777" w:rsidR="00432544" w:rsidRPr="00432544" w:rsidRDefault="00432544" w:rsidP="00432544">
      <w:pPr>
        <w:pStyle w:val="BodyText"/>
        <w:rPr>
          <w:rFonts w:asciiTheme="majorBidi" w:hAnsiTheme="majorBidi" w:cstheme="majorBidi"/>
          <w:sz w:val="22"/>
          <w:szCs w:val="22"/>
          <w:lang w:val="en-US"/>
        </w:rPr>
      </w:pPr>
      <w:r w:rsidRPr="00432544">
        <w:rPr>
          <w:rFonts w:asciiTheme="majorBidi" w:hAnsiTheme="majorBidi" w:cstheme="majorBidi"/>
          <w:sz w:val="22"/>
          <w:szCs w:val="22"/>
          <w:lang w:val="en-US"/>
        </w:rPr>
        <w:t>Participants will prepare a concise report including:</w:t>
      </w:r>
    </w:p>
    <w:p w14:paraId="09CD868D" w14:textId="77777777" w:rsidR="00432544" w:rsidRPr="00432544" w:rsidRDefault="00432544" w:rsidP="00432544">
      <w:pPr>
        <w:pStyle w:val="ListParagraph"/>
        <w:numPr>
          <w:ilvl w:val="0"/>
          <w:numId w:val="29"/>
        </w:numPr>
        <w:spacing w:before="120" w:after="170" w:line="280" w:lineRule="atLeast"/>
        <w:jc w:val="both"/>
        <w:rPr>
          <w:sz w:val="22"/>
          <w:szCs w:val="22"/>
        </w:rPr>
      </w:pPr>
      <w:r w:rsidRPr="00432544">
        <w:rPr>
          <w:sz w:val="22"/>
          <w:szCs w:val="22"/>
        </w:rPr>
        <w:t>Identified challenges faced by various stakeholders planning or implementing new NPP projects in M</w:t>
      </w:r>
      <w:r w:rsidR="00AC56E9">
        <w:rPr>
          <w:sz w:val="22"/>
          <w:szCs w:val="22"/>
        </w:rPr>
        <w:t>S</w:t>
      </w:r>
      <w:r w:rsidR="00AC39C6">
        <w:rPr>
          <w:sz w:val="22"/>
          <w:szCs w:val="22"/>
        </w:rPr>
        <w:t>s</w:t>
      </w:r>
      <w:r w:rsidRPr="00432544">
        <w:rPr>
          <w:sz w:val="22"/>
          <w:szCs w:val="22"/>
        </w:rPr>
        <w:t xml:space="preserve"> with existing nuclear power programs</w:t>
      </w:r>
      <w:r w:rsidR="00D56097">
        <w:rPr>
          <w:sz w:val="22"/>
          <w:szCs w:val="22"/>
        </w:rPr>
        <w:t>;</w:t>
      </w:r>
    </w:p>
    <w:p w14:paraId="2CAF74C3" w14:textId="77777777" w:rsidR="00432544" w:rsidRPr="00432544" w:rsidRDefault="00432544" w:rsidP="00432544">
      <w:pPr>
        <w:pStyle w:val="ListParagraph"/>
        <w:numPr>
          <w:ilvl w:val="0"/>
          <w:numId w:val="29"/>
        </w:numPr>
        <w:spacing w:before="120" w:after="170" w:line="280" w:lineRule="atLeast"/>
        <w:jc w:val="both"/>
        <w:rPr>
          <w:sz w:val="22"/>
          <w:szCs w:val="22"/>
        </w:rPr>
      </w:pPr>
      <w:r w:rsidRPr="00432544">
        <w:rPr>
          <w:sz w:val="22"/>
          <w:szCs w:val="22"/>
        </w:rPr>
        <w:t xml:space="preserve">Recommendations of which existing </w:t>
      </w:r>
      <w:r w:rsidR="00AC56E9">
        <w:rPr>
          <w:sz w:val="22"/>
          <w:szCs w:val="22"/>
        </w:rPr>
        <w:t>IAEA</w:t>
      </w:r>
      <w:r w:rsidR="00AC56E9" w:rsidRPr="00432544">
        <w:rPr>
          <w:sz w:val="22"/>
          <w:szCs w:val="22"/>
        </w:rPr>
        <w:t xml:space="preserve"> </w:t>
      </w:r>
      <w:r w:rsidRPr="00432544">
        <w:rPr>
          <w:sz w:val="22"/>
          <w:szCs w:val="22"/>
        </w:rPr>
        <w:t>support mechanisms may add near-term, high-impact value to identified stakeholders supporting new NPP projects in MS</w:t>
      </w:r>
      <w:r w:rsidR="00AC39C6">
        <w:rPr>
          <w:sz w:val="22"/>
          <w:szCs w:val="22"/>
        </w:rPr>
        <w:t>s</w:t>
      </w:r>
      <w:r w:rsidRPr="00432544">
        <w:rPr>
          <w:sz w:val="22"/>
          <w:szCs w:val="22"/>
        </w:rPr>
        <w:t xml:space="preserve"> with existing nuclear power programs</w:t>
      </w:r>
      <w:r w:rsidR="00D56097">
        <w:rPr>
          <w:sz w:val="22"/>
          <w:szCs w:val="22"/>
        </w:rPr>
        <w:t>;</w:t>
      </w:r>
    </w:p>
    <w:p w14:paraId="621F36C1" w14:textId="77777777" w:rsidR="00432544" w:rsidRPr="00432544" w:rsidRDefault="00432544" w:rsidP="00432544">
      <w:pPr>
        <w:pStyle w:val="ListParagraph"/>
        <w:numPr>
          <w:ilvl w:val="0"/>
          <w:numId w:val="29"/>
        </w:numPr>
        <w:spacing w:before="120" w:after="170" w:line="280" w:lineRule="atLeast"/>
        <w:jc w:val="both"/>
        <w:rPr>
          <w:sz w:val="22"/>
          <w:szCs w:val="22"/>
        </w:rPr>
      </w:pPr>
      <w:r w:rsidRPr="00432544">
        <w:rPr>
          <w:sz w:val="22"/>
          <w:szCs w:val="22"/>
        </w:rPr>
        <w:t xml:space="preserve">Recommendations (including prioritisations where possible) of new support mechanisms the </w:t>
      </w:r>
      <w:r w:rsidR="00AC56E9">
        <w:rPr>
          <w:sz w:val="22"/>
          <w:szCs w:val="22"/>
        </w:rPr>
        <w:t>IAEA</w:t>
      </w:r>
      <w:r w:rsidR="00AC56E9" w:rsidRPr="00432544">
        <w:rPr>
          <w:sz w:val="22"/>
          <w:szCs w:val="22"/>
        </w:rPr>
        <w:t xml:space="preserve"> </w:t>
      </w:r>
      <w:r w:rsidRPr="00432544">
        <w:rPr>
          <w:sz w:val="22"/>
          <w:szCs w:val="22"/>
        </w:rPr>
        <w:t>should develop to help these stakeholders</w:t>
      </w:r>
      <w:r w:rsidR="00D56097">
        <w:rPr>
          <w:sz w:val="22"/>
          <w:szCs w:val="22"/>
        </w:rPr>
        <w:t>;</w:t>
      </w:r>
    </w:p>
    <w:p w14:paraId="628462C0" w14:textId="77777777" w:rsidR="00432544" w:rsidRPr="00432544" w:rsidRDefault="00432544" w:rsidP="00432544">
      <w:pPr>
        <w:pStyle w:val="ListParagraph"/>
        <w:numPr>
          <w:ilvl w:val="0"/>
          <w:numId w:val="29"/>
        </w:numPr>
        <w:spacing w:before="120" w:after="170" w:line="280" w:lineRule="atLeast"/>
        <w:jc w:val="both"/>
        <w:rPr>
          <w:sz w:val="22"/>
          <w:szCs w:val="22"/>
        </w:rPr>
      </w:pPr>
      <w:r w:rsidRPr="00432544">
        <w:rPr>
          <w:sz w:val="22"/>
          <w:szCs w:val="22"/>
        </w:rPr>
        <w:t xml:space="preserve">Identified gaps (if any) in existing IAEA support and appropriate corrective actions the </w:t>
      </w:r>
      <w:r w:rsidR="00AC56E9">
        <w:rPr>
          <w:sz w:val="22"/>
          <w:szCs w:val="22"/>
        </w:rPr>
        <w:t>IAEA</w:t>
      </w:r>
      <w:r w:rsidR="00AC56E9" w:rsidRPr="00432544">
        <w:rPr>
          <w:sz w:val="22"/>
          <w:szCs w:val="22"/>
        </w:rPr>
        <w:t xml:space="preserve"> </w:t>
      </w:r>
      <w:r w:rsidRPr="00432544">
        <w:rPr>
          <w:sz w:val="22"/>
          <w:szCs w:val="22"/>
        </w:rPr>
        <w:t>should complete to ensure optimised support for MS</w:t>
      </w:r>
      <w:r w:rsidR="00AC39C6">
        <w:rPr>
          <w:sz w:val="22"/>
          <w:szCs w:val="22"/>
        </w:rPr>
        <w:t>s</w:t>
      </w:r>
      <w:r w:rsidRPr="00432544">
        <w:rPr>
          <w:sz w:val="22"/>
          <w:szCs w:val="22"/>
        </w:rPr>
        <w:t xml:space="preserve"> with existing nuclear power programs</w:t>
      </w:r>
      <w:r w:rsidR="00D56097">
        <w:rPr>
          <w:sz w:val="22"/>
          <w:szCs w:val="22"/>
        </w:rPr>
        <w:t>; and</w:t>
      </w:r>
    </w:p>
    <w:p w14:paraId="0BCD5B63" w14:textId="77777777" w:rsidR="00432544" w:rsidRPr="00432544" w:rsidRDefault="00432544" w:rsidP="00432544">
      <w:pPr>
        <w:pStyle w:val="ListParagraph"/>
        <w:numPr>
          <w:ilvl w:val="0"/>
          <w:numId w:val="29"/>
        </w:numPr>
        <w:spacing w:before="120" w:after="170" w:line="280" w:lineRule="atLeast"/>
        <w:jc w:val="both"/>
        <w:rPr>
          <w:sz w:val="22"/>
          <w:szCs w:val="22"/>
        </w:rPr>
      </w:pPr>
      <w:r w:rsidRPr="00432544">
        <w:rPr>
          <w:sz w:val="22"/>
          <w:szCs w:val="22"/>
        </w:rPr>
        <w:t>Elaboration of how these challenges will influence infrastructures established in replacing and expanding countries</w:t>
      </w:r>
      <w:r w:rsidR="00D56097">
        <w:rPr>
          <w:sz w:val="22"/>
          <w:szCs w:val="22"/>
        </w:rPr>
        <w:t>.</w:t>
      </w:r>
    </w:p>
    <w:p w14:paraId="60378D33" w14:textId="77777777" w:rsidR="00E77732" w:rsidRDefault="00E77732" w:rsidP="00CD7AF6">
      <w:pPr>
        <w:pStyle w:val="Heading1"/>
      </w:pPr>
      <w:r w:rsidRPr="00387DC2">
        <w:t>Working Language</w:t>
      </w:r>
    </w:p>
    <w:p w14:paraId="4E30CC1F" w14:textId="77777777" w:rsidR="00E77732" w:rsidRPr="00387DC2" w:rsidRDefault="00E77732" w:rsidP="00E77732">
      <w:pPr>
        <w:spacing w:before="120" w:after="170" w:line="280" w:lineRule="atLeast"/>
        <w:ind w:firstLine="0"/>
        <w:jc w:val="both"/>
        <w:rPr>
          <w:sz w:val="22"/>
          <w:szCs w:val="22"/>
        </w:rPr>
      </w:pPr>
      <w:r w:rsidRPr="00387DC2">
        <w:rPr>
          <w:sz w:val="22"/>
          <w:szCs w:val="22"/>
        </w:rPr>
        <w:t>English</w:t>
      </w:r>
      <w:r w:rsidR="00991D69">
        <w:rPr>
          <w:sz w:val="22"/>
          <w:szCs w:val="22"/>
        </w:rPr>
        <w:t>.</w:t>
      </w:r>
      <w:bookmarkStart w:id="0" w:name="_GoBack"/>
      <w:bookmarkEnd w:id="0"/>
    </w:p>
    <w:p w14:paraId="41139EFF" w14:textId="77777777" w:rsidR="00E77732" w:rsidRDefault="00E77732" w:rsidP="00CD7AF6">
      <w:pPr>
        <w:pStyle w:val="Heading1"/>
      </w:pPr>
      <w:r w:rsidRPr="00387DC2">
        <w:lastRenderedPageBreak/>
        <w:t>Venue</w:t>
      </w:r>
    </w:p>
    <w:p w14:paraId="28C77F65" w14:textId="77777777" w:rsidR="00E77732" w:rsidRPr="002F46A7" w:rsidRDefault="00E77732" w:rsidP="00E77732">
      <w:pPr>
        <w:spacing w:before="120" w:after="170" w:line="280" w:lineRule="atLeast"/>
        <w:ind w:firstLine="0"/>
        <w:jc w:val="both"/>
        <w:rPr>
          <w:sz w:val="22"/>
          <w:szCs w:val="22"/>
        </w:rPr>
      </w:pPr>
      <w:r w:rsidRPr="002F46A7">
        <w:rPr>
          <w:sz w:val="22"/>
          <w:szCs w:val="22"/>
        </w:rPr>
        <w:t xml:space="preserve">The </w:t>
      </w:r>
      <w:r w:rsidR="000430B9">
        <w:rPr>
          <w:sz w:val="22"/>
          <w:szCs w:val="22"/>
        </w:rPr>
        <w:t>event</w:t>
      </w:r>
      <w:r w:rsidRPr="002F46A7">
        <w:rPr>
          <w:sz w:val="22"/>
          <w:szCs w:val="22"/>
        </w:rPr>
        <w:t xml:space="preserve"> will be held at the IAEA’s Headquarters in Vienna, Austria and will start on </w:t>
      </w:r>
      <w:r w:rsidR="00D63203">
        <w:rPr>
          <w:sz w:val="22"/>
          <w:szCs w:val="22"/>
        </w:rPr>
        <w:t>Tues</w:t>
      </w:r>
      <w:r w:rsidRPr="002F46A7">
        <w:rPr>
          <w:sz w:val="22"/>
          <w:szCs w:val="22"/>
        </w:rPr>
        <w:t>day</w:t>
      </w:r>
      <w:r w:rsidR="00AC39C6">
        <w:rPr>
          <w:sz w:val="22"/>
          <w:szCs w:val="22"/>
        </w:rPr>
        <w:t xml:space="preserve">, </w:t>
      </w:r>
      <w:r w:rsidR="005B40DD">
        <w:rPr>
          <w:sz w:val="22"/>
          <w:szCs w:val="22"/>
        </w:rPr>
        <w:t>2</w:t>
      </w:r>
      <w:r w:rsidR="00D63203">
        <w:rPr>
          <w:sz w:val="22"/>
          <w:szCs w:val="22"/>
        </w:rPr>
        <w:t>3</w:t>
      </w:r>
      <w:r w:rsidR="005B40DD">
        <w:rPr>
          <w:sz w:val="22"/>
          <w:szCs w:val="22"/>
        </w:rPr>
        <w:t xml:space="preserve"> </w:t>
      </w:r>
      <w:r w:rsidR="00D63203">
        <w:rPr>
          <w:sz w:val="22"/>
          <w:szCs w:val="22"/>
        </w:rPr>
        <w:t>Octobe</w:t>
      </w:r>
      <w:r w:rsidR="008A0D95">
        <w:rPr>
          <w:sz w:val="22"/>
          <w:szCs w:val="22"/>
        </w:rPr>
        <w:t>r</w:t>
      </w:r>
      <w:r w:rsidRPr="002F46A7">
        <w:rPr>
          <w:sz w:val="22"/>
          <w:szCs w:val="22"/>
        </w:rPr>
        <w:t xml:space="preserve"> 2018 at 9:30 a.m. in Room M</w:t>
      </w:r>
      <w:r w:rsidR="00D63203">
        <w:rPr>
          <w:sz w:val="22"/>
          <w:szCs w:val="22"/>
        </w:rPr>
        <w:t>OE12</w:t>
      </w:r>
      <w:r w:rsidRPr="002F46A7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2F46A7">
        <w:rPr>
          <w:sz w:val="22"/>
          <w:szCs w:val="22"/>
        </w:rPr>
        <w:t>Building M</w:t>
      </w:r>
      <w:r w:rsidR="00A36D04">
        <w:rPr>
          <w:sz w:val="22"/>
          <w:szCs w:val="22"/>
        </w:rPr>
        <w:t xml:space="preserve"> </w:t>
      </w:r>
      <w:r w:rsidR="00A36D04" w:rsidRPr="00387DC2">
        <w:rPr>
          <w:sz w:val="22"/>
          <w:szCs w:val="22"/>
        </w:rPr>
        <w:t>of the Vienna International Centre (VIC).</w:t>
      </w:r>
      <w:r w:rsidRPr="002F46A7">
        <w:rPr>
          <w:sz w:val="22"/>
          <w:szCs w:val="22"/>
        </w:rPr>
        <w:t xml:space="preserve"> Participants are advised to arrive one hour prior to the convening time of the </w:t>
      </w:r>
      <w:r w:rsidR="000430B9">
        <w:rPr>
          <w:sz w:val="22"/>
          <w:szCs w:val="22"/>
        </w:rPr>
        <w:t>event</w:t>
      </w:r>
      <w:r w:rsidRPr="002F46A7">
        <w:rPr>
          <w:sz w:val="22"/>
          <w:szCs w:val="22"/>
        </w:rPr>
        <w:t xml:space="preserve"> to allow for timely registration. Participants will need to present an official</w:t>
      </w:r>
      <w:r>
        <w:rPr>
          <w:sz w:val="22"/>
          <w:szCs w:val="22"/>
        </w:rPr>
        <w:t xml:space="preserve"> photo identification document </w:t>
      </w:r>
      <w:r w:rsidRPr="002F46A7">
        <w:rPr>
          <w:sz w:val="22"/>
          <w:szCs w:val="22"/>
        </w:rPr>
        <w:t>to be admitted to the VIC premises.</w:t>
      </w:r>
    </w:p>
    <w:p w14:paraId="086F089B" w14:textId="77777777" w:rsidR="00E77732" w:rsidRDefault="00E77732" w:rsidP="00E77732">
      <w:pPr>
        <w:spacing w:before="120" w:after="170" w:line="280" w:lineRule="atLeast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The following IAEA web page can be accessed for more detailed information on Vienna and the VIC:</w:t>
      </w:r>
    </w:p>
    <w:p w14:paraId="26A9DDA7" w14:textId="77777777" w:rsidR="00E77732" w:rsidRDefault="00AC39C6" w:rsidP="00E77732">
      <w:pPr>
        <w:pStyle w:val="BodyText"/>
        <w:spacing w:before="0" w:after="170" w:line="280" w:lineRule="atLeast"/>
        <w:rPr>
          <w:rStyle w:val="Hyperlink"/>
          <w:rFonts w:ascii="Times New Roman" w:hAnsi="Times New Roman"/>
          <w:sz w:val="22"/>
          <w:szCs w:val="22"/>
        </w:rPr>
      </w:pPr>
      <w:hyperlink r:id="rId9" w:history="1">
        <w:r w:rsidR="00E77732">
          <w:rPr>
            <w:rStyle w:val="Hyperlink"/>
            <w:rFonts w:ascii="Times New Roman" w:hAnsi="Times New Roman"/>
            <w:sz w:val="22"/>
            <w:szCs w:val="22"/>
          </w:rPr>
          <w:t>http://www-pub.iaea.org/iaeameetings/GeneralInfo/Guide/VIC</w:t>
        </w:r>
      </w:hyperlink>
    </w:p>
    <w:p w14:paraId="5DA9241C" w14:textId="77777777" w:rsidR="00C00CC0" w:rsidRDefault="00A16FA2" w:rsidP="00CD7AF6">
      <w:pPr>
        <w:pStyle w:val="Heading1"/>
      </w:pPr>
      <w:r>
        <w:t>Visas</w:t>
      </w:r>
    </w:p>
    <w:p w14:paraId="3CDB3B36" w14:textId="77777777" w:rsidR="00C00CC0" w:rsidRDefault="00A16FA2" w:rsidP="006B72C2">
      <w:pPr>
        <w:spacing w:before="120" w:after="170" w:line="280" w:lineRule="atLeast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Participants who require a visa to enter Austria should submit the necessary application to the nearest diplomatic or consular representative of Austria at least four weeks before they travel to Austria. Since Austria is a Schengen State, persons requiring a visa will have to apply for a Schengen visa. In States where Austria has no diplomatic mission, visas can be obtained from the consular authority of a Schengen Partner State representing Austria in the country in question.</w:t>
      </w:r>
    </w:p>
    <w:p w14:paraId="417B55D1" w14:textId="77777777" w:rsidR="00136E58" w:rsidRDefault="00136E58" w:rsidP="00CD7AF6">
      <w:pPr>
        <w:pStyle w:val="Heading1"/>
      </w:pPr>
      <w:r>
        <w:t>Organization</w:t>
      </w:r>
    </w:p>
    <w:p w14:paraId="33980C8B" w14:textId="77777777" w:rsidR="00DB1F91" w:rsidRPr="00136E58" w:rsidRDefault="00DB1F91" w:rsidP="00DB1F91">
      <w:pPr>
        <w:pStyle w:val="BodyText"/>
        <w:rPr>
          <w:rFonts w:ascii="Times New Roman" w:hAnsi="Times New Roman"/>
          <w:sz w:val="22"/>
          <w:szCs w:val="22"/>
        </w:rPr>
      </w:pPr>
      <w:r w:rsidRPr="00CD7AF6">
        <w:rPr>
          <w:rFonts w:ascii="Times New Roman" w:eastAsia="DengXian" w:hAnsi="Times New Roman"/>
          <w:color w:val="000000"/>
          <w:sz w:val="22"/>
          <w:szCs w:val="22"/>
          <w:lang w:eastAsia="zh-CN"/>
        </w:rPr>
        <w:t>Subsequent correspondence on scientific matters should be sent to the Scientific Secretary and correspondence on other matters related to the event to the Administrative Secretary</w:t>
      </w:r>
      <w:r w:rsidRPr="008A4526">
        <w:rPr>
          <w:rFonts w:ascii="Times New Roman" w:hAnsi="Times New Roman"/>
          <w:sz w:val="22"/>
          <w:szCs w:val="22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CD7AF6" w14:paraId="3F11C185" w14:textId="77777777" w:rsidTr="00CD7AF6">
        <w:tc>
          <w:tcPr>
            <w:tcW w:w="4530" w:type="dxa"/>
          </w:tcPr>
          <w:p w14:paraId="6B25ED43" w14:textId="77777777" w:rsidR="00CD7AF6" w:rsidRDefault="00CD7AF6" w:rsidP="00CD7AF6">
            <w:pPr>
              <w:pStyle w:val="BodyText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sz w:val="22"/>
                <w:szCs w:val="22"/>
              </w:rPr>
              <w:t>Scientific Secretary</w:t>
            </w:r>
          </w:p>
          <w:p w14:paraId="290C0918" w14:textId="77777777" w:rsidR="00CD7AF6" w:rsidRPr="00CD7AF6" w:rsidRDefault="00D63203" w:rsidP="00CD7AF6">
            <w:pPr>
              <w:pStyle w:val="BodyText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D63203">
              <w:rPr>
                <w:rFonts w:asciiTheme="majorBidi" w:hAnsiTheme="majorBidi" w:cstheme="majorBidi"/>
                <w:b/>
                <w:sz w:val="22"/>
                <w:szCs w:val="22"/>
              </w:rPr>
              <w:t>Vincent Roué</w:t>
            </w:r>
            <w:r w:rsidR="00CD7AF6" w:rsidRPr="00CD7AF6">
              <w:rPr>
                <w:rFonts w:asciiTheme="majorBidi" w:hAnsiTheme="majorBidi" w:cstheme="majorBidi"/>
                <w:sz w:val="22"/>
                <w:szCs w:val="22"/>
              </w:rPr>
              <w:br/>
              <w:t>Division of Nuclear Power</w:t>
            </w:r>
            <w:r w:rsidR="00CD7AF6" w:rsidRPr="00CD7AF6">
              <w:rPr>
                <w:rFonts w:asciiTheme="majorBidi" w:hAnsiTheme="majorBidi" w:cstheme="majorBidi"/>
                <w:sz w:val="22"/>
                <w:szCs w:val="22"/>
              </w:rPr>
              <w:br/>
              <w:t>Department of Nuclear Energy</w:t>
            </w:r>
            <w:r w:rsidR="00CD7AF6" w:rsidRPr="00CD7AF6">
              <w:rPr>
                <w:rFonts w:asciiTheme="majorBidi" w:hAnsiTheme="majorBidi" w:cstheme="majorBidi"/>
                <w:sz w:val="22"/>
                <w:szCs w:val="22"/>
              </w:rPr>
              <w:br/>
              <w:t>Vienna International Centre</w:t>
            </w:r>
            <w:r w:rsidR="00CD7AF6" w:rsidRPr="00CD7AF6">
              <w:rPr>
                <w:rFonts w:asciiTheme="majorBidi" w:hAnsiTheme="majorBidi" w:cstheme="majorBidi"/>
                <w:sz w:val="22"/>
                <w:szCs w:val="22"/>
              </w:rPr>
              <w:br/>
              <w:t>PO Box 100</w:t>
            </w:r>
            <w:r w:rsidR="00CD7AF6" w:rsidRPr="00CD7AF6">
              <w:rPr>
                <w:rFonts w:asciiTheme="majorBidi" w:hAnsiTheme="majorBidi" w:cstheme="majorBidi"/>
                <w:sz w:val="22"/>
                <w:szCs w:val="22"/>
              </w:rPr>
              <w:br/>
              <w:t>1400 VIENNA</w:t>
            </w:r>
            <w:r w:rsidR="00CD7AF6" w:rsidRPr="00CD7AF6">
              <w:rPr>
                <w:rFonts w:asciiTheme="majorBidi" w:hAnsiTheme="majorBidi" w:cstheme="majorBidi"/>
                <w:sz w:val="22"/>
                <w:szCs w:val="22"/>
              </w:rPr>
              <w:br/>
              <w:t>AUSTRIA</w:t>
            </w:r>
            <w:r w:rsidR="00CD7AF6" w:rsidRPr="00CD7AF6">
              <w:rPr>
                <w:rFonts w:asciiTheme="majorBidi" w:hAnsiTheme="majorBidi" w:cstheme="majorBidi"/>
                <w:sz w:val="22"/>
                <w:szCs w:val="22"/>
              </w:rPr>
              <w:br/>
              <w:t>Tel.: +43 1 2600 2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4518</w:t>
            </w:r>
            <w:r w:rsidR="00CD7AF6" w:rsidRPr="00CD7AF6">
              <w:rPr>
                <w:rFonts w:asciiTheme="majorBidi" w:hAnsiTheme="majorBidi" w:cstheme="majorBidi"/>
                <w:sz w:val="22"/>
                <w:szCs w:val="22"/>
              </w:rPr>
              <w:br/>
              <w:t>Fax: +43 1 2600</w:t>
            </w:r>
            <w:r w:rsidR="00D61D11">
              <w:rPr>
                <w:rFonts w:asciiTheme="majorBidi" w:hAnsiTheme="majorBidi" w:cstheme="majorBidi"/>
                <w:sz w:val="22"/>
                <w:szCs w:val="22"/>
              </w:rPr>
              <w:t xml:space="preserve"> 29598</w:t>
            </w:r>
            <w:r w:rsidR="00CD7AF6" w:rsidRPr="00CD7AF6">
              <w:rPr>
                <w:rFonts w:asciiTheme="majorBidi" w:hAnsiTheme="majorBidi" w:cstheme="majorBidi"/>
                <w:sz w:val="22"/>
                <w:szCs w:val="22"/>
              </w:rPr>
              <w:br/>
              <w:t xml:space="preserve">Email: </w:t>
            </w:r>
            <w:hyperlink r:id="rId10" w:history="1">
              <w:r w:rsidRPr="00CA638F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en-US"/>
                </w:rPr>
                <w:t>V.Roue@iaea.org</w:t>
              </w:r>
            </w:hyperlink>
          </w:p>
        </w:tc>
        <w:tc>
          <w:tcPr>
            <w:tcW w:w="4531" w:type="dxa"/>
          </w:tcPr>
          <w:p w14:paraId="4DC5AAF8" w14:textId="77777777" w:rsidR="00CD7AF6" w:rsidRDefault="00CD7AF6" w:rsidP="00CD7AF6">
            <w:pPr>
              <w:pStyle w:val="BodyText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CD7AF6">
              <w:rPr>
                <w:rFonts w:ascii="Times New Roman" w:eastAsia="DengXian" w:hAnsi="Times New Roman"/>
                <w:b/>
                <w:bCs/>
                <w:color w:val="000000"/>
                <w:sz w:val="22"/>
                <w:szCs w:val="22"/>
                <w:lang w:eastAsia="zh-CN"/>
              </w:rPr>
              <w:t>Administrative Secretary</w:t>
            </w:r>
          </w:p>
          <w:p w14:paraId="333CD059" w14:textId="77777777" w:rsidR="00CD7AF6" w:rsidRPr="00CD7AF6" w:rsidRDefault="00CD7AF6" w:rsidP="00CD7AF6">
            <w:pPr>
              <w:pStyle w:val="BodyText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CD7AF6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Tin Ling </w:t>
            </w:r>
            <w:proofErr w:type="spellStart"/>
            <w:r w:rsidRPr="00CD7AF6">
              <w:rPr>
                <w:rFonts w:asciiTheme="majorBidi" w:hAnsiTheme="majorBidi" w:cstheme="majorBidi"/>
                <w:b/>
                <w:sz w:val="22"/>
                <w:szCs w:val="22"/>
              </w:rPr>
              <w:t>Loi</w:t>
            </w:r>
            <w:proofErr w:type="spellEnd"/>
            <w:r w:rsidRPr="00CD7AF6">
              <w:rPr>
                <w:rFonts w:asciiTheme="majorBidi" w:hAnsiTheme="majorBidi" w:cstheme="majorBidi"/>
                <w:sz w:val="22"/>
                <w:szCs w:val="22"/>
              </w:rPr>
              <w:br/>
              <w:t>Division of Nuclear Power</w:t>
            </w:r>
            <w:r w:rsidRPr="00CD7AF6">
              <w:rPr>
                <w:rFonts w:asciiTheme="majorBidi" w:hAnsiTheme="majorBidi" w:cstheme="majorBidi"/>
                <w:sz w:val="22"/>
                <w:szCs w:val="22"/>
              </w:rPr>
              <w:br/>
              <w:t>Department of Nuclear Energy</w:t>
            </w:r>
            <w:r w:rsidRPr="00CD7AF6">
              <w:rPr>
                <w:rFonts w:asciiTheme="majorBidi" w:hAnsiTheme="majorBidi" w:cstheme="majorBidi"/>
                <w:sz w:val="22"/>
                <w:szCs w:val="22"/>
              </w:rPr>
              <w:br/>
              <w:t>Vienna International Centre</w:t>
            </w:r>
            <w:r w:rsidRPr="00CD7AF6">
              <w:rPr>
                <w:rFonts w:asciiTheme="majorBidi" w:hAnsiTheme="majorBidi" w:cstheme="majorBidi"/>
                <w:sz w:val="22"/>
                <w:szCs w:val="22"/>
              </w:rPr>
              <w:br/>
              <w:t>PO Box 100</w:t>
            </w:r>
            <w:r w:rsidRPr="00CD7AF6">
              <w:rPr>
                <w:rFonts w:asciiTheme="majorBidi" w:hAnsiTheme="majorBidi" w:cstheme="majorBidi"/>
                <w:sz w:val="22"/>
                <w:szCs w:val="22"/>
              </w:rPr>
              <w:br/>
              <w:t>1400 VIENNA</w:t>
            </w:r>
            <w:r w:rsidRPr="00CD7AF6">
              <w:rPr>
                <w:rFonts w:asciiTheme="majorBidi" w:hAnsiTheme="majorBidi" w:cstheme="majorBidi"/>
                <w:sz w:val="22"/>
                <w:szCs w:val="22"/>
              </w:rPr>
              <w:br/>
              <w:t>AUSTRIA</w:t>
            </w:r>
            <w:r w:rsidRPr="00CD7AF6">
              <w:rPr>
                <w:rFonts w:asciiTheme="majorBidi" w:hAnsiTheme="majorBidi" w:cstheme="majorBidi"/>
                <w:sz w:val="22"/>
                <w:szCs w:val="22"/>
              </w:rPr>
              <w:br/>
              <w:t>Tel.: +43 1 2600 22792</w:t>
            </w:r>
            <w:r w:rsidRPr="00CD7AF6">
              <w:rPr>
                <w:rFonts w:asciiTheme="majorBidi" w:hAnsiTheme="majorBidi" w:cstheme="majorBidi"/>
                <w:sz w:val="22"/>
                <w:szCs w:val="22"/>
              </w:rPr>
              <w:br/>
              <w:t>Fax: +43 1 2600</w:t>
            </w:r>
            <w:r w:rsidR="00D61D11">
              <w:rPr>
                <w:rFonts w:asciiTheme="majorBidi" w:hAnsiTheme="majorBidi" w:cstheme="majorBidi"/>
                <w:sz w:val="22"/>
                <w:szCs w:val="22"/>
              </w:rPr>
              <w:t xml:space="preserve"> 29598</w:t>
            </w:r>
            <w:r w:rsidRPr="00CD7AF6">
              <w:rPr>
                <w:rFonts w:asciiTheme="majorBidi" w:hAnsiTheme="majorBidi" w:cstheme="majorBidi"/>
                <w:sz w:val="22"/>
                <w:szCs w:val="22"/>
              </w:rPr>
              <w:br/>
              <w:t xml:space="preserve">Email: </w:t>
            </w:r>
            <w:hyperlink r:id="rId11">
              <w:r w:rsidRPr="00CD7AF6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en-US"/>
                </w:rPr>
                <w:t>T.Loi@iaea.org</w:t>
              </w:r>
            </w:hyperlink>
          </w:p>
        </w:tc>
      </w:tr>
    </w:tbl>
    <w:p w14:paraId="2739E755" w14:textId="77777777" w:rsidR="00DB1F91" w:rsidRPr="00136E58" w:rsidRDefault="00DB1F91">
      <w:pPr>
        <w:pStyle w:val="BodyText"/>
        <w:rPr>
          <w:rFonts w:ascii="Times New Roman" w:hAnsi="Times New Roman"/>
          <w:sz w:val="22"/>
          <w:szCs w:val="22"/>
        </w:rPr>
      </w:pPr>
    </w:p>
    <w:sectPr w:rsidR="00DB1F91" w:rsidRPr="00136E58" w:rsidSect="00DC23EF">
      <w:footerReference w:type="default" r:id="rId12"/>
      <w:footerReference w:type="first" r:id="rId13"/>
      <w:pgSz w:w="11907" w:h="16840" w:code="9"/>
      <w:pgMar w:top="1134" w:right="1418" w:bottom="851" w:left="1418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17C71" w14:textId="77777777" w:rsidR="005C1371" w:rsidRDefault="005C1371">
      <w:r>
        <w:separator/>
      </w:r>
    </w:p>
  </w:endnote>
  <w:endnote w:type="continuationSeparator" w:id="0">
    <w:p w14:paraId="0F075786" w14:textId="77777777" w:rsidR="005C1371" w:rsidRDefault="005C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132065483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54ABFF5" w14:textId="77777777" w:rsidR="00BF2C82" w:rsidRPr="00BF2C82" w:rsidRDefault="00BF2C82" w:rsidP="00BF2C82">
            <w:pPr>
              <w:pStyle w:val="Footer"/>
              <w:jc w:val="right"/>
              <w:rPr>
                <w:sz w:val="18"/>
                <w:szCs w:val="18"/>
              </w:rPr>
            </w:pPr>
            <w:r w:rsidRPr="00BF2C82">
              <w:rPr>
                <w:sz w:val="18"/>
                <w:szCs w:val="18"/>
              </w:rPr>
              <w:t xml:space="preserve">Page </w:t>
            </w:r>
            <w:r w:rsidRPr="00BF2C82">
              <w:rPr>
                <w:bCs/>
                <w:sz w:val="18"/>
                <w:szCs w:val="18"/>
              </w:rPr>
              <w:fldChar w:fldCharType="begin"/>
            </w:r>
            <w:r w:rsidRPr="00BF2C82">
              <w:rPr>
                <w:bCs/>
                <w:sz w:val="18"/>
                <w:szCs w:val="18"/>
              </w:rPr>
              <w:instrText xml:space="preserve"> PAGE </w:instrText>
            </w:r>
            <w:r w:rsidRPr="00BF2C82">
              <w:rPr>
                <w:bCs/>
                <w:sz w:val="18"/>
                <w:szCs w:val="18"/>
              </w:rPr>
              <w:fldChar w:fldCharType="separate"/>
            </w:r>
            <w:r w:rsidR="00AC39C6">
              <w:rPr>
                <w:bCs/>
                <w:noProof/>
                <w:sz w:val="18"/>
                <w:szCs w:val="18"/>
              </w:rPr>
              <w:t>3</w:t>
            </w:r>
            <w:r w:rsidRPr="00BF2C82">
              <w:rPr>
                <w:bCs/>
                <w:sz w:val="18"/>
                <w:szCs w:val="18"/>
              </w:rPr>
              <w:fldChar w:fldCharType="end"/>
            </w:r>
            <w:r w:rsidRPr="00BF2C82">
              <w:rPr>
                <w:sz w:val="18"/>
                <w:szCs w:val="18"/>
              </w:rPr>
              <w:t xml:space="preserve"> of </w:t>
            </w:r>
            <w:r w:rsidRPr="00BF2C82">
              <w:rPr>
                <w:bCs/>
                <w:sz w:val="18"/>
                <w:szCs w:val="18"/>
              </w:rPr>
              <w:fldChar w:fldCharType="begin"/>
            </w:r>
            <w:r w:rsidRPr="00BF2C82">
              <w:rPr>
                <w:bCs/>
                <w:sz w:val="18"/>
                <w:szCs w:val="18"/>
              </w:rPr>
              <w:instrText xml:space="preserve"> NUMPAGES  </w:instrText>
            </w:r>
            <w:r w:rsidRPr="00BF2C82">
              <w:rPr>
                <w:bCs/>
                <w:sz w:val="18"/>
                <w:szCs w:val="18"/>
              </w:rPr>
              <w:fldChar w:fldCharType="separate"/>
            </w:r>
            <w:r w:rsidR="00AC39C6">
              <w:rPr>
                <w:bCs/>
                <w:noProof/>
                <w:sz w:val="18"/>
                <w:szCs w:val="18"/>
              </w:rPr>
              <w:t>3</w:t>
            </w:r>
            <w:r w:rsidRPr="00BF2C82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3228059"/>
      <w:docPartObj>
        <w:docPartGallery w:val="Page Numbers (Bottom of Page)"/>
        <w:docPartUnique/>
      </w:docPartObj>
    </w:sdtPr>
    <w:sdtEndPr/>
    <w:sdtContent>
      <w:sdt>
        <w:sdtPr>
          <w:id w:val="-2008809255"/>
          <w:docPartObj>
            <w:docPartGallery w:val="Page Numbers (Top of Page)"/>
            <w:docPartUnique/>
          </w:docPartObj>
        </w:sdtPr>
        <w:sdtEndPr/>
        <w:sdtContent>
          <w:p w14:paraId="24D8F6D0" w14:textId="77777777" w:rsidR="00BF2C82" w:rsidRDefault="00BF2C82" w:rsidP="00BF2C82">
            <w:pPr>
              <w:pStyle w:val="Footer"/>
              <w:jc w:val="right"/>
            </w:pPr>
            <w:r w:rsidRPr="00BF2C82">
              <w:t xml:space="preserve">Page </w:t>
            </w:r>
            <w:r w:rsidRPr="00BF2C82">
              <w:rPr>
                <w:bCs/>
                <w:szCs w:val="24"/>
              </w:rPr>
              <w:fldChar w:fldCharType="begin"/>
            </w:r>
            <w:r w:rsidRPr="00BF2C82">
              <w:rPr>
                <w:bCs/>
              </w:rPr>
              <w:instrText xml:space="preserve"> PAGE </w:instrText>
            </w:r>
            <w:r w:rsidRPr="00BF2C82">
              <w:rPr>
                <w:bCs/>
                <w:szCs w:val="24"/>
              </w:rPr>
              <w:fldChar w:fldCharType="separate"/>
            </w:r>
            <w:r w:rsidR="00D854F9">
              <w:rPr>
                <w:bCs/>
                <w:noProof/>
              </w:rPr>
              <w:t>3</w:t>
            </w:r>
            <w:r w:rsidRPr="00BF2C82">
              <w:rPr>
                <w:bCs/>
                <w:szCs w:val="24"/>
              </w:rPr>
              <w:fldChar w:fldCharType="end"/>
            </w:r>
            <w:r w:rsidRPr="00BF2C82">
              <w:t xml:space="preserve"> of </w:t>
            </w:r>
            <w:r w:rsidRPr="00BF2C82">
              <w:rPr>
                <w:bCs/>
                <w:szCs w:val="24"/>
              </w:rPr>
              <w:fldChar w:fldCharType="begin"/>
            </w:r>
            <w:r w:rsidRPr="00BF2C82">
              <w:rPr>
                <w:bCs/>
              </w:rPr>
              <w:instrText xml:space="preserve"> NUMPAGES  </w:instrText>
            </w:r>
            <w:r w:rsidRPr="00BF2C82">
              <w:rPr>
                <w:bCs/>
                <w:szCs w:val="24"/>
              </w:rPr>
              <w:fldChar w:fldCharType="separate"/>
            </w:r>
            <w:r w:rsidR="00D854F9">
              <w:rPr>
                <w:bCs/>
                <w:noProof/>
              </w:rPr>
              <w:t>3</w:t>
            </w:r>
            <w:r w:rsidRPr="00BF2C82">
              <w:rPr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C6AFA" w14:textId="77777777" w:rsidR="005C1371" w:rsidRDefault="005C1371">
      <w:r>
        <w:separator/>
      </w:r>
    </w:p>
  </w:footnote>
  <w:footnote w:type="continuationSeparator" w:id="0">
    <w:p w14:paraId="677F31E9" w14:textId="77777777" w:rsidR="005C1371" w:rsidRDefault="005C1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BE274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C566B"/>
    <w:multiLevelType w:val="hybridMultilevel"/>
    <w:tmpl w:val="188068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763736"/>
    <w:multiLevelType w:val="hybridMultilevel"/>
    <w:tmpl w:val="B44415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B23FA"/>
    <w:multiLevelType w:val="hybridMultilevel"/>
    <w:tmpl w:val="47ECBE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E64E4"/>
    <w:multiLevelType w:val="hybridMultilevel"/>
    <w:tmpl w:val="8A242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033E8"/>
    <w:multiLevelType w:val="hybridMultilevel"/>
    <w:tmpl w:val="EC446B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60A0F"/>
    <w:multiLevelType w:val="hybridMultilevel"/>
    <w:tmpl w:val="3EBAD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74C00"/>
    <w:multiLevelType w:val="hybridMultilevel"/>
    <w:tmpl w:val="E0688E48"/>
    <w:lvl w:ilvl="0" w:tplc="08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3E32BF"/>
    <w:multiLevelType w:val="hybridMultilevel"/>
    <w:tmpl w:val="CA606364"/>
    <w:lvl w:ilvl="0" w:tplc="5074EFC6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9" w15:restartNumberingAfterBreak="0">
    <w:nsid w:val="21C25345"/>
    <w:multiLevelType w:val="hybridMultilevel"/>
    <w:tmpl w:val="4B789610"/>
    <w:lvl w:ilvl="0" w:tplc="0809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0" w15:restartNumberingAfterBreak="0">
    <w:nsid w:val="3E4F15E3"/>
    <w:multiLevelType w:val="hybridMultilevel"/>
    <w:tmpl w:val="9F7A7AE2"/>
    <w:lvl w:ilvl="0" w:tplc="4EBA8A0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C385703"/>
    <w:multiLevelType w:val="hybridMultilevel"/>
    <w:tmpl w:val="CBE21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91FFC"/>
    <w:multiLevelType w:val="hybridMultilevel"/>
    <w:tmpl w:val="668C8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C6BB6"/>
    <w:multiLevelType w:val="hybridMultilevel"/>
    <w:tmpl w:val="045C8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93C1C"/>
    <w:multiLevelType w:val="hybridMultilevel"/>
    <w:tmpl w:val="960CB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2C3060"/>
    <w:multiLevelType w:val="hybridMultilevel"/>
    <w:tmpl w:val="FC8E9C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10680F"/>
    <w:multiLevelType w:val="hybridMultilevel"/>
    <w:tmpl w:val="CBA4FDE6"/>
    <w:lvl w:ilvl="0" w:tplc="3BAE11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D16AC8"/>
    <w:multiLevelType w:val="hybridMultilevel"/>
    <w:tmpl w:val="522261CC"/>
    <w:lvl w:ilvl="0" w:tplc="73DC4E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762900"/>
    <w:multiLevelType w:val="hybridMultilevel"/>
    <w:tmpl w:val="04266018"/>
    <w:lvl w:ilvl="0" w:tplc="E44CEC62">
      <w:start w:val="1"/>
      <w:numFmt w:val="upperLetter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6057B6"/>
    <w:multiLevelType w:val="hybridMultilevel"/>
    <w:tmpl w:val="3BF8EC80"/>
    <w:lvl w:ilvl="0" w:tplc="0809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2"/>
  </w:num>
  <w:num w:numId="6">
    <w:abstractNumId w:val="11"/>
  </w:num>
  <w:num w:numId="7">
    <w:abstractNumId w:val="9"/>
  </w:num>
  <w:num w:numId="8">
    <w:abstractNumId w:val="19"/>
  </w:num>
  <w:num w:numId="9">
    <w:abstractNumId w:val="14"/>
  </w:num>
  <w:num w:numId="10">
    <w:abstractNumId w:val="18"/>
  </w:num>
  <w:num w:numId="11">
    <w:abstractNumId w:val="17"/>
  </w:num>
  <w:num w:numId="12">
    <w:abstractNumId w:val="15"/>
  </w:num>
  <w:num w:numId="13">
    <w:abstractNumId w:val="7"/>
  </w:num>
  <w:num w:numId="14">
    <w:abstractNumId w:val="1"/>
  </w:num>
  <w:num w:numId="15">
    <w:abstractNumId w:val="4"/>
  </w:num>
  <w:num w:numId="16">
    <w:abstractNumId w:val="18"/>
  </w:num>
  <w:num w:numId="17">
    <w:abstractNumId w:val="8"/>
  </w:num>
  <w:num w:numId="18">
    <w:abstractNumId w:val="10"/>
  </w:num>
  <w:num w:numId="19">
    <w:abstractNumId w:val="16"/>
  </w:num>
  <w:num w:numId="20">
    <w:abstractNumId w:val="18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3"/>
  </w:num>
  <w:num w:numId="3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567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LG_chkClearCopy" w:val="1"/>
    <w:docVar w:name="DLG_chkEnclosure" w:val="0"/>
    <w:docVar w:name="DLG_chkFileCopy" w:val="1"/>
    <w:docVar w:name="DLG_chkMasterCopy" w:val="0"/>
    <w:docVar w:name="DLG_chkOtherCopy" w:val="0"/>
    <w:docVar w:name="DLG_chkRCSCopy" w:val="1"/>
    <w:docVar w:name="DLG_lstDrafters" w:val="0"/>
    <w:docVar w:name="DLG_optgFormalSalutes" w:val="0"/>
    <w:docVar w:name="DLG_optgInformalCloses" w:val="0"/>
    <w:docVar w:name="DLG_optgLetterType" w:val="0"/>
    <w:docVar w:name="macStillNew" w:val="TRUE"/>
    <w:docVar w:name="macTemplateName" w:val="IAEA Letter Template"/>
    <w:docVar w:name="META_Type" w:val="IAEA Letter"/>
  </w:docVars>
  <w:rsids>
    <w:rsidRoot w:val="00582A57"/>
    <w:rsid w:val="00003652"/>
    <w:rsid w:val="0001000D"/>
    <w:rsid w:val="000106C7"/>
    <w:rsid w:val="000129FD"/>
    <w:rsid w:val="0002185E"/>
    <w:rsid w:val="000244AD"/>
    <w:rsid w:val="0002778A"/>
    <w:rsid w:val="000344B5"/>
    <w:rsid w:val="00034D0D"/>
    <w:rsid w:val="00040DC5"/>
    <w:rsid w:val="000430B9"/>
    <w:rsid w:val="000546C2"/>
    <w:rsid w:val="000548FC"/>
    <w:rsid w:val="00054BE5"/>
    <w:rsid w:val="00055B86"/>
    <w:rsid w:val="00055C99"/>
    <w:rsid w:val="000611DD"/>
    <w:rsid w:val="00063486"/>
    <w:rsid w:val="000638F7"/>
    <w:rsid w:val="00064BCD"/>
    <w:rsid w:val="00066836"/>
    <w:rsid w:val="000671C2"/>
    <w:rsid w:val="0008020E"/>
    <w:rsid w:val="00080690"/>
    <w:rsid w:val="000814DB"/>
    <w:rsid w:val="00081602"/>
    <w:rsid w:val="00081D26"/>
    <w:rsid w:val="000848A3"/>
    <w:rsid w:val="00092C3F"/>
    <w:rsid w:val="00096BA4"/>
    <w:rsid w:val="000976B9"/>
    <w:rsid w:val="000A49F1"/>
    <w:rsid w:val="000B4282"/>
    <w:rsid w:val="000B56D7"/>
    <w:rsid w:val="000C1C01"/>
    <w:rsid w:val="000C32E3"/>
    <w:rsid w:val="000C56C2"/>
    <w:rsid w:val="000C5E57"/>
    <w:rsid w:val="000D3E4C"/>
    <w:rsid w:val="000D7FAF"/>
    <w:rsid w:val="000E02F4"/>
    <w:rsid w:val="000E3B24"/>
    <w:rsid w:val="000F02BF"/>
    <w:rsid w:val="000F05D7"/>
    <w:rsid w:val="000F1A91"/>
    <w:rsid w:val="00102355"/>
    <w:rsid w:val="001107C1"/>
    <w:rsid w:val="001216F2"/>
    <w:rsid w:val="0012426F"/>
    <w:rsid w:val="00127A0A"/>
    <w:rsid w:val="00133E5B"/>
    <w:rsid w:val="00136E58"/>
    <w:rsid w:val="0014282B"/>
    <w:rsid w:val="0014525B"/>
    <w:rsid w:val="00151794"/>
    <w:rsid w:val="00153E8C"/>
    <w:rsid w:val="001563F6"/>
    <w:rsid w:val="0015650F"/>
    <w:rsid w:val="00157832"/>
    <w:rsid w:val="00163808"/>
    <w:rsid w:val="00163E1F"/>
    <w:rsid w:val="001801CE"/>
    <w:rsid w:val="00187A47"/>
    <w:rsid w:val="00191B38"/>
    <w:rsid w:val="00194303"/>
    <w:rsid w:val="001A22BF"/>
    <w:rsid w:val="001A6278"/>
    <w:rsid w:val="001B1507"/>
    <w:rsid w:val="001D108B"/>
    <w:rsid w:val="001D6992"/>
    <w:rsid w:val="001E1215"/>
    <w:rsid w:val="001E30EC"/>
    <w:rsid w:val="001E74E3"/>
    <w:rsid w:val="001F35D1"/>
    <w:rsid w:val="001F448B"/>
    <w:rsid w:val="00201792"/>
    <w:rsid w:val="0020295E"/>
    <w:rsid w:val="002310BD"/>
    <w:rsid w:val="002314D6"/>
    <w:rsid w:val="0023193C"/>
    <w:rsid w:val="00240456"/>
    <w:rsid w:val="0024195D"/>
    <w:rsid w:val="002471EE"/>
    <w:rsid w:val="00252FF3"/>
    <w:rsid w:val="002558B7"/>
    <w:rsid w:val="0026520C"/>
    <w:rsid w:val="002652AD"/>
    <w:rsid w:val="00274087"/>
    <w:rsid w:val="002818C4"/>
    <w:rsid w:val="0028577B"/>
    <w:rsid w:val="00291BB0"/>
    <w:rsid w:val="002979D7"/>
    <w:rsid w:val="002A0FE8"/>
    <w:rsid w:val="002A1225"/>
    <w:rsid w:val="002B6AAB"/>
    <w:rsid w:val="002C3824"/>
    <w:rsid w:val="002C5582"/>
    <w:rsid w:val="002D6BC1"/>
    <w:rsid w:val="002D72DD"/>
    <w:rsid w:val="002E0149"/>
    <w:rsid w:val="002E54D0"/>
    <w:rsid w:val="002E5A25"/>
    <w:rsid w:val="002E71D2"/>
    <w:rsid w:val="002E7E48"/>
    <w:rsid w:val="002F0970"/>
    <w:rsid w:val="002F2241"/>
    <w:rsid w:val="002F46A7"/>
    <w:rsid w:val="002F64A7"/>
    <w:rsid w:val="00306E88"/>
    <w:rsid w:val="003075BA"/>
    <w:rsid w:val="00311FA0"/>
    <w:rsid w:val="00322393"/>
    <w:rsid w:val="003233E9"/>
    <w:rsid w:val="00323C1F"/>
    <w:rsid w:val="00325A18"/>
    <w:rsid w:val="003263A4"/>
    <w:rsid w:val="00333E53"/>
    <w:rsid w:val="00334B8A"/>
    <w:rsid w:val="0033520C"/>
    <w:rsid w:val="00342E11"/>
    <w:rsid w:val="00344570"/>
    <w:rsid w:val="00345B40"/>
    <w:rsid w:val="00346007"/>
    <w:rsid w:val="003504D2"/>
    <w:rsid w:val="003558D8"/>
    <w:rsid w:val="00360034"/>
    <w:rsid w:val="00360408"/>
    <w:rsid w:val="00365CE2"/>
    <w:rsid w:val="00371BCA"/>
    <w:rsid w:val="00372B7F"/>
    <w:rsid w:val="0038376F"/>
    <w:rsid w:val="00387DC2"/>
    <w:rsid w:val="0039148A"/>
    <w:rsid w:val="00391BE2"/>
    <w:rsid w:val="00392CD9"/>
    <w:rsid w:val="00396C5F"/>
    <w:rsid w:val="003A7DDF"/>
    <w:rsid w:val="003B0AF1"/>
    <w:rsid w:val="003B351D"/>
    <w:rsid w:val="003C4747"/>
    <w:rsid w:val="003D0AE5"/>
    <w:rsid w:val="003D3190"/>
    <w:rsid w:val="003E2A7C"/>
    <w:rsid w:val="003F03EF"/>
    <w:rsid w:val="003F056E"/>
    <w:rsid w:val="003F0EF6"/>
    <w:rsid w:val="003F4768"/>
    <w:rsid w:val="003F6173"/>
    <w:rsid w:val="00407F85"/>
    <w:rsid w:val="00416A6C"/>
    <w:rsid w:val="004201FA"/>
    <w:rsid w:val="00432544"/>
    <w:rsid w:val="00437164"/>
    <w:rsid w:val="00437366"/>
    <w:rsid w:val="00443833"/>
    <w:rsid w:val="00450CAE"/>
    <w:rsid w:val="00453274"/>
    <w:rsid w:val="00453F85"/>
    <w:rsid w:val="00455252"/>
    <w:rsid w:val="0045787E"/>
    <w:rsid w:val="004613F4"/>
    <w:rsid w:val="00476348"/>
    <w:rsid w:val="004773C6"/>
    <w:rsid w:val="004805F4"/>
    <w:rsid w:val="00483A2C"/>
    <w:rsid w:val="00483E7D"/>
    <w:rsid w:val="00490C83"/>
    <w:rsid w:val="00495A00"/>
    <w:rsid w:val="004A6700"/>
    <w:rsid w:val="004A747E"/>
    <w:rsid w:val="004A7CB9"/>
    <w:rsid w:val="004A7ECB"/>
    <w:rsid w:val="004B3F41"/>
    <w:rsid w:val="004B5831"/>
    <w:rsid w:val="004C1326"/>
    <w:rsid w:val="004C1A7A"/>
    <w:rsid w:val="004C2BF5"/>
    <w:rsid w:val="004C427D"/>
    <w:rsid w:val="004C5094"/>
    <w:rsid w:val="004C6C01"/>
    <w:rsid w:val="004D5489"/>
    <w:rsid w:val="004D71AF"/>
    <w:rsid w:val="004E207D"/>
    <w:rsid w:val="004E705E"/>
    <w:rsid w:val="004F22B4"/>
    <w:rsid w:val="004F3115"/>
    <w:rsid w:val="005003E0"/>
    <w:rsid w:val="00502E07"/>
    <w:rsid w:val="00515445"/>
    <w:rsid w:val="00516CCC"/>
    <w:rsid w:val="00516E93"/>
    <w:rsid w:val="00523B26"/>
    <w:rsid w:val="00527D13"/>
    <w:rsid w:val="00532643"/>
    <w:rsid w:val="00537540"/>
    <w:rsid w:val="00544E6D"/>
    <w:rsid w:val="00550AC2"/>
    <w:rsid w:val="00552C38"/>
    <w:rsid w:val="0055360A"/>
    <w:rsid w:val="00561217"/>
    <w:rsid w:val="00565D45"/>
    <w:rsid w:val="005704BB"/>
    <w:rsid w:val="00571F83"/>
    <w:rsid w:val="00576C3F"/>
    <w:rsid w:val="005803E5"/>
    <w:rsid w:val="00582A57"/>
    <w:rsid w:val="00585B67"/>
    <w:rsid w:val="005B40DD"/>
    <w:rsid w:val="005C1371"/>
    <w:rsid w:val="005C3D09"/>
    <w:rsid w:val="005C4CF7"/>
    <w:rsid w:val="005C6749"/>
    <w:rsid w:val="005D3223"/>
    <w:rsid w:val="005D5F2D"/>
    <w:rsid w:val="005E16D9"/>
    <w:rsid w:val="005E1BA4"/>
    <w:rsid w:val="005F314C"/>
    <w:rsid w:val="005F3360"/>
    <w:rsid w:val="005F3C66"/>
    <w:rsid w:val="005F5A60"/>
    <w:rsid w:val="0060307A"/>
    <w:rsid w:val="0060697F"/>
    <w:rsid w:val="00611273"/>
    <w:rsid w:val="00624F6A"/>
    <w:rsid w:val="00626B8B"/>
    <w:rsid w:val="006270CC"/>
    <w:rsid w:val="00630AAC"/>
    <w:rsid w:val="00640229"/>
    <w:rsid w:val="006404E3"/>
    <w:rsid w:val="006439AE"/>
    <w:rsid w:val="00645D42"/>
    <w:rsid w:val="00652F3C"/>
    <w:rsid w:val="006709C9"/>
    <w:rsid w:val="00672FAE"/>
    <w:rsid w:val="00674853"/>
    <w:rsid w:val="00677037"/>
    <w:rsid w:val="00677181"/>
    <w:rsid w:val="0068417D"/>
    <w:rsid w:val="00687C06"/>
    <w:rsid w:val="00697C8A"/>
    <w:rsid w:val="006A401A"/>
    <w:rsid w:val="006B72C2"/>
    <w:rsid w:val="006C0036"/>
    <w:rsid w:val="006C1133"/>
    <w:rsid w:val="006C5843"/>
    <w:rsid w:val="006D26A9"/>
    <w:rsid w:val="006D40F5"/>
    <w:rsid w:val="006D5C04"/>
    <w:rsid w:val="006E6F8E"/>
    <w:rsid w:val="006F27C2"/>
    <w:rsid w:val="006F3868"/>
    <w:rsid w:val="006F3AA5"/>
    <w:rsid w:val="006F44D5"/>
    <w:rsid w:val="006F597E"/>
    <w:rsid w:val="00704C35"/>
    <w:rsid w:val="00705F0B"/>
    <w:rsid w:val="00706B77"/>
    <w:rsid w:val="00710A08"/>
    <w:rsid w:val="007208C8"/>
    <w:rsid w:val="00720AF0"/>
    <w:rsid w:val="007237F6"/>
    <w:rsid w:val="00727234"/>
    <w:rsid w:val="00741A9D"/>
    <w:rsid w:val="00746BA4"/>
    <w:rsid w:val="00762BAE"/>
    <w:rsid w:val="0076356E"/>
    <w:rsid w:val="00764578"/>
    <w:rsid w:val="00766EA4"/>
    <w:rsid w:val="00767496"/>
    <w:rsid w:val="007732FC"/>
    <w:rsid w:val="007763AC"/>
    <w:rsid w:val="00777960"/>
    <w:rsid w:val="00777C17"/>
    <w:rsid w:val="00787DA4"/>
    <w:rsid w:val="00792254"/>
    <w:rsid w:val="00793AB2"/>
    <w:rsid w:val="00794B6E"/>
    <w:rsid w:val="007A1AE4"/>
    <w:rsid w:val="007C015C"/>
    <w:rsid w:val="007C17EE"/>
    <w:rsid w:val="007C28B0"/>
    <w:rsid w:val="007C2A7A"/>
    <w:rsid w:val="007D0554"/>
    <w:rsid w:val="007D2C59"/>
    <w:rsid w:val="007D30EB"/>
    <w:rsid w:val="007D4A83"/>
    <w:rsid w:val="007E2AE8"/>
    <w:rsid w:val="007E6D11"/>
    <w:rsid w:val="0080171A"/>
    <w:rsid w:val="00802900"/>
    <w:rsid w:val="0081317F"/>
    <w:rsid w:val="00814B67"/>
    <w:rsid w:val="00814F72"/>
    <w:rsid w:val="0082400C"/>
    <w:rsid w:val="00832B8B"/>
    <w:rsid w:val="00834699"/>
    <w:rsid w:val="008369CE"/>
    <w:rsid w:val="00856790"/>
    <w:rsid w:val="00861DCB"/>
    <w:rsid w:val="00864B63"/>
    <w:rsid w:val="00865675"/>
    <w:rsid w:val="00867FD5"/>
    <w:rsid w:val="00884C6C"/>
    <w:rsid w:val="00887827"/>
    <w:rsid w:val="00887E21"/>
    <w:rsid w:val="008924ED"/>
    <w:rsid w:val="008956F9"/>
    <w:rsid w:val="008966C4"/>
    <w:rsid w:val="008A0D95"/>
    <w:rsid w:val="008A4519"/>
    <w:rsid w:val="008A4526"/>
    <w:rsid w:val="008A519C"/>
    <w:rsid w:val="008C446C"/>
    <w:rsid w:val="008C5DA5"/>
    <w:rsid w:val="008D5D41"/>
    <w:rsid w:val="008D74C6"/>
    <w:rsid w:val="008E228D"/>
    <w:rsid w:val="008E3368"/>
    <w:rsid w:val="008E3963"/>
    <w:rsid w:val="008E5736"/>
    <w:rsid w:val="008E76AD"/>
    <w:rsid w:val="008E7C7F"/>
    <w:rsid w:val="008F31A5"/>
    <w:rsid w:val="0090331E"/>
    <w:rsid w:val="009039CF"/>
    <w:rsid w:val="00907B83"/>
    <w:rsid w:val="009123FA"/>
    <w:rsid w:val="009129BD"/>
    <w:rsid w:val="00913DF5"/>
    <w:rsid w:val="009213ED"/>
    <w:rsid w:val="009215D7"/>
    <w:rsid w:val="00921BF4"/>
    <w:rsid w:val="00924C81"/>
    <w:rsid w:val="00926912"/>
    <w:rsid w:val="0093257B"/>
    <w:rsid w:val="0093469E"/>
    <w:rsid w:val="00936103"/>
    <w:rsid w:val="00937C60"/>
    <w:rsid w:val="00941DBD"/>
    <w:rsid w:val="00957CBF"/>
    <w:rsid w:val="00961269"/>
    <w:rsid w:val="00961746"/>
    <w:rsid w:val="009655DA"/>
    <w:rsid w:val="00965DB3"/>
    <w:rsid w:val="00967A53"/>
    <w:rsid w:val="00972F69"/>
    <w:rsid w:val="00973821"/>
    <w:rsid w:val="009908B4"/>
    <w:rsid w:val="00991786"/>
    <w:rsid w:val="00991D69"/>
    <w:rsid w:val="00993384"/>
    <w:rsid w:val="009933B7"/>
    <w:rsid w:val="00996452"/>
    <w:rsid w:val="00997EFA"/>
    <w:rsid w:val="009A2B93"/>
    <w:rsid w:val="009A5FA5"/>
    <w:rsid w:val="009B6379"/>
    <w:rsid w:val="009C6DC7"/>
    <w:rsid w:val="009E581B"/>
    <w:rsid w:val="009E700F"/>
    <w:rsid w:val="009F51A2"/>
    <w:rsid w:val="009F58D9"/>
    <w:rsid w:val="009F5D86"/>
    <w:rsid w:val="00A16490"/>
    <w:rsid w:val="00A16FA2"/>
    <w:rsid w:val="00A232E5"/>
    <w:rsid w:val="00A35184"/>
    <w:rsid w:val="00A36D04"/>
    <w:rsid w:val="00A4096E"/>
    <w:rsid w:val="00A44E5C"/>
    <w:rsid w:val="00A4761B"/>
    <w:rsid w:val="00A51DCD"/>
    <w:rsid w:val="00A5570A"/>
    <w:rsid w:val="00A71C12"/>
    <w:rsid w:val="00A738EF"/>
    <w:rsid w:val="00A770E3"/>
    <w:rsid w:val="00A77DA1"/>
    <w:rsid w:val="00A841D5"/>
    <w:rsid w:val="00A908EF"/>
    <w:rsid w:val="00A95040"/>
    <w:rsid w:val="00A97370"/>
    <w:rsid w:val="00A97BD4"/>
    <w:rsid w:val="00A97C2D"/>
    <w:rsid w:val="00AA5312"/>
    <w:rsid w:val="00AA5567"/>
    <w:rsid w:val="00AB05AD"/>
    <w:rsid w:val="00AB2B0F"/>
    <w:rsid w:val="00AB5A8B"/>
    <w:rsid w:val="00AB6F26"/>
    <w:rsid w:val="00AC39C6"/>
    <w:rsid w:val="00AC4F0B"/>
    <w:rsid w:val="00AC56E9"/>
    <w:rsid w:val="00AD032B"/>
    <w:rsid w:val="00AD725F"/>
    <w:rsid w:val="00AE3EF5"/>
    <w:rsid w:val="00AE5474"/>
    <w:rsid w:val="00AE6EF1"/>
    <w:rsid w:val="00AF547A"/>
    <w:rsid w:val="00AF576A"/>
    <w:rsid w:val="00B1477A"/>
    <w:rsid w:val="00B15253"/>
    <w:rsid w:val="00B2686A"/>
    <w:rsid w:val="00B344CC"/>
    <w:rsid w:val="00B34BCB"/>
    <w:rsid w:val="00B438CF"/>
    <w:rsid w:val="00B514C0"/>
    <w:rsid w:val="00B574CE"/>
    <w:rsid w:val="00B62F85"/>
    <w:rsid w:val="00B70B35"/>
    <w:rsid w:val="00B71559"/>
    <w:rsid w:val="00B74D95"/>
    <w:rsid w:val="00B90D7D"/>
    <w:rsid w:val="00B92FF0"/>
    <w:rsid w:val="00B945C2"/>
    <w:rsid w:val="00BA152A"/>
    <w:rsid w:val="00BA2811"/>
    <w:rsid w:val="00BA6C2D"/>
    <w:rsid w:val="00BB09A9"/>
    <w:rsid w:val="00BB2724"/>
    <w:rsid w:val="00BB3BCF"/>
    <w:rsid w:val="00BB410D"/>
    <w:rsid w:val="00BC0DB3"/>
    <w:rsid w:val="00BC2118"/>
    <w:rsid w:val="00BC43BB"/>
    <w:rsid w:val="00BC4E0E"/>
    <w:rsid w:val="00BD3B88"/>
    <w:rsid w:val="00BD58CE"/>
    <w:rsid w:val="00BE67AA"/>
    <w:rsid w:val="00BF2C82"/>
    <w:rsid w:val="00BF5850"/>
    <w:rsid w:val="00BF6049"/>
    <w:rsid w:val="00BF6F6E"/>
    <w:rsid w:val="00C00CC0"/>
    <w:rsid w:val="00C0323A"/>
    <w:rsid w:val="00C24520"/>
    <w:rsid w:val="00C27A1F"/>
    <w:rsid w:val="00C30665"/>
    <w:rsid w:val="00C319E4"/>
    <w:rsid w:val="00C3545A"/>
    <w:rsid w:val="00C41798"/>
    <w:rsid w:val="00C45832"/>
    <w:rsid w:val="00C463C7"/>
    <w:rsid w:val="00C46456"/>
    <w:rsid w:val="00C6154A"/>
    <w:rsid w:val="00C624F7"/>
    <w:rsid w:val="00C66479"/>
    <w:rsid w:val="00C6779A"/>
    <w:rsid w:val="00C67F51"/>
    <w:rsid w:val="00C70668"/>
    <w:rsid w:val="00C773B9"/>
    <w:rsid w:val="00C82742"/>
    <w:rsid w:val="00C8685B"/>
    <w:rsid w:val="00C91AE6"/>
    <w:rsid w:val="00CA23B2"/>
    <w:rsid w:val="00CA4DA7"/>
    <w:rsid w:val="00CB15B0"/>
    <w:rsid w:val="00CB3607"/>
    <w:rsid w:val="00CB4FBA"/>
    <w:rsid w:val="00CC223E"/>
    <w:rsid w:val="00CD5426"/>
    <w:rsid w:val="00CD7AF6"/>
    <w:rsid w:val="00CE73D4"/>
    <w:rsid w:val="00CF018C"/>
    <w:rsid w:val="00CF55A7"/>
    <w:rsid w:val="00CF589A"/>
    <w:rsid w:val="00D0273E"/>
    <w:rsid w:val="00D069F5"/>
    <w:rsid w:val="00D218DC"/>
    <w:rsid w:val="00D27E82"/>
    <w:rsid w:val="00D30B6A"/>
    <w:rsid w:val="00D31D21"/>
    <w:rsid w:val="00D326F7"/>
    <w:rsid w:val="00D37E63"/>
    <w:rsid w:val="00D4009E"/>
    <w:rsid w:val="00D4486C"/>
    <w:rsid w:val="00D518C0"/>
    <w:rsid w:val="00D56097"/>
    <w:rsid w:val="00D56A1A"/>
    <w:rsid w:val="00D60467"/>
    <w:rsid w:val="00D608F7"/>
    <w:rsid w:val="00D61D11"/>
    <w:rsid w:val="00D6207C"/>
    <w:rsid w:val="00D63203"/>
    <w:rsid w:val="00D7021B"/>
    <w:rsid w:val="00D72851"/>
    <w:rsid w:val="00D76384"/>
    <w:rsid w:val="00D764CE"/>
    <w:rsid w:val="00D8371E"/>
    <w:rsid w:val="00D854F9"/>
    <w:rsid w:val="00D90E76"/>
    <w:rsid w:val="00D93F94"/>
    <w:rsid w:val="00D96EE4"/>
    <w:rsid w:val="00DA6F02"/>
    <w:rsid w:val="00DA7FF6"/>
    <w:rsid w:val="00DB1F91"/>
    <w:rsid w:val="00DB5DA5"/>
    <w:rsid w:val="00DC23EF"/>
    <w:rsid w:val="00DC262F"/>
    <w:rsid w:val="00DC7355"/>
    <w:rsid w:val="00DD3DBE"/>
    <w:rsid w:val="00DD581A"/>
    <w:rsid w:val="00DF167D"/>
    <w:rsid w:val="00DF1D86"/>
    <w:rsid w:val="00E006B6"/>
    <w:rsid w:val="00E006CA"/>
    <w:rsid w:val="00E006E2"/>
    <w:rsid w:val="00E147ED"/>
    <w:rsid w:val="00E15388"/>
    <w:rsid w:val="00E210CF"/>
    <w:rsid w:val="00E23867"/>
    <w:rsid w:val="00E322D5"/>
    <w:rsid w:val="00E33B3D"/>
    <w:rsid w:val="00E418B2"/>
    <w:rsid w:val="00E43129"/>
    <w:rsid w:val="00E47FBD"/>
    <w:rsid w:val="00E51D4F"/>
    <w:rsid w:val="00E549AA"/>
    <w:rsid w:val="00E71994"/>
    <w:rsid w:val="00E75136"/>
    <w:rsid w:val="00E77732"/>
    <w:rsid w:val="00E822EB"/>
    <w:rsid w:val="00E833B1"/>
    <w:rsid w:val="00E84FD9"/>
    <w:rsid w:val="00E8652F"/>
    <w:rsid w:val="00E93CFD"/>
    <w:rsid w:val="00E944D3"/>
    <w:rsid w:val="00E95A76"/>
    <w:rsid w:val="00E966FE"/>
    <w:rsid w:val="00EA2899"/>
    <w:rsid w:val="00EA3DEF"/>
    <w:rsid w:val="00EA5105"/>
    <w:rsid w:val="00EB0961"/>
    <w:rsid w:val="00EC40F6"/>
    <w:rsid w:val="00EC76EB"/>
    <w:rsid w:val="00EC7D12"/>
    <w:rsid w:val="00EC7ED8"/>
    <w:rsid w:val="00ED04E0"/>
    <w:rsid w:val="00ED7479"/>
    <w:rsid w:val="00EE2CB5"/>
    <w:rsid w:val="00EE59FB"/>
    <w:rsid w:val="00EE6368"/>
    <w:rsid w:val="00EE67F3"/>
    <w:rsid w:val="00EF4EB9"/>
    <w:rsid w:val="00F03188"/>
    <w:rsid w:val="00F073F1"/>
    <w:rsid w:val="00F10908"/>
    <w:rsid w:val="00F11415"/>
    <w:rsid w:val="00F11905"/>
    <w:rsid w:val="00F11BF1"/>
    <w:rsid w:val="00F16D4B"/>
    <w:rsid w:val="00F230D3"/>
    <w:rsid w:val="00F2446C"/>
    <w:rsid w:val="00F24D09"/>
    <w:rsid w:val="00F25678"/>
    <w:rsid w:val="00F25B81"/>
    <w:rsid w:val="00F36D88"/>
    <w:rsid w:val="00F376FF"/>
    <w:rsid w:val="00F40B82"/>
    <w:rsid w:val="00F45D54"/>
    <w:rsid w:val="00F50811"/>
    <w:rsid w:val="00F550B5"/>
    <w:rsid w:val="00F63B9F"/>
    <w:rsid w:val="00F714FD"/>
    <w:rsid w:val="00F71F0D"/>
    <w:rsid w:val="00F75547"/>
    <w:rsid w:val="00F75F2C"/>
    <w:rsid w:val="00F76150"/>
    <w:rsid w:val="00F77B78"/>
    <w:rsid w:val="00F830E9"/>
    <w:rsid w:val="00F83A04"/>
    <w:rsid w:val="00F94580"/>
    <w:rsid w:val="00F97146"/>
    <w:rsid w:val="00FA599E"/>
    <w:rsid w:val="00FB034D"/>
    <w:rsid w:val="00FB3422"/>
    <w:rsid w:val="00FB4CC0"/>
    <w:rsid w:val="00FB797D"/>
    <w:rsid w:val="00FC16D6"/>
    <w:rsid w:val="00FC1CB8"/>
    <w:rsid w:val="00FC21A9"/>
    <w:rsid w:val="00FC7241"/>
    <w:rsid w:val="00FD1582"/>
    <w:rsid w:val="00FD1DA0"/>
    <w:rsid w:val="00FD60E4"/>
    <w:rsid w:val="00FE0E33"/>
    <w:rsid w:val="00FE1A1F"/>
    <w:rsid w:val="00FE43D9"/>
    <w:rsid w:val="00FE4645"/>
    <w:rsid w:val="00FE465E"/>
    <w:rsid w:val="00FE53A4"/>
    <w:rsid w:val="00FE7065"/>
    <w:rsid w:val="00FE7AF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37952C1"/>
  <w15:docId w15:val="{C7050E0F-9F74-47D1-AFAB-C572E85F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ind w:firstLine="567"/>
      <w:textAlignment w:val="baseline"/>
    </w:pPr>
    <w:rPr>
      <w:sz w:val="24"/>
      <w:lang w:eastAsia="en-US"/>
    </w:rPr>
  </w:style>
  <w:style w:type="paragraph" w:styleId="Heading1">
    <w:name w:val="heading 1"/>
    <w:basedOn w:val="BodyText"/>
    <w:next w:val="BodyText"/>
    <w:link w:val="Heading1Char"/>
    <w:autoRedefine/>
    <w:qFormat/>
    <w:rsid w:val="00CD7AF6"/>
    <w:pPr>
      <w:keepNext/>
      <w:widowControl w:val="0"/>
      <w:numPr>
        <w:numId w:val="10"/>
      </w:numPr>
      <w:spacing w:before="480" w:after="360" w:line="360" w:lineRule="exact"/>
      <w:ind w:left="567" w:hanging="567"/>
      <w:contextualSpacing/>
      <w:jc w:val="left"/>
      <w:outlineLvl w:val="0"/>
    </w:pPr>
    <w:rPr>
      <w:rFonts w:ascii="Times New Roman" w:hAnsi="Times New Roman"/>
      <w:b/>
      <w:bCs/>
      <w:kern w:val="28"/>
      <w:sz w:val="32"/>
      <w:szCs w:val="32"/>
      <w:lang w:val="en-US"/>
    </w:rPr>
  </w:style>
  <w:style w:type="paragraph" w:styleId="Heading2">
    <w:name w:val="heading 2"/>
    <w:basedOn w:val="Heading1"/>
    <w:next w:val="BodyText"/>
    <w:autoRedefine/>
    <w:qFormat/>
    <w:pPr>
      <w:outlineLvl w:val="1"/>
    </w:pPr>
    <w:rPr>
      <w:kern w:val="0"/>
      <w:sz w:val="24"/>
    </w:rPr>
  </w:style>
  <w:style w:type="paragraph" w:styleId="Heading3">
    <w:name w:val="heading 3"/>
    <w:basedOn w:val="Heading1"/>
    <w:next w:val="BodyText"/>
    <w:autoRedefine/>
    <w:qFormat/>
    <w:pPr>
      <w:outlineLvl w:val="2"/>
    </w:pPr>
    <w:rPr>
      <w:i/>
      <w:kern w:val="0"/>
      <w:sz w:val="24"/>
    </w:rPr>
  </w:style>
  <w:style w:type="paragraph" w:styleId="Heading4">
    <w:name w:val="heading 4"/>
    <w:basedOn w:val="Heading2"/>
    <w:next w:val="BodyText"/>
    <w:qFormat/>
    <w:pPr>
      <w:outlineLvl w:val="3"/>
    </w:pPr>
    <w:rPr>
      <w:b w:val="0"/>
      <w:i/>
    </w:rPr>
  </w:style>
  <w:style w:type="paragraph" w:styleId="Heading5">
    <w:name w:val="heading 5"/>
    <w:basedOn w:val="Normal"/>
    <w:next w:val="Normal"/>
    <w:qFormat/>
    <w:pPr>
      <w:keepNext/>
      <w:ind w:left="2835" w:hanging="2268"/>
      <w:outlineLvl w:val="4"/>
    </w:pPr>
    <w:rPr>
      <w:b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960"/>
      <w:ind w:firstLine="0"/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ind w:firstLine="0"/>
    </w:pPr>
  </w:style>
  <w:style w:type="paragraph" w:styleId="NormalIndent">
    <w:name w:val="Normal Indent"/>
    <w:basedOn w:val="Normal"/>
    <w:pPr>
      <w:ind w:left="567"/>
    </w:pPr>
  </w:style>
  <w:style w:type="paragraph" w:customStyle="1" w:styleId="zyxTemp">
    <w:name w:val="zyxTemp"/>
    <w:basedOn w:val="zyxTitle1"/>
    <w:rPr>
      <w:b/>
    </w:rPr>
  </w:style>
  <w:style w:type="paragraph" w:styleId="Title">
    <w:name w:val="Title"/>
    <w:basedOn w:val="Normal"/>
    <w:next w:val="BodyText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zyxTitle1">
    <w:name w:val="zyxTitle1"/>
    <w:pPr>
      <w:overflowPunct w:val="0"/>
      <w:autoSpaceDE w:val="0"/>
      <w:autoSpaceDN w:val="0"/>
      <w:adjustRightInd w:val="0"/>
      <w:ind w:left="-709" w:right="-709"/>
      <w:jc w:val="center"/>
      <w:textAlignment w:val="baseline"/>
    </w:pPr>
    <w:rPr>
      <w:noProof/>
      <w:sz w:val="16"/>
      <w:lang w:val="en-US" w:eastAsia="en-US"/>
    </w:rPr>
  </w:style>
  <w:style w:type="paragraph" w:customStyle="1" w:styleId="zyxTitle2">
    <w:name w:val="zyxTitle2"/>
    <w:pPr>
      <w:tabs>
        <w:tab w:val="right" w:pos="9072"/>
      </w:tabs>
      <w:overflowPunct w:val="0"/>
      <w:autoSpaceDE w:val="0"/>
      <w:autoSpaceDN w:val="0"/>
      <w:adjustRightInd w:val="0"/>
      <w:textAlignment w:val="baseline"/>
    </w:pPr>
    <w:rPr>
      <w:noProof/>
      <w:sz w:val="12"/>
      <w:lang w:val="en-US" w:eastAsia="en-US"/>
    </w:rPr>
  </w:style>
  <w:style w:type="paragraph" w:customStyle="1" w:styleId="zyxLogo">
    <w:name w:val="zyxLogo"/>
    <w:pPr>
      <w:overflowPunct w:val="0"/>
      <w:autoSpaceDE w:val="0"/>
      <w:autoSpaceDN w:val="0"/>
      <w:adjustRightInd w:val="0"/>
      <w:spacing w:after="240"/>
      <w:jc w:val="center"/>
      <w:textAlignment w:val="baseline"/>
    </w:pPr>
    <w:rPr>
      <w:noProof/>
      <w:lang w:val="en-US" w:eastAsia="en-US"/>
    </w:rPr>
  </w:style>
  <w:style w:type="paragraph" w:customStyle="1" w:styleId="zyxSalutation">
    <w:name w:val="zyxSalutation"/>
    <w:next w:val="BodyText"/>
    <w:pPr>
      <w:overflowPunct w:val="0"/>
      <w:autoSpaceDE w:val="0"/>
      <w:autoSpaceDN w:val="0"/>
      <w:adjustRightInd w:val="0"/>
      <w:spacing w:before="960" w:after="240"/>
      <w:textAlignment w:val="baseline"/>
    </w:pPr>
    <w:rPr>
      <w:sz w:val="24"/>
      <w:lang w:eastAsia="en-US"/>
    </w:rPr>
  </w:style>
  <w:style w:type="paragraph" w:customStyle="1" w:styleId="zyxRefNum">
    <w:name w:val="zyxRefNum"/>
    <w:next w:val="zyxDate"/>
    <w:pPr>
      <w:tabs>
        <w:tab w:val="right" w:pos="9072"/>
      </w:tabs>
      <w:overflowPunct w:val="0"/>
      <w:autoSpaceDE w:val="0"/>
      <w:autoSpaceDN w:val="0"/>
      <w:adjustRightInd w:val="0"/>
      <w:spacing w:before="120"/>
      <w:textAlignment w:val="baseline"/>
    </w:pPr>
    <w:rPr>
      <w:noProof/>
      <w:sz w:val="24"/>
      <w:lang w:val="en-US" w:eastAsia="en-US"/>
    </w:rPr>
  </w:style>
  <w:style w:type="paragraph" w:customStyle="1" w:styleId="zyxCompInformal">
    <w:name w:val="zyxCompInformal"/>
    <w:basedOn w:val="BodyText"/>
    <w:pPr>
      <w:keepNext/>
      <w:spacing w:before="240" w:after="1440"/>
      <w:ind w:left="5103"/>
      <w:jc w:val="left"/>
    </w:pPr>
  </w:style>
  <w:style w:type="paragraph" w:styleId="BodyText">
    <w:name w:val="Body Text"/>
    <w:basedOn w:val="Normal"/>
    <w:link w:val="BodyTextChar"/>
    <w:rsid w:val="00941DBD"/>
    <w:pPr>
      <w:spacing w:before="120" w:after="240"/>
      <w:ind w:firstLine="0"/>
      <w:jc w:val="both"/>
    </w:pPr>
    <w:rPr>
      <w:rFonts w:ascii="Calibri" w:hAnsi="Calibri"/>
      <w:sz w:val="20"/>
    </w:rPr>
  </w:style>
  <w:style w:type="paragraph" w:customStyle="1" w:styleId="zyxSignLong">
    <w:name w:val="zyxSignLong"/>
    <w:basedOn w:val="zyxCompInformal"/>
    <w:pPr>
      <w:keepLines/>
      <w:spacing w:before="0" w:after="0"/>
      <w:ind w:left="5387" w:hanging="284"/>
    </w:pPr>
  </w:style>
  <w:style w:type="paragraph" w:customStyle="1" w:styleId="zyxCopies">
    <w:name w:val="zyxCopies"/>
    <w:basedOn w:val="zyxEnclosure"/>
    <w:pPr>
      <w:keepLines/>
      <w:spacing w:before="0" w:after="0"/>
    </w:pPr>
  </w:style>
  <w:style w:type="paragraph" w:customStyle="1" w:styleId="zyxDate">
    <w:name w:val="zyxDate"/>
    <w:pPr>
      <w:overflowPunct w:val="0"/>
      <w:autoSpaceDE w:val="0"/>
      <w:autoSpaceDN w:val="0"/>
      <w:adjustRightInd w:val="0"/>
      <w:spacing w:before="480"/>
      <w:jc w:val="right"/>
      <w:textAlignment w:val="baseline"/>
    </w:pPr>
    <w:rPr>
      <w:noProof/>
      <w:sz w:val="24"/>
      <w:lang w:val="en-US" w:eastAsia="en-US"/>
    </w:rPr>
  </w:style>
  <w:style w:type="character" w:styleId="PageNumber">
    <w:name w:val="page number"/>
    <w:basedOn w:val="DefaultParagraphFont"/>
  </w:style>
  <w:style w:type="paragraph" w:customStyle="1" w:styleId="zyxEnclosure">
    <w:name w:val="zyxEnclosure"/>
    <w:basedOn w:val="zyxSalutation"/>
    <w:pPr>
      <w:spacing w:before="240"/>
    </w:pPr>
  </w:style>
  <w:style w:type="paragraph" w:customStyle="1" w:styleId="zyxSpacer">
    <w:name w:val="zyxSpacer"/>
    <w:pPr>
      <w:overflowPunct w:val="0"/>
      <w:autoSpaceDE w:val="0"/>
      <w:autoSpaceDN w:val="0"/>
      <w:adjustRightInd w:val="0"/>
      <w:textAlignment w:val="baseline"/>
    </w:pPr>
    <w:rPr>
      <w:noProof/>
      <w:sz w:val="24"/>
      <w:lang w:val="en-US" w:eastAsia="en-US"/>
    </w:rPr>
  </w:style>
  <w:style w:type="paragraph" w:styleId="BodyTextIndent">
    <w:name w:val="Body Text Indent"/>
    <w:basedOn w:val="Normal"/>
    <w:pPr>
      <w:ind w:left="567" w:firstLine="284"/>
    </w:pPr>
  </w:style>
  <w:style w:type="paragraph" w:customStyle="1" w:styleId="zyxCompFormal">
    <w:name w:val="zyxCompFormal"/>
    <w:basedOn w:val="BodyText"/>
    <w:pPr>
      <w:spacing w:after="1440"/>
    </w:pPr>
  </w:style>
  <w:style w:type="paragraph" w:customStyle="1" w:styleId="zyxSignShort">
    <w:name w:val="zyxSignShort"/>
    <w:basedOn w:val="zyxSignLong"/>
    <w:pPr>
      <w:ind w:left="5103" w:firstLine="0"/>
      <w:jc w:val="center"/>
    </w:pPr>
  </w:style>
  <w:style w:type="paragraph" w:customStyle="1" w:styleId="zyxInternal">
    <w:name w:val="zyxInternal"/>
    <w:pPr>
      <w:overflowPunct w:val="0"/>
      <w:autoSpaceDE w:val="0"/>
      <w:autoSpaceDN w:val="0"/>
      <w:adjustRightInd w:val="0"/>
      <w:textAlignment w:val="baseline"/>
    </w:pPr>
    <w:rPr>
      <w:noProof/>
      <w:vanish/>
      <w:lang w:val="en-US" w:eastAsia="en-US"/>
    </w:rPr>
  </w:style>
  <w:style w:type="paragraph" w:customStyle="1" w:styleId="zyxAddress">
    <w:name w:val="zyxAddress"/>
    <w:basedOn w:val="zyxSignLong"/>
    <w:pPr>
      <w:ind w:left="284" w:right="5670"/>
    </w:pPr>
  </w:style>
  <w:style w:type="paragraph" w:customStyle="1" w:styleId="zyxClear">
    <w:name w:val="zyxClear"/>
    <w:basedOn w:val="zyxInternal"/>
  </w:style>
  <w:style w:type="paragraph" w:customStyle="1" w:styleId="zyxInternalSpacer">
    <w:name w:val="zyxInternalSpacer"/>
    <w:basedOn w:val="zyxInternal"/>
    <w:pPr>
      <w:jc w:val="center"/>
    </w:pPr>
    <w:rPr>
      <w:smallCaps/>
      <w:u w:val="single"/>
    </w:rPr>
  </w:style>
  <w:style w:type="paragraph" w:customStyle="1" w:styleId="zyxInternalHeader">
    <w:name w:val="zyxInternalHeader"/>
    <w:basedOn w:val="zyxInternalSpacer"/>
    <w:pPr>
      <w:spacing w:before="120"/>
      <w:ind w:left="-567" w:right="-567"/>
    </w:pPr>
    <w:rPr>
      <w:u w:val="double"/>
    </w:rPr>
  </w:style>
  <w:style w:type="paragraph" w:customStyle="1" w:styleId="zyxEnclosureNone">
    <w:name w:val="zyxEnclosureNone"/>
    <w:basedOn w:val="zyxEnclosure"/>
    <w:pPr>
      <w:spacing w:before="0" w:after="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BodyText2">
    <w:name w:val="Body Text 2"/>
    <w:basedOn w:val="Normal"/>
  </w:style>
  <w:style w:type="paragraph" w:customStyle="1" w:styleId="ListBulleted">
    <w:name w:val="List Bulleted"/>
    <w:basedOn w:val="Normal"/>
    <w:qFormat/>
    <w:pPr>
      <w:ind w:left="1134" w:right="1134" w:hanging="567"/>
      <w:jc w:val="both"/>
    </w:pPr>
  </w:style>
  <w:style w:type="paragraph" w:customStyle="1" w:styleId="ListEmdash">
    <w:name w:val="List Emdash"/>
    <w:basedOn w:val="Normal"/>
    <w:pPr>
      <w:ind w:left="1134" w:right="1134" w:hanging="567"/>
      <w:jc w:val="both"/>
    </w:pPr>
  </w:style>
  <w:style w:type="paragraph" w:customStyle="1" w:styleId="ListMultilevel">
    <w:name w:val="List Multilevel"/>
    <w:basedOn w:val="BodyText"/>
    <w:pPr>
      <w:spacing w:after="0"/>
    </w:pPr>
  </w:style>
  <w:style w:type="paragraph" w:customStyle="1" w:styleId="ListNumbered">
    <w:name w:val="List Numbered"/>
    <w:basedOn w:val="BodyText"/>
    <w:pPr>
      <w:spacing w:after="0"/>
      <w:ind w:left="1134" w:right="1134" w:hanging="567"/>
    </w:pPr>
  </w:style>
  <w:style w:type="paragraph" w:styleId="BodyTextIndent2">
    <w:name w:val="Body Text Indent 2"/>
    <w:basedOn w:val="Normal"/>
    <w:pPr>
      <w:ind w:left="2835" w:hanging="2268"/>
    </w:pPr>
  </w:style>
  <w:style w:type="paragraph" w:styleId="FootnoteText">
    <w:name w:val="footnote text"/>
    <w:basedOn w:val="Normal"/>
    <w:link w:val="FootnoteTextChar"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pPr>
      <w:overflowPunct/>
      <w:autoSpaceDE/>
      <w:autoSpaceDN/>
      <w:adjustRightInd/>
      <w:spacing w:before="100" w:beforeAutospacing="1" w:after="100" w:afterAutospacing="1"/>
      <w:ind w:firstLine="0"/>
      <w:textAlignment w:val="auto"/>
    </w:pPr>
    <w:rPr>
      <w:rFonts w:ascii="Arial Unicode MS" w:eastAsia="Arial Unicode MS" w:hAnsi="Arial Unicode MS" w:cs="Arial Unicode MS"/>
      <w:szCs w:val="24"/>
      <w:lang w:val="en-US"/>
    </w:rPr>
  </w:style>
  <w:style w:type="paragraph" w:styleId="BodyText3">
    <w:name w:val="Body Text 3"/>
    <w:basedOn w:val="Normal"/>
    <w:pPr>
      <w:overflowPunct/>
      <w:autoSpaceDE/>
      <w:autoSpaceDN/>
      <w:adjustRightInd/>
      <w:ind w:firstLine="0"/>
      <w:jc w:val="center"/>
      <w:textAlignment w:val="auto"/>
    </w:pPr>
    <w:rPr>
      <w:rFonts w:ascii="Arial-BoldMT" w:hAnsi="Arial-BoldMT"/>
      <w:b/>
      <w:bCs/>
      <w:sz w:val="28"/>
      <w:szCs w:val="23"/>
      <w:lang w:val="en-US"/>
    </w:rPr>
  </w:style>
  <w:style w:type="paragraph" w:styleId="TOC1">
    <w:name w:val="toc 1"/>
    <w:basedOn w:val="Normal"/>
    <w:next w:val="Normal"/>
    <w:semiHidden/>
    <w:rsid w:val="00582A57"/>
    <w:pPr>
      <w:tabs>
        <w:tab w:val="left" w:leader="dot" w:pos="9071"/>
      </w:tabs>
      <w:spacing w:before="120" w:after="120"/>
      <w:ind w:firstLine="0"/>
    </w:pPr>
    <w:rPr>
      <w:caps/>
      <w:sz w:val="22"/>
      <w:lang w:val="en-US"/>
    </w:rPr>
  </w:style>
  <w:style w:type="paragraph" w:styleId="BalloonText">
    <w:name w:val="Balloon Text"/>
    <w:basedOn w:val="Normal"/>
    <w:semiHidden/>
    <w:rsid w:val="007E71E1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941DBD"/>
    <w:rPr>
      <w:rFonts w:ascii="Calibri" w:hAnsi="Calibri"/>
      <w:lang w:eastAsia="en-US"/>
    </w:rPr>
  </w:style>
  <w:style w:type="character" w:styleId="CommentReference">
    <w:name w:val="annotation reference"/>
    <w:rsid w:val="006F44D5"/>
    <w:rPr>
      <w:sz w:val="18"/>
      <w:szCs w:val="18"/>
    </w:rPr>
  </w:style>
  <w:style w:type="paragraph" w:styleId="CommentText">
    <w:name w:val="annotation text"/>
    <w:basedOn w:val="Normal"/>
    <w:link w:val="CommentTextChar"/>
    <w:rsid w:val="006F44D5"/>
    <w:rPr>
      <w:szCs w:val="24"/>
    </w:rPr>
  </w:style>
  <w:style w:type="character" w:customStyle="1" w:styleId="CommentTextChar">
    <w:name w:val="Comment Text Char"/>
    <w:link w:val="CommentText"/>
    <w:rsid w:val="006F44D5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6F44D5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6F44D5"/>
    <w:rPr>
      <w:b/>
      <w:bCs/>
      <w:sz w:val="24"/>
      <w:szCs w:val="24"/>
      <w:lang w:val="en-GB"/>
    </w:rPr>
  </w:style>
  <w:style w:type="character" w:customStyle="1" w:styleId="Heading1Char">
    <w:name w:val="Heading 1 Char"/>
    <w:link w:val="Heading1"/>
    <w:rsid w:val="00CD7AF6"/>
    <w:rPr>
      <w:b/>
      <w:bCs/>
      <w:kern w:val="28"/>
      <w:sz w:val="32"/>
      <w:szCs w:val="32"/>
      <w:lang w:val="en-US" w:eastAsia="en-US"/>
    </w:rPr>
  </w:style>
  <w:style w:type="paragraph" w:styleId="ListParagraph">
    <w:name w:val="List Paragraph"/>
    <w:basedOn w:val="Normal"/>
    <w:uiPriority w:val="72"/>
    <w:qFormat/>
    <w:rsid w:val="000976B9"/>
    <w:pPr>
      <w:ind w:left="720"/>
      <w:contextualSpacing/>
    </w:pPr>
  </w:style>
  <w:style w:type="table" w:styleId="TableGrid">
    <w:name w:val="Table Grid"/>
    <w:basedOn w:val="TableNormal"/>
    <w:rsid w:val="00387DC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F2C82"/>
    <w:rPr>
      <w:sz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2B6AAB"/>
    <w:rPr>
      <w:lang w:eastAsia="en-US"/>
    </w:rPr>
  </w:style>
  <w:style w:type="paragraph" w:customStyle="1" w:styleId="List1">
    <w:name w:val="List1"/>
    <w:rsid w:val="002B6AAB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eastAsia="Arial Unicode MS" w:cs="Arial Unicode MS"/>
      <w:color w:val="000000"/>
      <w:sz w:val="22"/>
      <w:szCs w:val="22"/>
      <w:u w:color="000000"/>
      <w:bdr w:val="nil"/>
      <w:lang w:val="en-US"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96126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8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.Loi@iaea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V.Roue@iae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-pub.iaea.org/iaeameetings/GeneralInfo/Guide/VIC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owinp\Application%20Data\Microsoft\Templates\KM%20Template%20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6BF19-732C-464C-AE8A-5F392ACF2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KM Template G.dot</Template>
  <TotalTime>0</TotalTime>
  <Pages>3</Pages>
  <Words>663</Words>
  <Characters>4014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IAEA</Company>
  <LinksUpToDate>false</LinksUpToDate>
  <CharactersWithSpaces>4668</CharactersWithSpaces>
  <SharedDoc>false</SharedDoc>
  <HLinks>
    <vt:vector size="18" baseType="variant">
      <vt:variant>
        <vt:i4>5308453</vt:i4>
      </vt:variant>
      <vt:variant>
        <vt:i4>6</vt:i4>
      </vt:variant>
      <vt:variant>
        <vt:i4>0</vt:i4>
      </vt:variant>
      <vt:variant>
        <vt:i4>5</vt:i4>
      </vt:variant>
      <vt:variant>
        <vt:lpwstr>mailto:E.Ivanova@iaea.org</vt:lpwstr>
      </vt:variant>
      <vt:variant>
        <vt:lpwstr/>
      </vt:variant>
      <vt:variant>
        <vt:i4>4194337</vt:i4>
      </vt:variant>
      <vt:variant>
        <vt:i4>3</vt:i4>
      </vt:variant>
      <vt:variant>
        <vt:i4>0</vt:i4>
      </vt:variant>
      <vt:variant>
        <vt:i4>5</vt:i4>
      </vt:variant>
      <vt:variant>
        <vt:lpwstr>mailto:A.Pryakhin@iaea.org</vt:lpwstr>
      </vt:variant>
      <vt:variant>
        <vt:lpwstr/>
      </vt:variant>
      <vt:variant>
        <vt:i4>6094902</vt:i4>
      </vt:variant>
      <vt:variant>
        <vt:i4>0</vt:i4>
      </vt:variant>
      <vt:variant>
        <vt:i4>0</vt:i4>
      </vt:variant>
      <vt:variant>
        <vt:i4>5</vt:i4>
      </vt:variant>
      <vt:variant>
        <vt:lpwstr>mailto:M.Sbaffoni@iaea.org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Terms of Reference</dc:subject>
  <dc:creator>LOI, Tin Ling</dc:creator>
  <cp:lastModifiedBy>ROUE, Vincent</cp:lastModifiedBy>
  <cp:revision>2</cp:revision>
  <cp:lastPrinted>2018-05-14T12:38:00Z</cp:lastPrinted>
  <dcterms:created xsi:type="dcterms:W3CDTF">2018-08-13T07:53:00Z</dcterms:created>
  <dcterms:modified xsi:type="dcterms:W3CDTF">2018-08-13T07:53:00Z</dcterms:modified>
</cp:coreProperties>
</file>