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13" w:rsidRPr="006F29E6" w:rsidRDefault="00701113" w:rsidP="00612392">
      <w:pPr>
        <w:pStyle w:val="a"/>
        <w:spacing w:before="0" w:line="240" w:lineRule="auto"/>
        <w:rPr>
          <w:lang w:val="en-US"/>
        </w:rPr>
      </w:pPr>
      <w:bookmarkStart w:id="0" w:name="_Toc412620590"/>
      <w:r w:rsidRPr="006F29E6">
        <w:rPr>
          <w:lang w:val="en-US"/>
        </w:rPr>
        <w:t>APPENDIX</w:t>
      </w:r>
      <w:r>
        <w:rPr>
          <w:lang w:val="en-US"/>
        </w:rPr>
        <w:t> </w:t>
      </w:r>
      <w:r w:rsidRPr="006F29E6">
        <w:rPr>
          <w:lang w:val="en-US"/>
        </w:rPr>
        <w:t>2</w:t>
      </w:r>
      <w:r>
        <w:rPr>
          <w:lang w:val="en-US"/>
        </w:rPr>
        <w:t xml:space="preserve"> –</w:t>
      </w:r>
      <w:r w:rsidRPr="006F29E6">
        <w:rPr>
          <w:lang w:val="en-US"/>
        </w:rPr>
        <w:t xml:space="preserve"> Application Form for sending specialists to Tehran</w:t>
      </w:r>
      <w:bookmarkEnd w:id="0"/>
      <w:r w:rsidR="00612392">
        <w:rPr>
          <w:lang w:val="en-US"/>
        </w:rPr>
        <w:t xml:space="preserve"> (TAVANA Company)</w:t>
      </w:r>
    </w:p>
    <w:p w:rsidR="00701113" w:rsidRPr="002B3B68" w:rsidRDefault="00701113" w:rsidP="00360B99">
      <w:pPr>
        <w:pStyle w:val="1120"/>
        <w:spacing w:before="0" w:line="240" w:lineRule="auto"/>
        <w:ind w:firstLine="0"/>
        <w:jc w:val="left"/>
        <w:rPr>
          <w:lang w:val="en-US"/>
        </w:rPr>
      </w:pPr>
      <w:r w:rsidRPr="002B3B68">
        <w:rPr>
          <w:lang w:val="en-US"/>
        </w:rPr>
        <w:t>To: Authorized Representative of the Contractor</w:t>
      </w:r>
      <w:r w:rsidR="00360B99">
        <w:rPr>
          <w:lang w:val="en-US"/>
        </w:rPr>
        <w:t>:</w:t>
      </w:r>
    </w:p>
    <w:p w:rsidR="00701113" w:rsidRDefault="00701113" w:rsidP="00360B99">
      <w:pPr>
        <w:pStyle w:val="112"/>
        <w:ind w:left="-284" w:right="-188" w:firstLine="0"/>
        <w:rPr>
          <w:lang w:val="en-US"/>
        </w:rPr>
      </w:pPr>
      <w:r w:rsidRPr="006F29E6">
        <w:rPr>
          <w:lang w:val="en-US"/>
        </w:rPr>
        <w:t xml:space="preserve">Please, be notified that the following specialists </w:t>
      </w:r>
      <w:r>
        <w:rPr>
          <w:lang w:val="en-US"/>
        </w:rPr>
        <w:t>are required</w:t>
      </w:r>
      <w:r w:rsidRPr="006F29E6">
        <w:rPr>
          <w:lang w:val="en-US"/>
        </w:rPr>
        <w:t xml:space="preserve"> to</w:t>
      </w:r>
      <w:r>
        <w:rPr>
          <w:lang w:val="en-US"/>
        </w:rPr>
        <w:t xml:space="preserve"> be dispatched for performing S</w:t>
      </w:r>
      <w:r w:rsidRPr="006F29E6">
        <w:rPr>
          <w:lang w:val="en-US"/>
        </w:rPr>
        <w:t>ervice</w:t>
      </w:r>
      <w:r>
        <w:rPr>
          <w:lang w:val="en-US"/>
        </w:rPr>
        <w:t xml:space="preserve">s on Technical and Engineering Support </w:t>
      </w:r>
      <w:r w:rsidRPr="006F29E6">
        <w:rPr>
          <w:lang w:val="en-US"/>
        </w:rPr>
        <w:t>under the Contract No.</w:t>
      </w:r>
      <w:r w:rsidR="00F06D0E" w:rsidRPr="00F06D0E">
        <w:rPr>
          <w:lang w:val="en-US"/>
        </w:rPr>
        <w:t xml:space="preserve"> </w:t>
      </w:r>
      <w:r w:rsidR="00F06D0E">
        <w:rPr>
          <w:lang w:val="en-US"/>
        </w:rPr>
        <w:t>CNT-ETS/4100-1 date 25.02.2015</w:t>
      </w:r>
      <w:r w:rsidRPr="006F29E6">
        <w:rPr>
          <w:lang w:val="en-US"/>
        </w:rPr>
        <w:t>, at Tehran</w:t>
      </w:r>
      <w:r w:rsidR="00202185">
        <w:rPr>
          <w:lang w:val="en-US"/>
        </w:rPr>
        <w:t xml:space="preserve"> </w:t>
      </w:r>
      <w:r w:rsidR="00F06D0E">
        <w:rPr>
          <w:lang w:val="en-US"/>
        </w:rPr>
        <w:t>(TAVANA Company)</w:t>
      </w:r>
      <w:r w:rsidRPr="006F29E6">
        <w:rPr>
          <w:lang w:val="en-US"/>
        </w:rPr>
        <w:t xml:space="preserve"> </w:t>
      </w:r>
      <w:r>
        <w:rPr>
          <w:lang w:val="en-US"/>
        </w:rPr>
        <w:t>as per</w:t>
      </w:r>
      <w:r w:rsidRPr="006F29E6">
        <w:rPr>
          <w:lang w:val="en-US"/>
        </w:rPr>
        <w:t xml:space="preserve"> the </w:t>
      </w:r>
      <w:r>
        <w:rPr>
          <w:lang w:val="en-US"/>
        </w:rPr>
        <w:t>following table</w:t>
      </w:r>
      <w:r w:rsidRPr="006F29E6">
        <w:rPr>
          <w:lang w:val="en-US"/>
        </w:rPr>
        <w:t>.</w:t>
      </w:r>
      <w:r>
        <w:rPr>
          <w:lang w:val="en-US"/>
        </w:rPr>
        <w:t xml:space="preserve"> You are kindly requested to issue due instruction as to assign qualified specialists and take necessary implementation according to the Appendix 4, item 4.1.1 of the Contract. </w:t>
      </w:r>
    </w:p>
    <w:p w:rsidR="00DC2E7F" w:rsidRDefault="00DC2E7F" w:rsidP="00F06D0E">
      <w:pPr>
        <w:pStyle w:val="112"/>
        <w:rPr>
          <w:lang w:val="en-US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694"/>
        <w:gridCol w:w="1255"/>
        <w:gridCol w:w="870"/>
        <w:gridCol w:w="1777"/>
        <w:gridCol w:w="1372"/>
        <w:gridCol w:w="1296"/>
        <w:gridCol w:w="2942"/>
      </w:tblGrid>
      <w:tr w:rsidR="001E1761" w:rsidRPr="0047730D" w:rsidTr="00166648">
        <w:trPr>
          <w:trHeight w:val="507"/>
        </w:trPr>
        <w:tc>
          <w:tcPr>
            <w:tcW w:w="694" w:type="dxa"/>
            <w:vAlign w:val="center"/>
          </w:tcPr>
          <w:p w:rsidR="00DC2E7F" w:rsidRPr="0047730D" w:rsidRDefault="00DC2E7F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1255" w:type="dxa"/>
            <w:vAlign w:val="center"/>
          </w:tcPr>
          <w:p w:rsidR="00DC2E7F" w:rsidRPr="0047730D" w:rsidRDefault="00DC2E7F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870" w:type="dxa"/>
            <w:vAlign w:val="center"/>
          </w:tcPr>
          <w:p w:rsidR="00DC2E7F" w:rsidRPr="0047730D" w:rsidRDefault="00DC2E7F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Grade</w:t>
            </w:r>
          </w:p>
        </w:tc>
        <w:tc>
          <w:tcPr>
            <w:tcW w:w="1777" w:type="dxa"/>
            <w:vAlign w:val="center"/>
          </w:tcPr>
          <w:p w:rsidR="00DC2E7F" w:rsidRPr="0047730D" w:rsidRDefault="00DC2E7F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1372" w:type="dxa"/>
            <w:vAlign w:val="center"/>
          </w:tcPr>
          <w:p w:rsidR="00DC2E7F" w:rsidRPr="0047730D" w:rsidRDefault="00DC2E7F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Starting date</w:t>
            </w:r>
          </w:p>
        </w:tc>
        <w:tc>
          <w:tcPr>
            <w:tcW w:w="1296" w:type="dxa"/>
            <w:vAlign w:val="center"/>
          </w:tcPr>
          <w:p w:rsidR="00DC2E7F" w:rsidRPr="0047730D" w:rsidRDefault="00DC2E7F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Ending date</w:t>
            </w:r>
          </w:p>
        </w:tc>
        <w:tc>
          <w:tcPr>
            <w:tcW w:w="2942" w:type="dxa"/>
            <w:vAlign w:val="center"/>
          </w:tcPr>
          <w:p w:rsidR="00DC2E7F" w:rsidRPr="0047730D" w:rsidRDefault="00DC2E7F" w:rsidP="00DC2E7F">
            <w:pPr>
              <w:pStyle w:val="112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Duties</w:t>
            </w:r>
          </w:p>
        </w:tc>
      </w:tr>
      <w:tr w:rsidR="001E1761" w:rsidRPr="00EF5C8C" w:rsidTr="00166648">
        <w:tc>
          <w:tcPr>
            <w:tcW w:w="694" w:type="dxa"/>
            <w:vAlign w:val="center"/>
          </w:tcPr>
          <w:p w:rsidR="006A3D1F" w:rsidRPr="0047730D" w:rsidRDefault="006A3D1F" w:rsidP="00166648">
            <w:pPr>
              <w:pStyle w:val="112"/>
              <w:numPr>
                <w:ilvl w:val="0"/>
                <w:numId w:val="1"/>
              </w:numPr>
              <w:ind w:left="470" w:hanging="357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vAlign w:val="center"/>
          </w:tcPr>
          <w:p w:rsidR="006A3D1F" w:rsidRPr="0047730D" w:rsidRDefault="0047730D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870" w:type="dxa"/>
            <w:vAlign w:val="center"/>
          </w:tcPr>
          <w:p w:rsidR="006A3D1F" w:rsidRPr="0047730D" w:rsidRDefault="006A3D1F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6B</w:t>
            </w:r>
          </w:p>
        </w:tc>
        <w:tc>
          <w:tcPr>
            <w:tcW w:w="1777" w:type="dxa"/>
            <w:vAlign w:val="center"/>
          </w:tcPr>
          <w:p w:rsidR="005E35DF" w:rsidRDefault="006D6685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JSC</w:t>
            </w:r>
          </w:p>
          <w:p w:rsidR="00BE60B0" w:rsidRDefault="006A3D1F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VNIIAES</w:t>
            </w:r>
          </w:p>
          <w:p w:rsidR="006D6685" w:rsidRPr="0047730D" w:rsidRDefault="006D6685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BE60B0" w:rsidRDefault="00C626A5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 xml:space="preserve">JSC </w:t>
            </w:r>
            <w:proofErr w:type="spellStart"/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Atomenergoproekt</w:t>
            </w:r>
            <w:proofErr w:type="spellEnd"/>
          </w:p>
          <w:p w:rsidR="006D6685" w:rsidRPr="0047730D" w:rsidRDefault="006D6685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6A3D1F" w:rsidRPr="0047730D" w:rsidRDefault="006D6685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 xml:space="preserve">JSC </w:t>
            </w:r>
            <w:proofErr w:type="spellStart"/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Atomtechexport</w:t>
            </w:r>
            <w:proofErr w:type="spellEnd"/>
          </w:p>
        </w:tc>
        <w:tc>
          <w:tcPr>
            <w:tcW w:w="1372" w:type="dxa"/>
            <w:vAlign w:val="center"/>
          </w:tcPr>
          <w:p w:rsidR="006A3D1F" w:rsidRPr="0047730D" w:rsidRDefault="006A3D1F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2016.08.01</w:t>
            </w:r>
          </w:p>
        </w:tc>
        <w:tc>
          <w:tcPr>
            <w:tcW w:w="1296" w:type="dxa"/>
            <w:vAlign w:val="center"/>
          </w:tcPr>
          <w:p w:rsidR="006A3D1F" w:rsidRPr="0047730D" w:rsidRDefault="006A3D1F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2016.09.15</w:t>
            </w:r>
          </w:p>
        </w:tc>
        <w:tc>
          <w:tcPr>
            <w:tcW w:w="2942" w:type="dxa"/>
            <w:vAlign w:val="center"/>
          </w:tcPr>
          <w:p w:rsidR="006A3D1F" w:rsidRPr="0047730D" w:rsidRDefault="00A878C1" w:rsidP="00A878C1">
            <w:pPr>
              <w:pStyle w:val="112"/>
              <w:ind w:firstLine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b/>
                <w:bCs/>
                <w:color w:val="000000" w:themeColor="text1"/>
                <w:sz w:val="20"/>
                <w:szCs w:val="20"/>
                <w:lang w:val="en-US"/>
              </w:rPr>
              <w:t>Establishment of technical support company:</w:t>
            </w:r>
          </w:p>
          <w:p w:rsidR="00A878C1" w:rsidRPr="0047730D" w:rsidRDefault="00A878C1" w:rsidP="00A878C1">
            <w:pPr>
              <w:pStyle w:val="112"/>
              <w:numPr>
                <w:ilvl w:val="0"/>
                <w:numId w:val="3"/>
              </w:numPr>
              <w:tabs>
                <w:tab w:val="right" w:pos="217"/>
              </w:tabs>
              <w:ind w:left="19" w:hanging="19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Conducting necessary reviews, providing recommendations and management consultants in the area of company structure and required communications within and outside of the company and also description of tasks and responsibilities.</w:t>
            </w:r>
          </w:p>
          <w:p w:rsidR="00A878C1" w:rsidRPr="0047730D" w:rsidRDefault="00A878C1" w:rsidP="00A878C1">
            <w:pPr>
              <w:pStyle w:val="112"/>
              <w:numPr>
                <w:ilvl w:val="0"/>
                <w:numId w:val="3"/>
              </w:numPr>
              <w:tabs>
                <w:tab w:val="right" w:pos="217"/>
              </w:tabs>
              <w:ind w:left="19" w:hanging="19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Providing recommendations and management consultants in line with job-training system and gaining required competencies for each job and also for doing activities in the area of technical support.</w:t>
            </w:r>
          </w:p>
          <w:p w:rsidR="00A878C1" w:rsidRPr="0047730D" w:rsidRDefault="00A878C1" w:rsidP="00A878C1">
            <w:pPr>
              <w:pStyle w:val="112"/>
              <w:numPr>
                <w:ilvl w:val="0"/>
                <w:numId w:val="3"/>
              </w:numPr>
              <w:tabs>
                <w:tab w:val="right" w:pos="217"/>
              </w:tabs>
              <w:ind w:left="19" w:hanging="19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Providing recommendations and necessary advices in codifying instructions, documents and required management processes.</w:t>
            </w:r>
          </w:p>
          <w:p w:rsidR="00A878C1" w:rsidRPr="0047730D" w:rsidRDefault="00A878C1" w:rsidP="00A878C1">
            <w:pPr>
              <w:pStyle w:val="112"/>
              <w:numPr>
                <w:ilvl w:val="0"/>
                <w:numId w:val="3"/>
              </w:numPr>
              <w:tabs>
                <w:tab w:val="right" w:pos="217"/>
              </w:tabs>
              <w:ind w:left="19" w:hanging="19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Providing recommendations and management consultants in the process of decision-making in technical support area.</w:t>
            </w:r>
          </w:p>
          <w:p w:rsidR="00A878C1" w:rsidRPr="0047730D" w:rsidRDefault="00A878C1" w:rsidP="00A878C1">
            <w:pPr>
              <w:pStyle w:val="112"/>
              <w:numPr>
                <w:ilvl w:val="0"/>
                <w:numId w:val="3"/>
              </w:numPr>
              <w:tabs>
                <w:tab w:val="right" w:pos="217"/>
              </w:tabs>
              <w:ind w:left="19" w:hanging="19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Providing recommendations and management consultants in establishing quality management system.</w:t>
            </w:r>
          </w:p>
        </w:tc>
      </w:tr>
      <w:tr w:rsidR="0047730D" w:rsidRPr="00EF5C8C" w:rsidTr="00166648">
        <w:tc>
          <w:tcPr>
            <w:tcW w:w="694" w:type="dxa"/>
            <w:vAlign w:val="center"/>
          </w:tcPr>
          <w:p w:rsidR="0047730D" w:rsidRPr="0047730D" w:rsidRDefault="0047730D" w:rsidP="00166648">
            <w:pPr>
              <w:pStyle w:val="112"/>
              <w:numPr>
                <w:ilvl w:val="0"/>
                <w:numId w:val="1"/>
              </w:numPr>
              <w:ind w:left="470" w:hanging="357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vAlign w:val="center"/>
          </w:tcPr>
          <w:p w:rsidR="0047730D" w:rsidRPr="0047730D" w:rsidRDefault="0047730D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870" w:type="dxa"/>
            <w:vAlign w:val="center"/>
          </w:tcPr>
          <w:p w:rsidR="0047730D" w:rsidRPr="0047730D" w:rsidRDefault="0047730D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6B</w:t>
            </w:r>
          </w:p>
        </w:tc>
        <w:tc>
          <w:tcPr>
            <w:tcW w:w="1777" w:type="dxa"/>
            <w:vAlign w:val="center"/>
          </w:tcPr>
          <w:p w:rsidR="005E35DF" w:rsidRDefault="0047730D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JSC</w:t>
            </w:r>
          </w:p>
          <w:p w:rsidR="00BE60B0" w:rsidRDefault="0047730D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VNIIAES</w:t>
            </w:r>
          </w:p>
          <w:p w:rsidR="0047730D" w:rsidRPr="0047730D" w:rsidRDefault="0047730D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47730D" w:rsidRPr="0047730D" w:rsidRDefault="0047730D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 xml:space="preserve">JSC </w:t>
            </w:r>
            <w:proofErr w:type="spellStart"/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Atomenergoproekt</w:t>
            </w:r>
            <w:proofErr w:type="spellEnd"/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 xml:space="preserve"> ,</w:t>
            </w:r>
          </w:p>
          <w:p w:rsidR="0047730D" w:rsidRPr="0047730D" w:rsidRDefault="0047730D" w:rsidP="00166648">
            <w:pPr>
              <w:pStyle w:val="112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 xml:space="preserve">JSC </w:t>
            </w:r>
            <w:proofErr w:type="spellStart"/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Atomtechexport</w:t>
            </w:r>
            <w:proofErr w:type="spellEnd"/>
          </w:p>
        </w:tc>
        <w:tc>
          <w:tcPr>
            <w:tcW w:w="1372" w:type="dxa"/>
            <w:vAlign w:val="center"/>
          </w:tcPr>
          <w:p w:rsidR="0047730D" w:rsidRPr="0047730D" w:rsidRDefault="0047730D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2016.11.01</w:t>
            </w:r>
          </w:p>
        </w:tc>
        <w:tc>
          <w:tcPr>
            <w:tcW w:w="1296" w:type="dxa"/>
            <w:vAlign w:val="center"/>
          </w:tcPr>
          <w:p w:rsidR="0047730D" w:rsidRPr="0047730D" w:rsidRDefault="0047730D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2016.12.15</w:t>
            </w:r>
          </w:p>
        </w:tc>
        <w:tc>
          <w:tcPr>
            <w:tcW w:w="2942" w:type="dxa"/>
            <w:vAlign w:val="center"/>
          </w:tcPr>
          <w:p w:rsidR="0047730D" w:rsidRPr="0047730D" w:rsidRDefault="0047730D" w:rsidP="00B8560B">
            <w:pPr>
              <w:pStyle w:val="112"/>
              <w:ind w:firstLine="0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b/>
                <w:bCs/>
                <w:color w:val="000000" w:themeColor="text1"/>
                <w:sz w:val="20"/>
                <w:szCs w:val="20"/>
                <w:lang w:val="en-US"/>
              </w:rPr>
              <w:t>Establishment of technical support company:</w:t>
            </w:r>
          </w:p>
          <w:p w:rsidR="0047730D" w:rsidRPr="0047730D" w:rsidRDefault="0047730D" w:rsidP="00B8560B">
            <w:pPr>
              <w:pStyle w:val="112"/>
              <w:numPr>
                <w:ilvl w:val="0"/>
                <w:numId w:val="3"/>
              </w:numPr>
              <w:tabs>
                <w:tab w:val="right" w:pos="217"/>
              </w:tabs>
              <w:ind w:left="19" w:hanging="19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Conducting necessary reviews, providing recommendations and management consultants in the area of company structure and required communications within and outside of the company and also description of tasks and responsibilities.</w:t>
            </w:r>
          </w:p>
          <w:p w:rsidR="0047730D" w:rsidRPr="0047730D" w:rsidRDefault="0047730D" w:rsidP="00B8560B">
            <w:pPr>
              <w:pStyle w:val="112"/>
              <w:numPr>
                <w:ilvl w:val="0"/>
                <w:numId w:val="3"/>
              </w:numPr>
              <w:tabs>
                <w:tab w:val="right" w:pos="217"/>
              </w:tabs>
              <w:ind w:left="19" w:hanging="19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 xml:space="preserve">Providing recommendations and management consultants in line with job-training system and </w:t>
            </w: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lastRenderedPageBreak/>
              <w:t>gaining required competencies for each job and also for doing activities in the area of technical support.</w:t>
            </w:r>
          </w:p>
          <w:p w:rsidR="0047730D" w:rsidRPr="0047730D" w:rsidRDefault="0047730D" w:rsidP="00B8560B">
            <w:pPr>
              <w:pStyle w:val="112"/>
              <w:numPr>
                <w:ilvl w:val="0"/>
                <w:numId w:val="3"/>
              </w:numPr>
              <w:tabs>
                <w:tab w:val="right" w:pos="217"/>
              </w:tabs>
              <w:ind w:left="19" w:hanging="19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Providing recommendations and necessary advices in codifying instructions, documents and required management processes.</w:t>
            </w:r>
          </w:p>
          <w:p w:rsidR="0047730D" w:rsidRPr="0047730D" w:rsidRDefault="0047730D" w:rsidP="00B8560B">
            <w:pPr>
              <w:pStyle w:val="112"/>
              <w:numPr>
                <w:ilvl w:val="0"/>
                <w:numId w:val="3"/>
              </w:numPr>
              <w:tabs>
                <w:tab w:val="right" w:pos="217"/>
              </w:tabs>
              <w:ind w:left="19" w:hanging="19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Providing recommendations and management consultants in the process of decision-making in technical support area.</w:t>
            </w:r>
          </w:p>
          <w:p w:rsidR="0047730D" w:rsidRPr="0047730D" w:rsidRDefault="0047730D" w:rsidP="00B8560B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Providing recommendations and management consultants in establishing quality management system.</w:t>
            </w:r>
          </w:p>
        </w:tc>
      </w:tr>
      <w:tr w:rsidR="001E1761" w:rsidRPr="00EF5C8C" w:rsidTr="00166648">
        <w:tc>
          <w:tcPr>
            <w:tcW w:w="694" w:type="dxa"/>
            <w:vAlign w:val="center"/>
          </w:tcPr>
          <w:p w:rsidR="00A57948" w:rsidRPr="0047730D" w:rsidRDefault="00A57948" w:rsidP="00166648">
            <w:pPr>
              <w:pStyle w:val="112"/>
              <w:numPr>
                <w:ilvl w:val="0"/>
                <w:numId w:val="1"/>
              </w:numPr>
              <w:ind w:left="470" w:hanging="357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vAlign w:val="center"/>
          </w:tcPr>
          <w:p w:rsidR="00A57948" w:rsidRPr="0047730D" w:rsidRDefault="0047730D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cstheme="minorBidi"/>
                <w:sz w:val="20"/>
                <w:szCs w:val="20"/>
                <w:lang w:val="en-US" w:bidi="fa-IR"/>
              </w:rPr>
              <w:t>Leading</w:t>
            </w:r>
            <w:r w:rsidRPr="0047730D">
              <w:rPr>
                <w:rFonts w:cstheme="minorHAnsi"/>
                <w:sz w:val="20"/>
                <w:szCs w:val="20"/>
              </w:rPr>
              <w:t xml:space="preserve"> Engineer</w:t>
            </w:r>
          </w:p>
        </w:tc>
        <w:tc>
          <w:tcPr>
            <w:tcW w:w="870" w:type="dxa"/>
            <w:vAlign w:val="center"/>
          </w:tcPr>
          <w:p w:rsidR="00A57948" w:rsidRPr="0047730D" w:rsidRDefault="00A57948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9B</w:t>
            </w:r>
          </w:p>
        </w:tc>
        <w:tc>
          <w:tcPr>
            <w:tcW w:w="1777" w:type="dxa"/>
            <w:vAlign w:val="center"/>
          </w:tcPr>
          <w:p w:rsidR="00B83AD7" w:rsidRPr="0047730D" w:rsidRDefault="00B83AD7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 xml:space="preserve">JSC </w:t>
            </w:r>
            <w:proofErr w:type="spellStart"/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FuelCyclePhysics</w:t>
            </w:r>
            <w:proofErr w:type="spellEnd"/>
          </w:p>
          <w:p w:rsidR="00B83AD7" w:rsidRPr="0047730D" w:rsidRDefault="00B83AD7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5E35DF" w:rsidRDefault="00B83AD7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JSC</w:t>
            </w:r>
          </w:p>
          <w:p w:rsidR="00B83AD7" w:rsidRPr="0047730D" w:rsidRDefault="00B83AD7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OKB GIDROPRESS</w:t>
            </w:r>
          </w:p>
          <w:p w:rsidR="00B83AD7" w:rsidRPr="0047730D" w:rsidRDefault="00B83AD7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5E35DF" w:rsidRDefault="00B83AD7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JSC</w:t>
            </w:r>
          </w:p>
          <w:p w:rsidR="00B83AD7" w:rsidRPr="0047730D" w:rsidRDefault="00B83AD7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VNIIAES</w:t>
            </w:r>
          </w:p>
          <w:p w:rsidR="00B83AD7" w:rsidRPr="0047730D" w:rsidRDefault="00B83AD7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B83AD7" w:rsidRPr="0047730D" w:rsidRDefault="00B83AD7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 xml:space="preserve">JSC </w:t>
            </w:r>
            <w:proofErr w:type="spellStart"/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Atomtechexport</w:t>
            </w:r>
            <w:proofErr w:type="spellEnd"/>
          </w:p>
          <w:p w:rsidR="00B83AD7" w:rsidRPr="0047730D" w:rsidRDefault="00B83AD7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vAlign w:val="center"/>
          </w:tcPr>
          <w:p w:rsidR="00A57948" w:rsidRPr="0047730D" w:rsidRDefault="00A57948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2016.11.01</w:t>
            </w:r>
          </w:p>
        </w:tc>
        <w:tc>
          <w:tcPr>
            <w:tcW w:w="1296" w:type="dxa"/>
            <w:vAlign w:val="center"/>
          </w:tcPr>
          <w:p w:rsidR="00A57948" w:rsidRPr="0047730D" w:rsidRDefault="00A57948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2016.11.30</w:t>
            </w:r>
          </w:p>
        </w:tc>
        <w:tc>
          <w:tcPr>
            <w:tcW w:w="2942" w:type="dxa"/>
            <w:vAlign w:val="center"/>
          </w:tcPr>
          <w:p w:rsidR="00A57948" w:rsidRPr="0047730D" w:rsidRDefault="00372B2C" w:rsidP="00372B2C">
            <w:pPr>
              <w:pStyle w:val="112"/>
              <w:numPr>
                <w:ilvl w:val="0"/>
                <w:numId w:val="2"/>
              </w:numPr>
              <w:tabs>
                <w:tab w:val="right" w:pos="13"/>
                <w:tab w:val="right" w:pos="218"/>
              </w:tabs>
              <w:ind w:left="13" w:hanging="13"/>
              <w:jc w:val="lowKashida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Neutron-Physic calculation in order to produce annual neutron-physic/fuel management documents.</w:t>
            </w:r>
          </w:p>
          <w:p w:rsidR="00372B2C" w:rsidRPr="0047730D" w:rsidRDefault="00372B2C" w:rsidP="00372B2C">
            <w:pPr>
              <w:pStyle w:val="112"/>
              <w:numPr>
                <w:ilvl w:val="0"/>
                <w:numId w:val="2"/>
              </w:numPr>
              <w:tabs>
                <w:tab w:val="right" w:pos="13"/>
                <w:tab w:val="right" w:pos="218"/>
              </w:tabs>
              <w:ind w:left="13" w:hanging="13"/>
              <w:jc w:val="lowKashida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 xml:space="preserve">Rendering consultancy services in order to produce album of neutron-physic characteristics of the reactor for the third and fourth cycle using alternative computer codes.  </w:t>
            </w:r>
          </w:p>
          <w:p w:rsidR="00372B2C" w:rsidRPr="0047730D" w:rsidRDefault="00372B2C" w:rsidP="00372B2C">
            <w:pPr>
              <w:pStyle w:val="112"/>
              <w:numPr>
                <w:ilvl w:val="0"/>
                <w:numId w:val="2"/>
              </w:numPr>
              <w:tabs>
                <w:tab w:val="right" w:pos="13"/>
                <w:tab w:val="right" w:pos="218"/>
              </w:tabs>
              <w:ind w:left="13" w:hanging="13"/>
              <w:jc w:val="lowKashida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Rendering consultancy services with probable neutron-physic calculation required for analysis of events related to safety.</w:t>
            </w:r>
          </w:p>
        </w:tc>
      </w:tr>
      <w:tr w:rsidR="001E1761" w:rsidRPr="00EF5C8C" w:rsidTr="00166648">
        <w:tc>
          <w:tcPr>
            <w:tcW w:w="694" w:type="dxa"/>
            <w:vAlign w:val="center"/>
          </w:tcPr>
          <w:p w:rsidR="00A57948" w:rsidRPr="0047730D" w:rsidRDefault="00A57948" w:rsidP="00166648">
            <w:pPr>
              <w:pStyle w:val="112"/>
              <w:numPr>
                <w:ilvl w:val="0"/>
                <w:numId w:val="1"/>
              </w:numPr>
              <w:ind w:left="470" w:hanging="357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vAlign w:val="center"/>
          </w:tcPr>
          <w:p w:rsidR="00A57948" w:rsidRPr="0047730D" w:rsidRDefault="0047730D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cstheme="minorBidi"/>
                <w:sz w:val="20"/>
                <w:szCs w:val="20"/>
                <w:lang w:val="en-US" w:bidi="fa-IR"/>
              </w:rPr>
              <w:t>Leading</w:t>
            </w:r>
            <w:r w:rsidR="00A57948" w:rsidRPr="0047730D">
              <w:rPr>
                <w:rFonts w:cstheme="minorHAnsi"/>
                <w:sz w:val="20"/>
                <w:szCs w:val="20"/>
              </w:rPr>
              <w:t xml:space="preserve"> Engineer</w:t>
            </w:r>
          </w:p>
        </w:tc>
        <w:tc>
          <w:tcPr>
            <w:tcW w:w="870" w:type="dxa"/>
            <w:vAlign w:val="center"/>
          </w:tcPr>
          <w:p w:rsidR="00A57948" w:rsidRPr="0047730D" w:rsidRDefault="00A57948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9B</w:t>
            </w:r>
          </w:p>
        </w:tc>
        <w:tc>
          <w:tcPr>
            <w:tcW w:w="1777" w:type="dxa"/>
            <w:vAlign w:val="center"/>
          </w:tcPr>
          <w:p w:rsidR="005E35DF" w:rsidRDefault="00C626A5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JSC</w:t>
            </w:r>
          </w:p>
          <w:p w:rsidR="00BE60B0" w:rsidRDefault="00C626A5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OKB GIDROPRESS</w:t>
            </w:r>
          </w:p>
          <w:p w:rsidR="00A57948" w:rsidRPr="0047730D" w:rsidRDefault="00AA57C0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AA57C0" w:rsidRPr="0047730D" w:rsidRDefault="00AA57C0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 xml:space="preserve">JSC </w:t>
            </w:r>
            <w:proofErr w:type="spellStart"/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Atomenergoproekt</w:t>
            </w:r>
            <w:proofErr w:type="spellEnd"/>
          </w:p>
        </w:tc>
        <w:tc>
          <w:tcPr>
            <w:tcW w:w="1372" w:type="dxa"/>
            <w:vAlign w:val="center"/>
          </w:tcPr>
          <w:p w:rsidR="00EB107C" w:rsidRPr="0047730D" w:rsidRDefault="00EB107C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2016.</w:t>
            </w:r>
            <w:r w:rsidR="00AC4C3F" w:rsidRPr="0047730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11</w:t>
            </w:r>
            <w:r w:rsidRPr="0047730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.</w:t>
            </w:r>
            <w:r w:rsidR="00AC4C3F" w:rsidRPr="0047730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296" w:type="dxa"/>
            <w:vAlign w:val="center"/>
          </w:tcPr>
          <w:p w:rsidR="00EB107C" w:rsidRPr="0047730D" w:rsidRDefault="00EB107C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2016.</w:t>
            </w:r>
            <w:r w:rsidR="00AC4C3F" w:rsidRPr="0047730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11</w:t>
            </w:r>
            <w:r w:rsidRPr="0047730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.30</w:t>
            </w:r>
          </w:p>
        </w:tc>
        <w:tc>
          <w:tcPr>
            <w:tcW w:w="2942" w:type="dxa"/>
            <w:vAlign w:val="center"/>
          </w:tcPr>
          <w:p w:rsidR="00395582" w:rsidRPr="0047730D" w:rsidRDefault="00395582" w:rsidP="00395582">
            <w:pPr>
              <w:pStyle w:val="112"/>
              <w:tabs>
                <w:tab w:val="right" w:pos="13"/>
                <w:tab w:val="right" w:pos="218"/>
              </w:tabs>
              <w:ind w:left="13" w:firstLine="0"/>
              <w:jc w:val="lowKashida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 xml:space="preserve">Implementation of mobile equipment envisaged in BNPP-1 stress test </w:t>
            </w:r>
            <w:proofErr w:type="spellStart"/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programme</w:t>
            </w:r>
            <w:proofErr w:type="spellEnd"/>
            <w:r w:rsidRPr="004773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</w:p>
          <w:p w:rsidR="00A57948" w:rsidRPr="0047730D" w:rsidRDefault="00A91FC1" w:rsidP="00A91FC1">
            <w:pPr>
              <w:pStyle w:val="112"/>
              <w:numPr>
                <w:ilvl w:val="0"/>
                <w:numId w:val="2"/>
              </w:numPr>
              <w:tabs>
                <w:tab w:val="right" w:pos="13"/>
                <w:tab w:val="right" w:pos="218"/>
              </w:tabs>
              <w:ind w:left="13" w:hanging="13"/>
              <w:jc w:val="lowKashida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To render technical advice related to safety analyses required for implementation of mobile equipment</w:t>
            </w:r>
            <w:r w:rsidR="00EB107C" w:rsidRPr="004773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.</w:t>
            </w:r>
          </w:p>
          <w:p w:rsidR="00B8688B" w:rsidRPr="0047730D" w:rsidRDefault="00B8688B" w:rsidP="00B8688B">
            <w:pPr>
              <w:pStyle w:val="112"/>
              <w:numPr>
                <w:ilvl w:val="0"/>
                <w:numId w:val="2"/>
              </w:numPr>
              <w:tabs>
                <w:tab w:val="right" w:pos="13"/>
                <w:tab w:val="right" w:pos="218"/>
              </w:tabs>
              <w:ind w:left="4" w:hanging="4"/>
              <w:jc w:val="lowKashida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To assist verification of basic/detailed design for implementation of mobile Diesel Pumps and obtain INRA’s permission to implement any modernization envisaged after completion of detailed design stage.</w:t>
            </w:r>
          </w:p>
        </w:tc>
      </w:tr>
      <w:tr w:rsidR="001E1761" w:rsidRPr="00EF5C8C" w:rsidTr="00166648">
        <w:tc>
          <w:tcPr>
            <w:tcW w:w="694" w:type="dxa"/>
            <w:vAlign w:val="center"/>
          </w:tcPr>
          <w:p w:rsidR="00A57948" w:rsidRPr="0047730D" w:rsidRDefault="00A57948" w:rsidP="00166648">
            <w:pPr>
              <w:pStyle w:val="112"/>
              <w:numPr>
                <w:ilvl w:val="0"/>
                <w:numId w:val="1"/>
              </w:numPr>
              <w:ind w:left="470" w:hanging="357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vAlign w:val="center"/>
          </w:tcPr>
          <w:p w:rsidR="00A57948" w:rsidRPr="0047730D" w:rsidRDefault="0047730D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cstheme="minorBidi"/>
                <w:sz w:val="20"/>
                <w:szCs w:val="20"/>
                <w:lang w:val="en-US" w:bidi="fa-IR"/>
              </w:rPr>
              <w:t>Leading</w:t>
            </w:r>
            <w:r w:rsidRPr="0047730D">
              <w:rPr>
                <w:rFonts w:cstheme="minorHAnsi"/>
                <w:sz w:val="20"/>
                <w:szCs w:val="20"/>
              </w:rPr>
              <w:t xml:space="preserve"> Engineer</w:t>
            </w:r>
          </w:p>
        </w:tc>
        <w:tc>
          <w:tcPr>
            <w:tcW w:w="870" w:type="dxa"/>
            <w:vAlign w:val="center"/>
          </w:tcPr>
          <w:p w:rsidR="001E1761" w:rsidRPr="0047730D" w:rsidRDefault="00A57948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9B</w:t>
            </w:r>
          </w:p>
        </w:tc>
        <w:tc>
          <w:tcPr>
            <w:tcW w:w="1777" w:type="dxa"/>
            <w:vAlign w:val="center"/>
          </w:tcPr>
          <w:p w:rsidR="00A57948" w:rsidRPr="0047730D" w:rsidRDefault="00C626A5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 xml:space="preserve">JSC </w:t>
            </w:r>
            <w:proofErr w:type="spellStart"/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Atomenergoproekt</w:t>
            </w:r>
            <w:proofErr w:type="spellEnd"/>
          </w:p>
        </w:tc>
        <w:tc>
          <w:tcPr>
            <w:tcW w:w="1372" w:type="dxa"/>
            <w:vAlign w:val="center"/>
          </w:tcPr>
          <w:p w:rsidR="00EB107C" w:rsidRPr="0047730D" w:rsidRDefault="00EB107C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2016.08.15</w:t>
            </w:r>
          </w:p>
        </w:tc>
        <w:tc>
          <w:tcPr>
            <w:tcW w:w="1296" w:type="dxa"/>
            <w:vAlign w:val="center"/>
          </w:tcPr>
          <w:p w:rsidR="00EB107C" w:rsidRPr="0047730D" w:rsidRDefault="00EB107C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2016.08.30</w:t>
            </w:r>
          </w:p>
        </w:tc>
        <w:tc>
          <w:tcPr>
            <w:tcW w:w="2942" w:type="dxa"/>
            <w:vAlign w:val="center"/>
          </w:tcPr>
          <w:p w:rsidR="00395582" w:rsidRPr="0047730D" w:rsidRDefault="00395582" w:rsidP="00EB107C">
            <w:pPr>
              <w:pStyle w:val="112"/>
              <w:tabs>
                <w:tab w:val="right" w:pos="13"/>
                <w:tab w:val="right" w:pos="218"/>
              </w:tabs>
              <w:ind w:left="13" w:firstLine="0"/>
              <w:jc w:val="lowKashida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 xml:space="preserve">Implementation of mobile </w:t>
            </w:r>
            <w:r w:rsidR="00EB107C"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 xml:space="preserve">Diesel Generator </w:t>
            </w: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 xml:space="preserve"> envisaged in BNPP-1 stress test </w:t>
            </w:r>
            <w:proofErr w:type="spellStart"/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programme</w:t>
            </w:r>
            <w:proofErr w:type="spellEnd"/>
            <w:r w:rsidRPr="004773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</w:p>
          <w:p w:rsidR="00911C71" w:rsidRPr="0047730D" w:rsidRDefault="00A91FC1" w:rsidP="00911C71">
            <w:pPr>
              <w:pStyle w:val="112"/>
              <w:numPr>
                <w:ilvl w:val="0"/>
                <w:numId w:val="2"/>
              </w:numPr>
              <w:tabs>
                <w:tab w:val="right" w:pos="13"/>
                <w:tab w:val="right" w:pos="218"/>
              </w:tabs>
              <w:ind w:left="4" w:hanging="4"/>
              <w:jc w:val="lowKashida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 xml:space="preserve">To review of conceptual design for implementation of mobile </w:t>
            </w:r>
            <w:r w:rsidR="00EB107C"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Diesel Generator</w:t>
            </w: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 xml:space="preserve"> as well as approve of conceptual design</w:t>
            </w:r>
          </w:p>
          <w:p w:rsidR="00A91FC1" w:rsidRPr="0047730D" w:rsidRDefault="00A91FC1" w:rsidP="00DE0D7C">
            <w:pPr>
              <w:pStyle w:val="112"/>
              <w:numPr>
                <w:ilvl w:val="0"/>
                <w:numId w:val="2"/>
              </w:numPr>
              <w:tabs>
                <w:tab w:val="right" w:pos="13"/>
                <w:tab w:val="right" w:pos="218"/>
              </w:tabs>
              <w:ind w:left="4" w:hanging="4"/>
              <w:jc w:val="lowKashida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 xml:space="preserve">To assist verification of basic/detailed design for implementation of mobile </w:t>
            </w:r>
            <w:r w:rsidR="00911C71"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Diesel Generator</w:t>
            </w: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 xml:space="preserve"> and obtain INRA’s permission to implement any </w:t>
            </w:r>
            <w:r w:rsidRPr="0047730D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lastRenderedPageBreak/>
              <w:t>modernization envisaged after completion of detailed design stage.</w:t>
            </w:r>
          </w:p>
        </w:tc>
      </w:tr>
      <w:tr w:rsidR="00852AE3" w:rsidRPr="00EF5C8C" w:rsidTr="00166648">
        <w:tc>
          <w:tcPr>
            <w:tcW w:w="694" w:type="dxa"/>
            <w:vAlign w:val="center"/>
          </w:tcPr>
          <w:p w:rsidR="00852AE3" w:rsidRPr="0047730D" w:rsidRDefault="00852AE3" w:rsidP="00166648">
            <w:pPr>
              <w:pStyle w:val="112"/>
              <w:numPr>
                <w:ilvl w:val="0"/>
                <w:numId w:val="1"/>
              </w:numPr>
              <w:ind w:left="470" w:hanging="357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vAlign w:val="center"/>
          </w:tcPr>
          <w:p w:rsidR="00852AE3" w:rsidRPr="0047730D" w:rsidRDefault="00852AE3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cstheme="minorBidi"/>
                <w:sz w:val="20"/>
                <w:szCs w:val="20"/>
                <w:lang w:val="en-US" w:bidi="fa-IR"/>
              </w:rPr>
              <w:t>Leading</w:t>
            </w:r>
            <w:r w:rsidRPr="0047730D">
              <w:rPr>
                <w:rFonts w:cstheme="minorHAnsi"/>
                <w:sz w:val="20"/>
                <w:szCs w:val="20"/>
              </w:rPr>
              <w:t xml:space="preserve"> Engineer</w:t>
            </w:r>
          </w:p>
        </w:tc>
        <w:tc>
          <w:tcPr>
            <w:tcW w:w="870" w:type="dxa"/>
            <w:vAlign w:val="center"/>
          </w:tcPr>
          <w:p w:rsidR="00852AE3" w:rsidRPr="0047730D" w:rsidRDefault="00852AE3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9B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52AE3" w:rsidRDefault="00852AE3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794123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JSC</w:t>
            </w:r>
          </w:p>
          <w:p w:rsidR="00BE60B0" w:rsidRDefault="00852AE3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794123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VNIIAES</w:t>
            </w:r>
          </w:p>
          <w:p w:rsidR="00852AE3" w:rsidRDefault="00852AE3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val="en-US"/>
              </w:rPr>
            </w:pPr>
            <w:r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852AE3" w:rsidRPr="0047730D" w:rsidRDefault="00852AE3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794123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 xml:space="preserve">JSC </w:t>
            </w:r>
            <w:proofErr w:type="spellStart"/>
            <w:r w:rsidRPr="00794123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Atomenergoproekt</w:t>
            </w:r>
            <w:proofErr w:type="spellEnd"/>
          </w:p>
        </w:tc>
        <w:tc>
          <w:tcPr>
            <w:tcW w:w="1372" w:type="dxa"/>
            <w:shd w:val="clear" w:color="auto" w:fill="auto"/>
            <w:vAlign w:val="center"/>
          </w:tcPr>
          <w:p w:rsidR="00852AE3" w:rsidRPr="0047730D" w:rsidRDefault="00852AE3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2016.09.01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AE3" w:rsidRPr="0047730D" w:rsidRDefault="00852AE3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2016.10.31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52AE3" w:rsidRPr="005A0D4F" w:rsidRDefault="00852AE3" w:rsidP="005A0D4F">
            <w:pPr>
              <w:pStyle w:val="112"/>
              <w:numPr>
                <w:ilvl w:val="0"/>
                <w:numId w:val="2"/>
              </w:numPr>
              <w:tabs>
                <w:tab w:val="right" w:pos="13"/>
                <w:tab w:val="right" w:pos="218"/>
              </w:tabs>
              <w:ind w:left="4" w:hanging="4"/>
              <w:jc w:val="lowKashida"/>
              <w:rPr>
                <w:rFonts w:cs="B Nazanin"/>
                <w:color w:val="000000" w:themeColor="text1"/>
                <w:sz w:val="20"/>
                <w:szCs w:val="20"/>
                <w:rtl/>
                <w:lang w:val="en-US"/>
              </w:rPr>
            </w:pPr>
            <w:r w:rsidRPr="005A0D4F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Technical assistance/consultation for development of a data bank based on ageing management program requirements.</w:t>
            </w:r>
          </w:p>
          <w:p w:rsidR="00852AE3" w:rsidRPr="005A0D4F" w:rsidRDefault="00852AE3" w:rsidP="005A0D4F">
            <w:pPr>
              <w:pStyle w:val="112"/>
              <w:numPr>
                <w:ilvl w:val="0"/>
                <w:numId w:val="2"/>
              </w:numPr>
              <w:tabs>
                <w:tab w:val="right" w:pos="13"/>
                <w:tab w:val="right" w:pos="218"/>
              </w:tabs>
              <w:ind w:left="4" w:hanging="4"/>
              <w:jc w:val="lowKashida"/>
              <w:rPr>
                <w:rFonts w:cs="B Nazanin"/>
                <w:color w:val="000000" w:themeColor="text1"/>
                <w:sz w:val="20"/>
                <w:szCs w:val="20"/>
                <w:rtl/>
                <w:lang w:val="en-US"/>
              </w:rPr>
            </w:pPr>
            <w:r w:rsidRPr="005A0D4F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Technical assistance/consultation   for codification of systems and components selection procedure by consideration of safety requirement in ageing management program.</w:t>
            </w:r>
          </w:p>
          <w:p w:rsidR="00852AE3" w:rsidRPr="005A0D4F" w:rsidRDefault="00852AE3" w:rsidP="005A0D4F">
            <w:pPr>
              <w:pStyle w:val="112"/>
              <w:numPr>
                <w:ilvl w:val="0"/>
                <w:numId w:val="2"/>
              </w:numPr>
              <w:tabs>
                <w:tab w:val="right" w:pos="13"/>
                <w:tab w:val="right" w:pos="218"/>
              </w:tabs>
              <w:ind w:left="4" w:hanging="4"/>
              <w:jc w:val="lowKashida"/>
              <w:rPr>
                <w:rFonts w:cs="B Nazanin"/>
                <w:color w:val="000000" w:themeColor="text1"/>
                <w:sz w:val="20"/>
                <w:szCs w:val="20"/>
                <w:rtl/>
                <w:lang w:val="en-US"/>
              </w:rPr>
            </w:pPr>
            <w:r w:rsidRPr="005A0D4F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Technical assistance/consultation for selection and verification of engineering software to simulate and analysis of issues related to ageing mechanism, and classification of them based on ageing management program requirements.</w:t>
            </w:r>
          </w:p>
          <w:p w:rsidR="00852AE3" w:rsidRPr="005A0D4F" w:rsidRDefault="00852AE3" w:rsidP="005A0D4F">
            <w:pPr>
              <w:pStyle w:val="112"/>
              <w:numPr>
                <w:ilvl w:val="0"/>
                <w:numId w:val="2"/>
              </w:numPr>
              <w:tabs>
                <w:tab w:val="right" w:pos="13"/>
                <w:tab w:val="right" w:pos="218"/>
              </w:tabs>
              <w:ind w:left="4" w:hanging="4"/>
              <w:jc w:val="lowKashida"/>
              <w:rPr>
                <w:rFonts w:cs="B Nazanin"/>
                <w:color w:val="000000" w:themeColor="text1"/>
                <w:sz w:val="20"/>
                <w:szCs w:val="20"/>
                <w:rtl/>
                <w:lang w:val="en-US"/>
              </w:rPr>
            </w:pPr>
            <w:r w:rsidRPr="005A0D4F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Technical assistance/consultation for selection and verification of standard methods to estimate time limited ageing effect for selected systems and components in ageing management program (TLAA).</w:t>
            </w:r>
          </w:p>
          <w:p w:rsidR="00852AE3" w:rsidRPr="005A0D4F" w:rsidRDefault="00852AE3" w:rsidP="005A0D4F">
            <w:pPr>
              <w:pStyle w:val="112"/>
              <w:numPr>
                <w:ilvl w:val="0"/>
                <w:numId w:val="2"/>
              </w:numPr>
              <w:tabs>
                <w:tab w:val="right" w:pos="13"/>
                <w:tab w:val="right" w:pos="218"/>
              </w:tabs>
              <w:ind w:left="4" w:hanging="4"/>
              <w:jc w:val="lowKashida"/>
              <w:rPr>
                <w:rFonts w:cs="B Nazanin"/>
                <w:color w:val="000000" w:themeColor="text1"/>
                <w:sz w:val="20"/>
                <w:szCs w:val="20"/>
                <w:rtl/>
                <w:lang w:val="en-US"/>
              </w:rPr>
            </w:pPr>
            <w:r w:rsidRPr="005A0D4F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Technical assistance/consultation for establishing an effective ageing management program of selected systems and components.</w:t>
            </w:r>
          </w:p>
          <w:p w:rsidR="00852AE3" w:rsidRPr="005A0D4F" w:rsidRDefault="00852AE3" w:rsidP="005A0D4F">
            <w:pPr>
              <w:pStyle w:val="112"/>
              <w:numPr>
                <w:ilvl w:val="0"/>
                <w:numId w:val="2"/>
              </w:numPr>
              <w:tabs>
                <w:tab w:val="right" w:pos="13"/>
                <w:tab w:val="right" w:pos="218"/>
              </w:tabs>
              <w:ind w:left="4" w:hanging="4"/>
              <w:jc w:val="lowKashida"/>
              <w:rPr>
                <w:rFonts w:cs="B Nazanin"/>
                <w:color w:val="000000" w:themeColor="text1"/>
                <w:sz w:val="20"/>
                <w:szCs w:val="20"/>
                <w:rtl/>
                <w:lang w:val="en-US"/>
              </w:rPr>
            </w:pPr>
            <w:r w:rsidRPr="005A0D4F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Technical assistance/consultation to establish guidelines for periodic review and assessment of ageing management program during BNPP lifetime.</w:t>
            </w:r>
          </w:p>
          <w:p w:rsidR="00852AE3" w:rsidRPr="0047730D" w:rsidRDefault="00852AE3" w:rsidP="005A0D4F">
            <w:pPr>
              <w:pStyle w:val="112"/>
              <w:numPr>
                <w:ilvl w:val="0"/>
                <w:numId w:val="2"/>
              </w:numPr>
              <w:tabs>
                <w:tab w:val="right" w:pos="13"/>
                <w:tab w:val="right" w:pos="218"/>
              </w:tabs>
              <w:ind w:left="4" w:hanging="4"/>
              <w:jc w:val="lowKashida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5A0D4F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Verification and benchmarking of activities and guidelines developed for BNPP ageing management program.</w:t>
            </w:r>
          </w:p>
        </w:tc>
      </w:tr>
      <w:tr w:rsidR="00852AE3" w:rsidRPr="00EF5C8C" w:rsidTr="00166648">
        <w:tc>
          <w:tcPr>
            <w:tcW w:w="694" w:type="dxa"/>
            <w:vAlign w:val="center"/>
          </w:tcPr>
          <w:p w:rsidR="00852AE3" w:rsidRPr="0047730D" w:rsidRDefault="00852AE3" w:rsidP="00166648">
            <w:pPr>
              <w:pStyle w:val="112"/>
              <w:numPr>
                <w:ilvl w:val="0"/>
                <w:numId w:val="1"/>
              </w:numPr>
              <w:ind w:left="470" w:hanging="357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vAlign w:val="center"/>
          </w:tcPr>
          <w:p w:rsidR="00852AE3" w:rsidRPr="0047730D" w:rsidRDefault="00852AE3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cstheme="minorBidi"/>
                <w:sz w:val="20"/>
                <w:szCs w:val="20"/>
                <w:lang w:val="en-US" w:bidi="fa-IR"/>
              </w:rPr>
              <w:t>Leading</w:t>
            </w:r>
            <w:r w:rsidRPr="0047730D">
              <w:rPr>
                <w:rFonts w:cstheme="minorHAnsi"/>
                <w:sz w:val="20"/>
                <w:szCs w:val="20"/>
              </w:rPr>
              <w:t xml:space="preserve"> Engineer</w:t>
            </w:r>
          </w:p>
        </w:tc>
        <w:tc>
          <w:tcPr>
            <w:tcW w:w="870" w:type="dxa"/>
            <w:vAlign w:val="center"/>
          </w:tcPr>
          <w:p w:rsidR="00852AE3" w:rsidRPr="0047730D" w:rsidRDefault="00852AE3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9B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52AE3" w:rsidRDefault="00852AE3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Kurchatov</w:t>
            </w:r>
            <w:proofErr w:type="spellEnd"/>
          </w:p>
          <w:p w:rsidR="00852AE3" w:rsidRDefault="00852AE3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Institute</w:t>
            </w:r>
          </w:p>
          <w:p w:rsidR="00852AE3" w:rsidRDefault="00852AE3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852AE3" w:rsidRDefault="00852AE3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SRISM</w:t>
            </w:r>
          </w:p>
          <w:p w:rsidR="00852AE3" w:rsidRDefault="00852AE3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Prometey</w:t>
            </w:r>
            <w:proofErr w:type="spellEnd"/>
          </w:p>
          <w:p w:rsidR="00852AE3" w:rsidRDefault="00852AE3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852AE3" w:rsidRDefault="00852AE3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FD0393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JSC</w:t>
            </w:r>
          </w:p>
          <w:p w:rsidR="00852AE3" w:rsidRPr="0047730D" w:rsidRDefault="00852AE3" w:rsidP="00166648">
            <w:pPr>
              <w:pStyle w:val="112"/>
              <w:ind w:firstLine="0"/>
              <w:jc w:val="center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FD0393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VNIIAES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52AE3" w:rsidRPr="0047730D" w:rsidRDefault="00852AE3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2016.08.01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AE3" w:rsidRPr="0047730D" w:rsidRDefault="00852AE3" w:rsidP="00166648">
            <w:pPr>
              <w:pStyle w:val="112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773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2016.08.31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52AE3" w:rsidRPr="005A0D4F" w:rsidRDefault="00852AE3" w:rsidP="005A0D4F">
            <w:pPr>
              <w:pStyle w:val="112"/>
              <w:numPr>
                <w:ilvl w:val="0"/>
                <w:numId w:val="2"/>
              </w:numPr>
              <w:tabs>
                <w:tab w:val="right" w:pos="13"/>
                <w:tab w:val="right" w:pos="218"/>
              </w:tabs>
              <w:ind w:left="4" w:hanging="4"/>
              <w:jc w:val="lowKashida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5A0D4F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Technical assistance/consultation for specification of type and requirement concerning tests which shall be carried out on the surveillance specimens.</w:t>
            </w:r>
          </w:p>
          <w:p w:rsidR="00852AE3" w:rsidRPr="005A0D4F" w:rsidRDefault="00852AE3" w:rsidP="005A0D4F">
            <w:pPr>
              <w:pStyle w:val="112"/>
              <w:numPr>
                <w:ilvl w:val="0"/>
                <w:numId w:val="2"/>
              </w:numPr>
              <w:tabs>
                <w:tab w:val="right" w:pos="13"/>
                <w:tab w:val="right" w:pos="218"/>
              </w:tabs>
              <w:ind w:left="4" w:hanging="4"/>
              <w:jc w:val="lowKashida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5A0D4F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 xml:space="preserve">Technical assistance/consultation for specification of safety requirements; design, commissioning and operation criteria for the hot lab.  </w:t>
            </w:r>
          </w:p>
          <w:p w:rsidR="00852AE3" w:rsidRPr="005A0D4F" w:rsidRDefault="00852AE3" w:rsidP="005A0D4F">
            <w:pPr>
              <w:pStyle w:val="112"/>
              <w:numPr>
                <w:ilvl w:val="0"/>
                <w:numId w:val="2"/>
              </w:numPr>
              <w:tabs>
                <w:tab w:val="right" w:pos="13"/>
                <w:tab w:val="right" w:pos="218"/>
              </w:tabs>
              <w:ind w:left="4" w:hanging="4"/>
              <w:jc w:val="lowKashida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5A0D4F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Validation of activities and rendering technical assistances relating to calculation of maximum activity and chemical composition of surveillance specimens for design hot cells and calculation of shielding thickness.   </w:t>
            </w:r>
          </w:p>
          <w:p w:rsidR="00852AE3" w:rsidRPr="005A0D4F" w:rsidRDefault="00852AE3" w:rsidP="005A0D4F">
            <w:pPr>
              <w:pStyle w:val="112"/>
              <w:numPr>
                <w:ilvl w:val="0"/>
                <w:numId w:val="2"/>
              </w:numPr>
              <w:tabs>
                <w:tab w:val="right" w:pos="13"/>
                <w:tab w:val="right" w:pos="218"/>
              </w:tabs>
              <w:ind w:left="4" w:hanging="4"/>
              <w:jc w:val="lowKashida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5A0D4F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Cooperation and rendering technical consultations on recognition and identifying processes related to transportation, separation and performing mechanical tests of surveillance specimens.</w:t>
            </w:r>
          </w:p>
          <w:p w:rsidR="00852AE3" w:rsidRPr="005A0D4F" w:rsidRDefault="00852AE3" w:rsidP="005A0D4F">
            <w:pPr>
              <w:pStyle w:val="112"/>
              <w:numPr>
                <w:ilvl w:val="0"/>
                <w:numId w:val="2"/>
              </w:numPr>
              <w:tabs>
                <w:tab w:val="right" w:pos="13"/>
                <w:tab w:val="right" w:pos="218"/>
              </w:tabs>
              <w:ind w:left="4" w:hanging="4"/>
              <w:jc w:val="lowKashida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5A0D4F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Cooperation and rendering technical consultations on recognition of required equipment and identification of technical specifications, description of their tasks and equipment suppliers.</w:t>
            </w:r>
          </w:p>
          <w:p w:rsidR="00852AE3" w:rsidRPr="005A0D4F" w:rsidRDefault="00852AE3" w:rsidP="005A0D4F">
            <w:pPr>
              <w:pStyle w:val="112"/>
              <w:numPr>
                <w:ilvl w:val="0"/>
                <w:numId w:val="2"/>
              </w:numPr>
              <w:tabs>
                <w:tab w:val="right" w:pos="13"/>
                <w:tab w:val="right" w:pos="218"/>
              </w:tabs>
              <w:ind w:left="4" w:hanging="4"/>
              <w:jc w:val="lowKashida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5A0D4F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Cooperation and rendering technical consultations on technical and economical assessment and analyses in order to commission the hot laboratory.</w:t>
            </w:r>
          </w:p>
          <w:p w:rsidR="00852AE3" w:rsidRPr="005A0D4F" w:rsidRDefault="00852AE3" w:rsidP="005A0D4F">
            <w:pPr>
              <w:pStyle w:val="112"/>
              <w:numPr>
                <w:ilvl w:val="0"/>
                <w:numId w:val="2"/>
              </w:numPr>
              <w:tabs>
                <w:tab w:val="right" w:pos="13"/>
                <w:tab w:val="right" w:pos="218"/>
              </w:tabs>
              <w:ind w:left="4" w:hanging="4"/>
              <w:jc w:val="lowKashida"/>
              <w:rPr>
                <w:rFonts w:cs="B Nazanin"/>
                <w:color w:val="000000" w:themeColor="text1"/>
                <w:sz w:val="20"/>
                <w:szCs w:val="20"/>
                <w:lang w:val="en-US"/>
              </w:rPr>
            </w:pPr>
            <w:r w:rsidRPr="005A0D4F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>Cooperation and rendering technical consultations on analysis methods of the results of reactor surveillance specimen’s tests and how to use them to improve and modify reactor operational procedures.</w:t>
            </w:r>
          </w:p>
          <w:p w:rsidR="00852AE3" w:rsidRPr="0047730D" w:rsidRDefault="00852AE3" w:rsidP="005A0D4F">
            <w:pPr>
              <w:pStyle w:val="112"/>
              <w:numPr>
                <w:ilvl w:val="0"/>
                <w:numId w:val="2"/>
              </w:numPr>
              <w:tabs>
                <w:tab w:val="right" w:pos="13"/>
                <w:tab w:val="right" w:pos="218"/>
              </w:tabs>
              <w:ind w:left="4" w:hanging="4"/>
              <w:jc w:val="lowKashida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5A0D4F">
              <w:rPr>
                <w:rFonts w:cs="B Nazanin"/>
                <w:color w:val="000000" w:themeColor="text1"/>
                <w:sz w:val="20"/>
                <w:szCs w:val="20"/>
                <w:lang w:val="en-US"/>
              </w:rPr>
              <w:t xml:space="preserve">Verification and Validation of all activities and developed guidelines relating to equipping and commissioning of the hot lab.  </w:t>
            </w:r>
          </w:p>
        </w:tc>
      </w:tr>
    </w:tbl>
    <w:p w:rsidR="00DC2E7F" w:rsidRDefault="00DC2E7F" w:rsidP="00F06D0E">
      <w:pPr>
        <w:pStyle w:val="112"/>
        <w:rPr>
          <w:lang w:val="en-US"/>
        </w:rPr>
      </w:pPr>
    </w:p>
    <w:p w:rsidR="00DC2E7F" w:rsidRPr="006F29E6" w:rsidRDefault="00DC2E7F" w:rsidP="00F06D0E">
      <w:pPr>
        <w:pStyle w:val="112"/>
        <w:rPr>
          <w:lang w:val="en-US"/>
        </w:rPr>
      </w:pPr>
    </w:p>
    <w:p w:rsidR="00701113" w:rsidRPr="006F29E6" w:rsidRDefault="00701113" w:rsidP="00701113">
      <w:pPr>
        <w:rPr>
          <w:lang w:val="en-US"/>
        </w:rPr>
      </w:pPr>
    </w:p>
    <w:p w:rsidR="00701113" w:rsidRPr="00064985" w:rsidRDefault="00701113" w:rsidP="00701113">
      <w:pPr>
        <w:rPr>
          <w:lang w:val="en-US"/>
        </w:rPr>
      </w:pPr>
    </w:p>
    <w:p w:rsidR="00852AE3" w:rsidRPr="00852AE3" w:rsidRDefault="00852AE3" w:rsidP="00852AE3">
      <w:pPr>
        <w:rPr>
          <w:lang w:val="en-US"/>
        </w:rPr>
      </w:pPr>
      <w:bookmarkStart w:id="1" w:name="_GoBack"/>
      <w:bookmarkEnd w:id="1"/>
    </w:p>
    <w:sectPr w:rsidR="00852AE3" w:rsidRPr="00852AE3" w:rsidSect="00F960E2">
      <w:footerReference w:type="default" r:id="rId8"/>
      <w:pgSz w:w="11906" w:h="16838"/>
      <w:pgMar w:top="1440" w:right="1440" w:bottom="144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588" w:rsidRDefault="003F3588" w:rsidP="0029015B">
      <w:pPr>
        <w:spacing w:line="240" w:lineRule="auto"/>
      </w:pPr>
      <w:r>
        <w:separator/>
      </w:r>
    </w:p>
  </w:endnote>
  <w:endnote w:type="continuationSeparator" w:id="0">
    <w:p w:rsidR="003F3588" w:rsidRDefault="003F3588" w:rsidP="00290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86925722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960E2" w:rsidRPr="00F960E2" w:rsidRDefault="00F960E2" w:rsidP="00F960E2">
            <w:pPr>
              <w:pStyle w:val="Footer"/>
              <w:jc w:val="center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t xml:space="preserve">Page </w:t>
            </w:r>
            <w:r w:rsidRPr="00F960E2">
              <w:rPr>
                <w:sz w:val="20"/>
                <w:szCs w:val="20"/>
              </w:rPr>
              <w:fldChar w:fldCharType="begin"/>
            </w:r>
            <w:r w:rsidRPr="00F960E2">
              <w:rPr>
                <w:sz w:val="20"/>
                <w:szCs w:val="20"/>
              </w:rPr>
              <w:instrText xml:space="preserve"> PAGE </w:instrText>
            </w:r>
            <w:r w:rsidRPr="00F960E2">
              <w:rPr>
                <w:sz w:val="20"/>
                <w:szCs w:val="20"/>
              </w:rPr>
              <w:fldChar w:fldCharType="separate"/>
            </w:r>
            <w:r w:rsidR="001A0B22">
              <w:rPr>
                <w:noProof/>
                <w:sz w:val="20"/>
                <w:szCs w:val="20"/>
              </w:rPr>
              <w:t>4</w:t>
            </w:r>
            <w:r w:rsidRPr="00F960E2">
              <w:rPr>
                <w:sz w:val="20"/>
                <w:szCs w:val="20"/>
              </w:rPr>
              <w:fldChar w:fldCharType="end"/>
            </w:r>
            <w:r w:rsidRPr="00F960E2">
              <w:rPr>
                <w:sz w:val="20"/>
                <w:szCs w:val="20"/>
              </w:rPr>
              <w:t xml:space="preserve"> of </w:t>
            </w:r>
            <w:r w:rsidRPr="00F960E2">
              <w:rPr>
                <w:sz w:val="20"/>
                <w:szCs w:val="20"/>
              </w:rPr>
              <w:fldChar w:fldCharType="begin"/>
            </w:r>
            <w:r w:rsidRPr="00F960E2">
              <w:rPr>
                <w:sz w:val="20"/>
                <w:szCs w:val="20"/>
              </w:rPr>
              <w:instrText xml:space="preserve"> NUMPAGES  </w:instrText>
            </w:r>
            <w:r w:rsidRPr="00F960E2">
              <w:rPr>
                <w:sz w:val="20"/>
                <w:szCs w:val="20"/>
              </w:rPr>
              <w:fldChar w:fldCharType="separate"/>
            </w:r>
            <w:r w:rsidR="001A0B22">
              <w:rPr>
                <w:noProof/>
                <w:sz w:val="20"/>
                <w:szCs w:val="20"/>
              </w:rPr>
              <w:t>4</w:t>
            </w:r>
            <w:r w:rsidRPr="00F960E2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F960E2" w:rsidRDefault="00F960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588" w:rsidRDefault="003F3588" w:rsidP="0029015B">
      <w:pPr>
        <w:spacing w:line="240" w:lineRule="auto"/>
      </w:pPr>
      <w:r>
        <w:separator/>
      </w:r>
    </w:p>
  </w:footnote>
  <w:footnote w:type="continuationSeparator" w:id="0">
    <w:p w:rsidR="003F3588" w:rsidRDefault="003F3588" w:rsidP="002901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4404"/>
    <w:multiLevelType w:val="hybridMultilevel"/>
    <w:tmpl w:val="A618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E4AAE"/>
    <w:multiLevelType w:val="hybridMultilevel"/>
    <w:tmpl w:val="9364E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B4912"/>
    <w:multiLevelType w:val="hybridMultilevel"/>
    <w:tmpl w:val="D9E01876"/>
    <w:lvl w:ilvl="0" w:tplc="03E26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D32EF"/>
    <w:multiLevelType w:val="hybridMultilevel"/>
    <w:tmpl w:val="761CA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B3E7C"/>
    <w:multiLevelType w:val="hybridMultilevel"/>
    <w:tmpl w:val="06A2C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36"/>
    <w:rsid w:val="00131327"/>
    <w:rsid w:val="00146810"/>
    <w:rsid w:val="00160E05"/>
    <w:rsid w:val="00166648"/>
    <w:rsid w:val="001A0B22"/>
    <w:rsid w:val="001C2D54"/>
    <w:rsid w:val="001D2C8B"/>
    <w:rsid w:val="001E1761"/>
    <w:rsid w:val="00202185"/>
    <w:rsid w:val="00271571"/>
    <w:rsid w:val="0029015B"/>
    <w:rsid w:val="00291EC3"/>
    <w:rsid w:val="002D0675"/>
    <w:rsid w:val="00360B99"/>
    <w:rsid w:val="00372B2C"/>
    <w:rsid w:val="00395582"/>
    <w:rsid w:val="003F3588"/>
    <w:rsid w:val="00435757"/>
    <w:rsid w:val="0047730D"/>
    <w:rsid w:val="004A1047"/>
    <w:rsid w:val="0053170D"/>
    <w:rsid w:val="005A0D4F"/>
    <w:rsid w:val="005E35DF"/>
    <w:rsid w:val="005F4E72"/>
    <w:rsid w:val="00612392"/>
    <w:rsid w:val="006A3D1F"/>
    <w:rsid w:val="006D6685"/>
    <w:rsid w:val="00701113"/>
    <w:rsid w:val="00701782"/>
    <w:rsid w:val="00772CE7"/>
    <w:rsid w:val="00794123"/>
    <w:rsid w:val="007C420C"/>
    <w:rsid w:val="007F4231"/>
    <w:rsid w:val="00852AE3"/>
    <w:rsid w:val="008A18AC"/>
    <w:rsid w:val="008E4D40"/>
    <w:rsid w:val="00911C71"/>
    <w:rsid w:val="00933F19"/>
    <w:rsid w:val="009F74CF"/>
    <w:rsid w:val="00A57948"/>
    <w:rsid w:val="00A878C1"/>
    <w:rsid w:val="00A91FC1"/>
    <w:rsid w:val="00AA57C0"/>
    <w:rsid w:val="00AC4C3F"/>
    <w:rsid w:val="00B1232E"/>
    <w:rsid w:val="00B83AD7"/>
    <w:rsid w:val="00B8560B"/>
    <w:rsid w:val="00B8688B"/>
    <w:rsid w:val="00B97122"/>
    <w:rsid w:val="00BE60B0"/>
    <w:rsid w:val="00BF2D21"/>
    <w:rsid w:val="00C23D36"/>
    <w:rsid w:val="00C31AC1"/>
    <w:rsid w:val="00C626A5"/>
    <w:rsid w:val="00C85425"/>
    <w:rsid w:val="00C95216"/>
    <w:rsid w:val="00D357F2"/>
    <w:rsid w:val="00DC2E7F"/>
    <w:rsid w:val="00DC5CA0"/>
    <w:rsid w:val="00DC6D30"/>
    <w:rsid w:val="00DE0D7C"/>
    <w:rsid w:val="00E31CDC"/>
    <w:rsid w:val="00E34E8C"/>
    <w:rsid w:val="00E42189"/>
    <w:rsid w:val="00EB107C"/>
    <w:rsid w:val="00EF5C8C"/>
    <w:rsid w:val="00F06D0E"/>
    <w:rsid w:val="00F64D7D"/>
    <w:rsid w:val="00F960E2"/>
    <w:rsid w:val="00FD0393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113"/>
    <w:pPr>
      <w:spacing w:after="0"/>
      <w:jc w:val="both"/>
    </w:pPr>
    <w:rPr>
      <w:rFonts w:ascii="Times New Roman" w:eastAsia="SimSun" w:hAnsi="Times New Roman" w:cs="Times New Roman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Б/н"/>
    <w:basedOn w:val="Normal"/>
    <w:qFormat/>
    <w:rsid w:val="00701113"/>
    <w:pPr>
      <w:spacing w:before="240" w:after="360"/>
      <w:jc w:val="center"/>
      <w:outlineLvl w:val="0"/>
    </w:pPr>
    <w:rPr>
      <w:b/>
      <w:sz w:val="28"/>
    </w:rPr>
  </w:style>
  <w:style w:type="paragraph" w:customStyle="1" w:styleId="112">
    <w:name w:val="Текст 1 12 п"/>
    <w:basedOn w:val="Normal"/>
    <w:qFormat/>
    <w:rsid w:val="00701113"/>
    <w:pPr>
      <w:ind w:firstLine="709"/>
    </w:pPr>
  </w:style>
  <w:style w:type="paragraph" w:customStyle="1" w:styleId="12">
    <w:name w:val="По Центру 12 п Ж"/>
    <w:basedOn w:val="Normal"/>
    <w:qFormat/>
    <w:rsid w:val="00701113"/>
    <w:pPr>
      <w:jc w:val="center"/>
    </w:pPr>
    <w:rPr>
      <w:b/>
    </w:rPr>
  </w:style>
  <w:style w:type="paragraph" w:customStyle="1" w:styleId="1120">
    <w:name w:val="Текст 1 12 п + полужирный"/>
    <w:basedOn w:val="112"/>
    <w:rsid w:val="00701113"/>
    <w:pPr>
      <w:spacing w:before="240" w:after="120"/>
    </w:pPr>
    <w:rPr>
      <w:b/>
      <w:bCs/>
    </w:rPr>
  </w:style>
  <w:style w:type="table" w:styleId="TableGrid">
    <w:name w:val="Table Grid"/>
    <w:basedOn w:val="TableNormal"/>
    <w:uiPriority w:val="59"/>
    <w:rsid w:val="00DC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01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15B"/>
    <w:rPr>
      <w:rFonts w:ascii="Times New Roman" w:eastAsia="SimSu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unhideWhenUsed/>
    <w:rsid w:val="002901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15B"/>
    <w:rPr>
      <w:rFonts w:ascii="Times New Roman" w:eastAsia="SimSun" w:hAnsi="Times New Roman" w:cs="Times New Roman"/>
      <w:sz w:val="24"/>
      <w:szCs w:val="24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5A0D4F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5A0D4F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113"/>
    <w:pPr>
      <w:spacing w:after="0"/>
      <w:jc w:val="both"/>
    </w:pPr>
    <w:rPr>
      <w:rFonts w:ascii="Times New Roman" w:eastAsia="SimSun" w:hAnsi="Times New Roman" w:cs="Times New Roman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Б/н"/>
    <w:basedOn w:val="Normal"/>
    <w:qFormat/>
    <w:rsid w:val="00701113"/>
    <w:pPr>
      <w:spacing w:before="240" w:after="360"/>
      <w:jc w:val="center"/>
      <w:outlineLvl w:val="0"/>
    </w:pPr>
    <w:rPr>
      <w:b/>
      <w:sz w:val="28"/>
    </w:rPr>
  </w:style>
  <w:style w:type="paragraph" w:customStyle="1" w:styleId="112">
    <w:name w:val="Текст 1 12 п"/>
    <w:basedOn w:val="Normal"/>
    <w:qFormat/>
    <w:rsid w:val="00701113"/>
    <w:pPr>
      <w:ind w:firstLine="709"/>
    </w:pPr>
  </w:style>
  <w:style w:type="paragraph" w:customStyle="1" w:styleId="12">
    <w:name w:val="По Центру 12 п Ж"/>
    <w:basedOn w:val="Normal"/>
    <w:qFormat/>
    <w:rsid w:val="00701113"/>
    <w:pPr>
      <w:jc w:val="center"/>
    </w:pPr>
    <w:rPr>
      <w:b/>
    </w:rPr>
  </w:style>
  <w:style w:type="paragraph" w:customStyle="1" w:styleId="1120">
    <w:name w:val="Текст 1 12 п + полужирный"/>
    <w:basedOn w:val="112"/>
    <w:rsid w:val="00701113"/>
    <w:pPr>
      <w:spacing w:before="240" w:after="120"/>
    </w:pPr>
    <w:rPr>
      <w:b/>
      <w:bCs/>
    </w:rPr>
  </w:style>
  <w:style w:type="table" w:styleId="TableGrid">
    <w:name w:val="Table Grid"/>
    <w:basedOn w:val="TableNormal"/>
    <w:uiPriority w:val="59"/>
    <w:rsid w:val="00DC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01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15B"/>
    <w:rPr>
      <w:rFonts w:ascii="Times New Roman" w:eastAsia="SimSu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unhideWhenUsed/>
    <w:rsid w:val="002901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15B"/>
    <w:rPr>
      <w:rFonts w:ascii="Times New Roman" w:eastAsia="SimSun" w:hAnsi="Times New Roman" w:cs="Times New Roman"/>
      <w:sz w:val="24"/>
      <w:szCs w:val="24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5A0D4F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5A0D4F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Ghods , Mohammad</dc:creator>
  <cp:keywords/>
  <dc:description/>
  <cp:lastModifiedBy>Ghods , Mohammad</cp:lastModifiedBy>
  <cp:revision>77</cp:revision>
  <dcterms:created xsi:type="dcterms:W3CDTF">2016-06-30T07:58:00Z</dcterms:created>
  <dcterms:modified xsi:type="dcterms:W3CDTF">2016-07-10T11:12:00Z</dcterms:modified>
</cp:coreProperties>
</file>