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49" w:rsidRPr="00823B49" w:rsidRDefault="00AA4B20" w:rsidP="00AA4B20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9C50C0" wp14:editId="6BD2B85A">
            <wp:simplePos x="0" y="0"/>
            <wp:positionH relativeFrom="column">
              <wp:posOffset>133350</wp:posOffset>
            </wp:positionH>
            <wp:positionV relativeFrom="paragraph">
              <wp:posOffset>46990</wp:posOffset>
            </wp:positionV>
            <wp:extent cx="6300470" cy="4030345"/>
            <wp:effectExtent l="0" t="0" r="508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ид с ок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6A8">
        <w:rPr>
          <w:rFonts w:ascii="Times New Roman" w:hAnsi="Times New Roman" w:cs="Times New Roman"/>
          <w:b/>
          <w:sz w:val="28"/>
          <w:szCs w:val="28"/>
          <w:lang w:val="en-US"/>
        </w:rPr>
        <w:t>First bulletin</w:t>
      </w:r>
    </w:p>
    <w:p w:rsidR="00823B49" w:rsidRDefault="00823B49" w:rsidP="0041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3B49" w:rsidRDefault="002E06A8" w:rsidP="00AA4B2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SIXTH INTERNATIONAL SCIENTIFIC AND PRACTICAL CONFERENCE </w:t>
      </w:r>
    </w:p>
    <w:p w:rsidR="002E06A8" w:rsidRPr="00657B5B" w:rsidRDefault="002E06A8" w:rsidP="002E06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“SAFETY AND EFFICIENCY OF NUCLEAR ENERGY” </w:t>
      </w:r>
    </w:p>
    <w:p w:rsidR="008A5084" w:rsidRPr="00657B5B" w:rsidRDefault="008A5084" w:rsidP="004175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92377" w:rsidRPr="00657B5B" w:rsidRDefault="00A92377" w:rsidP="008A508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A5084" w:rsidRPr="00657B5B" w:rsidRDefault="008A5084" w:rsidP="008A508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A5084" w:rsidRPr="00657B5B" w:rsidRDefault="008A5084" w:rsidP="008A5084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750E" w:rsidRPr="007D454B" w:rsidRDefault="0041750E" w:rsidP="008A5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0E" w:rsidRPr="007D454B" w:rsidRDefault="0041750E" w:rsidP="008A5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0E" w:rsidRPr="007D454B" w:rsidRDefault="0041750E" w:rsidP="008A5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0E" w:rsidRPr="007D454B" w:rsidRDefault="0041750E" w:rsidP="008A5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5E4" w:rsidRDefault="00D505E4" w:rsidP="008A50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84" w:rsidRPr="00657B5B" w:rsidRDefault="002E06A8" w:rsidP="00BA5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ODES</w:t>
      </w:r>
      <w:r w:rsidRPr="002E06A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06A8"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06A8">
        <w:rPr>
          <w:rFonts w:ascii="Times New Roman" w:hAnsi="Times New Roman" w:cs="Times New Roman"/>
          <w:b/>
          <w:sz w:val="28"/>
          <w:szCs w:val="28"/>
          <w:lang w:val="en-US"/>
        </w:rPr>
        <w:t>POLYTECHNIC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06A8">
        <w:rPr>
          <w:rFonts w:ascii="Times New Roman" w:hAnsi="Times New Roman" w:cs="Times New Roman"/>
          <w:b/>
          <w:sz w:val="28"/>
          <w:szCs w:val="28"/>
          <w:lang w:val="en-US"/>
        </w:rPr>
        <w:t>UNNIVERSITY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A5084" w:rsidRPr="002E06A8" w:rsidRDefault="002E06A8" w:rsidP="00BA59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September</w:t>
      </w:r>
      <w:r w:rsidRPr="002E06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D454B" w:rsidRPr="002E06A8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="008A5084" w:rsidRPr="00657B5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7D454B" w:rsidRPr="002E06A8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8A5084" w:rsidRPr="00657B5B">
        <w:rPr>
          <w:rFonts w:ascii="Times New Roman" w:hAnsi="Times New Roman" w:cs="Times New Roman"/>
          <w:b/>
          <w:i/>
          <w:sz w:val="28"/>
          <w:szCs w:val="28"/>
          <w:lang w:val="uk-UA"/>
        </w:rPr>
        <w:t>201</w:t>
      </w:r>
      <w:r w:rsidR="007D454B" w:rsidRPr="002E06A8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8A5084" w:rsidRPr="00657B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Odesa</w:t>
      </w:r>
      <w:r w:rsidR="008A5084" w:rsidRPr="00657B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Ukraine</w:t>
      </w:r>
    </w:p>
    <w:p w:rsidR="00BA590E" w:rsidRPr="002E06A8" w:rsidRDefault="00BA590E" w:rsidP="00BA59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E06A8" w:rsidRPr="002E06A8" w:rsidRDefault="002E06A8" w:rsidP="002E06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Devoted to 100</w:t>
      </w:r>
      <w:r w:rsidR="00850880" w:rsidRPr="0085088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anniversary of Odesa National Polytechnic University foundation</w:t>
      </w:r>
    </w:p>
    <w:p w:rsidR="00A7275A" w:rsidRPr="00657B5B" w:rsidRDefault="00A7275A" w:rsidP="00D505E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5084" w:rsidRPr="00657B5B" w:rsidRDefault="002E06A8" w:rsidP="008A50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Organized by: </w:t>
      </w:r>
    </w:p>
    <w:p w:rsidR="008A5084" w:rsidRPr="00657B5B" w:rsidRDefault="002E06A8" w:rsidP="007D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State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Enterprise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NNEGC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Energoatom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 </w:t>
      </w:r>
    </w:p>
    <w:p w:rsidR="008A5084" w:rsidRPr="00657B5B" w:rsidRDefault="002E06A8" w:rsidP="008A50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Odesa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Polytechnic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  <w:r w:rsidRPr="002E0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D454B" w:rsidRPr="007D454B" w:rsidRDefault="002E06A8" w:rsidP="007D454B">
      <w:pPr>
        <w:pStyle w:val="a7"/>
        <w:spacing w:line="276" w:lineRule="auto"/>
        <w:ind w:right="4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In association with</w:t>
      </w:r>
    </w:p>
    <w:p w:rsidR="007D454B" w:rsidRPr="00657B5B" w:rsidRDefault="002E06A8" w:rsidP="007D45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National Academy of Science of Ukraine </w:t>
      </w:r>
    </w:p>
    <w:p w:rsidR="007D454B" w:rsidRPr="007D454B" w:rsidRDefault="007D454B" w:rsidP="00793BDC">
      <w:pPr>
        <w:pStyle w:val="a7"/>
        <w:spacing w:line="276" w:lineRule="auto"/>
        <w:ind w:right="4"/>
        <w:jc w:val="both"/>
        <w:rPr>
          <w:sz w:val="28"/>
          <w:szCs w:val="28"/>
          <w:lang w:val="uk-UA"/>
        </w:rPr>
      </w:pPr>
    </w:p>
    <w:p w:rsidR="00793BDC" w:rsidRPr="00657B5B" w:rsidRDefault="00793BDC" w:rsidP="00793BDC">
      <w:pPr>
        <w:pStyle w:val="a7"/>
        <w:spacing w:line="276" w:lineRule="auto"/>
        <w:ind w:right="4"/>
        <w:jc w:val="both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          </w:t>
      </w:r>
      <w:r w:rsidR="002E06A8">
        <w:rPr>
          <w:sz w:val="28"/>
          <w:szCs w:val="28"/>
          <w:lang w:val="en-US"/>
        </w:rPr>
        <w:t>Main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Conference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objectives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are</w:t>
      </w:r>
      <w:r w:rsidR="002E06A8" w:rsidRPr="002E06A8">
        <w:rPr>
          <w:sz w:val="28"/>
          <w:szCs w:val="28"/>
          <w:lang w:val="uk-UA"/>
        </w:rPr>
        <w:t xml:space="preserve">: </w:t>
      </w:r>
      <w:r w:rsidR="002E06A8">
        <w:rPr>
          <w:sz w:val="28"/>
          <w:szCs w:val="28"/>
          <w:lang w:val="en-US"/>
        </w:rPr>
        <w:t>discussion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of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strategic</w:t>
      </w:r>
      <w:r w:rsidR="002E06A8" w:rsidRPr="002E06A8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direction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the</w:t>
      </w:r>
      <w:r w:rsidR="00221101" w:rsidRPr="00221101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development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of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nuclear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energy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complex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of</w:t>
      </w:r>
      <w:r w:rsidR="002E06A8" w:rsidRPr="002E06A8">
        <w:rPr>
          <w:sz w:val="28"/>
          <w:szCs w:val="28"/>
          <w:lang w:val="uk-UA"/>
        </w:rPr>
        <w:t xml:space="preserve"> </w:t>
      </w:r>
      <w:r w:rsidR="002E06A8">
        <w:rPr>
          <w:sz w:val="28"/>
          <w:szCs w:val="28"/>
          <w:lang w:val="en-US"/>
        </w:rPr>
        <w:t>Ukraine</w:t>
      </w:r>
      <w:r w:rsidR="002E06A8" w:rsidRPr="002E06A8">
        <w:rPr>
          <w:sz w:val="28"/>
          <w:szCs w:val="28"/>
          <w:lang w:val="uk-UA"/>
        </w:rPr>
        <w:t xml:space="preserve">, </w:t>
      </w:r>
      <w:r w:rsidR="00221101">
        <w:rPr>
          <w:sz w:val="28"/>
          <w:szCs w:val="28"/>
          <w:lang w:val="en-US"/>
        </w:rPr>
        <w:t>perspective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areas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nuclear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technologies</w:t>
      </w:r>
      <w:r w:rsidR="00221101" w:rsidRPr="00221101">
        <w:rPr>
          <w:sz w:val="28"/>
          <w:szCs w:val="28"/>
          <w:lang w:val="uk-UA"/>
        </w:rPr>
        <w:t xml:space="preserve">, </w:t>
      </w:r>
      <w:r w:rsidR="00221101">
        <w:rPr>
          <w:sz w:val="28"/>
          <w:szCs w:val="28"/>
          <w:lang w:val="en-US"/>
        </w:rPr>
        <w:t>enhancement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nuclear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and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radiation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safety</w:t>
      </w:r>
      <w:r w:rsidR="00221101" w:rsidRPr="00221101">
        <w:rPr>
          <w:sz w:val="28"/>
          <w:szCs w:val="28"/>
          <w:lang w:val="uk-UA"/>
        </w:rPr>
        <w:t xml:space="preserve">, </w:t>
      </w:r>
      <w:r w:rsidR="00221101">
        <w:rPr>
          <w:sz w:val="28"/>
          <w:szCs w:val="28"/>
          <w:lang w:val="en-US"/>
        </w:rPr>
        <w:t>arrangement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and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planning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NPP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units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maintenance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and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>
        <w:rPr>
          <w:sz w:val="28"/>
          <w:szCs w:val="28"/>
          <w:lang w:val="en-US"/>
        </w:rPr>
        <w:t>control</w:t>
      </w:r>
      <w:r w:rsidR="00221101" w:rsidRPr="00221101">
        <w:rPr>
          <w:sz w:val="28"/>
          <w:szCs w:val="28"/>
          <w:lang w:val="uk-UA"/>
        </w:rPr>
        <w:t xml:space="preserve">, </w:t>
      </w:r>
      <w:r w:rsidR="00221101" w:rsidRPr="00221101">
        <w:rPr>
          <w:sz w:val="28"/>
          <w:szCs w:val="28"/>
          <w:lang w:val="en-US"/>
        </w:rPr>
        <w:t>retraining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and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skills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upgrading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professionals</w:t>
      </w:r>
      <w:r w:rsidR="00221101" w:rsidRPr="00221101">
        <w:rPr>
          <w:sz w:val="28"/>
          <w:szCs w:val="28"/>
          <w:lang w:val="uk-UA"/>
        </w:rPr>
        <w:t>/</w:t>
      </w:r>
      <w:r w:rsidR="00221101" w:rsidRPr="00221101">
        <w:rPr>
          <w:sz w:val="28"/>
          <w:szCs w:val="28"/>
          <w:lang w:val="en-US"/>
        </w:rPr>
        <w:t>personnel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nuclear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energy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sector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of</w:t>
      </w:r>
      <w:r w:rsidR="00221101" w:rsidRPr="00221101">
        <w:rPr>
          <w:sz w:val="28"/>
          <w:szCs w:val="28"/>
          <w:lang w:val="uk-UA"/>
        </w:rPr>
        <w:t xml:space="preserve"> </w:t>
      </w:r>
      <w:r w:rsidR="00221101" w:rsidRPr="00221101">
        <w:rPr>
          <w:sz w:val="28"/>
          <w:szCs w:val="28"/>
          <w:lang w:val="en-US"/>
        </w:rPr>
        <w:t>Ukraine</w:t>
      </w:r>
      <w:r w:rsidR="00221101">
        <w:rPr>
          <w:sz w:val="28"/>
          <w:szCs w:val="28"/>
          <w:lang w:val="uk-UA"/>
        </w:rPr>
        <w:t xml:space="preserve">. </w:t>
      </w:r>
    </w:p>
    <w:p w:rsidR="00D0756E" w:rsidRDefault="00D0756E" w:rsidP="00793BDC">
      <w:pPr>
        <w:pStyle w:val="a7"/>
        <w:spacing w:line="276" w:lineRule="auto"/>
        <w:ind w:right="4"/>
        <w:jc w:val="both"/>
        <w:rPr>
          <w:b/>
          <w:sz w:val="28"/>
          <w:szCs w:val="28"/>
          <w:lang w:val="uk-UA"/>
        </w:rPr>
      </w:pPr>
    </w:p>
    <w:p w:rsidR="00793BDC" w:rsidRPr="00657B5B" w:rsidRDefault="00E27D8B" w:rsidP="00793BDC">
      <w:pPr>
        <w:pStyle w:val="a7"/>
        <w:spacing w:line="276" w:lineRule="auto"/>
        <w:ind w:right="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 xml:space="preserve">Conference Themes include: </w:t>
      </w:r>
    </w:p>
    <w:p w:rsidR="009F19A0" w:rsidRPr="00657B5B" w:rsidRDefault="002A6F8C" w:rsidP="00D0756E">
      <w:pPr>
        <w:pStyle w:val="a7"/>
        <w:spacing w:line="276" w:lineRule="auto"/>
        <w:ind w:left="142" w:hanging="142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>-</w:t>
      </w:r>
      <w:r w:rsidR="009F19A0" w:rsidRPr="00657B5B">
        <w:rPr>
          <w:sz w:val="28"/>
          <w:szCs w:val="28"/>
          <w:lang w:val="uk-UA"/>
        </w:rPr>
        <w:t xml:space="preserve"> </w:t>
      </w:r>
      <w:r w:rsidR="001A0C48">
        <w:rPr>
          <w:sz w:val="28"/>
          <w:szCs w:val="28"/>
          <w:lang w:val="en-US"/>
        </w:rPr>
        <w:t>strategy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>
        <w:rPr>
          <w:sz w:val="28"/>
          <w:szCs w:val="28"/>
          <w:lang w:val="en-US"/>
        </w:rPr>
        <w:t>of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>
        <w:rPr>
          <w:sz w:val="28"/>
          <w:szCs w:val="28"/>
          <w:lang w:val="en-US"/>
        </w:rPr>
        <w:t>the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development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of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nuclear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energy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complex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of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Ukraine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in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the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context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of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world</w:t>
      </w:r>
      <w:r w:rsidR="00E27D8B" w:rsidRPr="00E27D8B">
        <w:rPr>
          <w:sz w:val="28"/>
          <w:szCs w:val="28"/>
          <w:lang w:val="uk-UA"/>
        </w:rPr>
        <w:t xml:space="preserve"> </w:t>
      </w:r>
      <w:r w:rsidR="00E27D8B" w:rsidRPr="00E27D8B">
        <w:rPr>
          <w:sz w:val="28"/>
          <w:szCs w:val="28"/>
          <w:lang w:val="en-US"/>
        </w:rPr>
        <w:t>trends</w:t>
      </w:r>
      <w:r w:rsidR="00E27D8B" w:rsidRPr="00E27D8B">
        <w:rPr>
          <w:sz w:val="28"/>
          <w:szCs w:val="28"/>
          <w:lang w:val="uk-UA"/>
        </w:rPr>
        <w:t xml:space="preserve">; </w:t>
      </w:r>
    </w:p>
    <w:p w:rsidR="005A55D3" w:rsidRPr="00657B5B" w:rsidRDefault="007A5B1B" w:rsidP="00D0756E">
      <w:pPr>
        <w:pStyle w:val="a7"/>
        <w:spacing w:line="276" w:lineRule="auto"/>
        <w:ind w:left="142" w:hanging="142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1A0C48">
        <w:rPr>
          <w:sz w:val="28"/>
          <w:szCs w:val="28"/>
          <w:lang w:val="en-US"/>
        </w:rPr>
        <w:t xml:space="preserve">enhancement of </w:t>
      </w:r>
      <w:r w:rsidR="001A0C48" w:rsidRPr="001A0C48">
        <w:rPr>
          <w:sz w:val="28"/>
          <w:szCs w:val="28"/>
          <w:lang w:val="en-US"/>
        </w:rPr>
        <w:t>safety, reliability and efficiency of nuclear power installations operation;</w:t>
      </w:r>
      <w:r w:rsidR="001A0C48">
        <w:rPr>
          <w:sz w:val="28"/>
          <w:szCs w:val="28"/>
          <w:lang w:val="en-US"/>
        </w:rPr>
        <w:t xml:space="preserve"> </w:t>
      </w:r>
    </w:p>
    <w:p w:rsidR="002A6F8C" w:rsidRPr="00657B5B" w:rsidRDefault="002A6F8C" w:rsidP="00D0756E">
      <w:pPr>
        <w:pStyle w:val="a7"/>
        <w:spacing w:line="276" w:lineRule="auto"/>
        <w:ind w:left="142" w:right="325" w:hanging="142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1A0C48" w:rsidRPr="001A0C48">
        <w:rPr>
          <w:sz w:val="28"/>
          <w:szCs w:val="28"/>
          <w:lang w:val="en-US"/>
        </w:rPr>
        <w:t>state-of-the-art methods of diagnostics, technical and maintenance service of nuclear power installations equipment;</w:t>
      </w:r>
      <w:r w:rsidR="001A0C48">
        <w:rPr>
          <w:sz w:val="28"/>
          <w:szCs w:val="28"/>
          <w:lang w:val="en-US"/>
        </w:rPr>
        <w:t xml:space="preserve"> </w:t>
      </w:r>
    </w:p>
    <w:p w:rsidR="002A6F8C" w:rsidRPr="00657B5B" w:rsidRDefault="002A6F8C" w:rsidP="00D0756E">
      <w:pPr>
        <w:pStyle w:val="a7"/>
        <w:spacing w:line="276" w:lineRule="auto"/>
        <w:ind w:left="142" w:right="325" w:hanging="142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346836">
        <w:rPr>
          <w:sz w:val="28"/>
          <w:szCs w:val="28"/>
          <w:lang w:val="en-US"/>
        </w:rPr>
        <w:t>management of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equipment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aging</w:t>
      </w:r>
      <w:r w:rsidR="001A0C48" w:rsidRPr="001A0C48">
        <w:rPr>
          <w:sz w:val="28"/>
          <w:szCs w:val="28"/>
          <w:lang w:val="uk-UA"/>
        </w:rPr>
        <w:t xml:space="preserve">, </w:t>
      </w:r>
      <w:r w:rsidR="001A0C48" w:rsidRPr="001A0C48">
        <w:rPr>
          <w:sz w:val="28"/>
          <w:szCs w:val="28"/>
          <w:lang w:val="en-US"/>
        </w:rPr>
        <w:t>lifetime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extension</w:t>
      </w:r>
      <w:r w:rsidR="001A0C48" w:rsidRPr="001A0C48">
        <w:rPr>
          <w:sz w:val="28"/>
          <w:szCs w:val="28"/>
          <w:lang w:val="uk-UA"/>
        </w:rPr>
        <w:t xml:space="preserve">, </w:t>
      </w:r>
      <w:r w:rsidR="001A0C48" w:rsidRPr="001A0C48">
        <w:rPr>
          <w:sz w:val="28"/>
          <w:szCs w:val="28"/>
          <w:lang w:val="en-US"/>
        </w:rPr>
        <w:t>decommissioning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of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nuclear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power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installations</w:t>
      </w:r>
      <w:r w:rsidR="001A0C48" w:rsidRPr="001A0C48">
        <w:rPr>
          <w:sz w:val="28"/>
          <w:szCs w:val="28"/>
          <w:lang w:val="uk-UA"/>
        </w:rPr>
        <w:t xml:space="preserve">; </w:t>
      </w:r>
    </w:p>
    <w:p w:rsidR="005A55D3" w:rsidRPr="00657B5B" w:rsidRDefault="002A6F8C" w:rsidP="00D0756E">
      <w:pPr>
        <w:pStyle w:val="a7"/>
        <w:spacing w:line="276" w:lineRule="auto"/>
        <w:ind w:left="142" w:right="325" w:hanging="142"/>
        <w:rPr>
          <w:i/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1A0C48" w:rsidRPr="001A0C48">
        <w:rPr>
          <w:sz w:val="28"/>
          <w:szCs w:val="28"/>
          <w:lang w:val="en-US"/>
        </w:rPr>
        <w:t>utilization of up-to-date chemical technologies at NPP;</w:t>
      </w:r>
      <w:r w:rsidR="001A0C48">
        <w:rPr>
          <w:sz w:val="28"/>
          <w:szCs w:val="28"/>
          <w:lang w:val="en-US"/>
        </w:rPr>
        <w:t xml:space="preserve"> </w:t>
      </w:r>
    </w:p>
    <w:p w:rsidR="002A6F8C" w:rsidRPr="00657B5B" w:rsidRDefault="002A6F8C" w:rsidP="00D0756E">
      <w:pPr>
        <w:pStyle w:val="a7"/>
        <w:spacing w:line="276" w:lineRule="auto"/>
        <w:ind w:left="142" w:right="1468" w:hanging="142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1A0C48" w:rsidRPr="001A0C48">
        <w:rPr>
          <w:sz w:val="28"/>
          <w:szCs w:val="28"/>
          <w:lang w:val="en-US"/>
        </w:rPr>
        <w:t>RAW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and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nuclear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fuel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management</w:t>
      </w:r>
      <w:r w:rsidR="001A0C48" w:rsidRPr="001A0C48">
        <w:rPr>
          <w:sz w:val="28"/>
          <w:szCs w:val="28"/>
          <w:lang w:val="uk-UA"/>
        </w:rPr>
        <w:t xml:space="preserve">; </w:t>
      </w:r>
    </w:p>
    <w:p w:rsidR="003E3D1A" w:rsidRPr="00657B5B" w:rsidRDefault="00373E8C" w:rsidP="00D0756E">
      <w:pPr>
        <w:pStyle w:val="a7"/>
        <w:spacing w:line="276" w:lineRule="auto"/>
        <w:ind w:left="142" w:right="4" w:hanging="142"/>
        <w:jc w:val="both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- </w:t>
      </w:r>
      <w:r w:rsidR="001A0C48" w:rsidRPr="001A0C48">
        <w:rPr>
          <w:sz w:val="28"/>
          <w:szCs w:val="28"/>
          <w:lang w:val="en-US"/>
        </w:rPr>
        <w:t>training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specialists</w:t>
      </w:r>
      <w:r w:rsidR="001A0C48" w:rsidRPr="001A0C48">
        <w:rPr>
          <w:sz w:val="28"/>
          <w:szCs w:val="28"/>
          <w:lang w:val="uk-UA"/>
        </w:rPr>
        <w:t>/</w:t>
      </w:r>
      <w:r w:rsidR="001A0C48" w:rsidRPr="001A0C48">
        <w:rPr>
          <w:sz w:val="28"/>
          <w:szCs w:val="28"/>
          <w:lang w:val="en-US"/>
        </w:rPr>
        <w:t>personnel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for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nuclear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energy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sector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of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Ukraine</w:t>
      </w:r>
      <w:r w:rsidR="001A0C48" w:rsidRPr="001A0C48">
        <w:rPr>
          <w:sz w:val="28"/>
          <w:szCs w:val="28"/>
          <w:lang w:val="uk-UA"/>
        </w:rPr>
        <w:t xml:space="preserve">. </w:t>
      </w:r>
    </w:p>
    <w:p w:rsidR="005A55D3" w:rsidRPr="00657B5B" w:rsidRDefault="005A55D3" w:rsidP="0041750E">
      <w:pPr>
        <w:pStyle w:val="a7"/>
        <w:spacing w:line="360" w:lineRule="auto"/>
        <w:ind w:left="142" w:right="4" w:hanging="142"/>
        <w:jc w:val="both"/>
        <w:rPr>
          <w:b/>
          <w:sz w:val="28"/>
          <w:szCs w:val="28"/>
          <w:lang w:val="uk-UA"/>
        </w:rPr>
      </w:pPr>
    </w:p>
    <w:p w:rsidR="00793BDC" w:rsidRPr="00657B5B" w:rsidRDefault="001A0C48" w:rsidP="008A50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Organizing</w:t>
      </w:r>
      <w:r w:rsidRPr="001A0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Committee</w:t>
      </w:r>
      <w:r w:rsidRPr="001A0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1A0C4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Chairmen</w:t>
      </w:r>
      <w:r w:rsidRPr="001A0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6F8C" w:rsidRPr="001A0C48" w:rsidRDefault="001A0C48" w:rsidP="00373E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>Iurii Nedashkovskyi – President of SE “NNEGC “Energoatom”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F8C" w:rsidRDefault="001A0C48" w:rsidP="001A0C48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 xml:space="preserve">Gennadii Oborskyi – </w:t>
      </w:r>
      <w:r w:rsidRPr="00346836">
        <w:rPr>
          <w:rFonts w:ascii="Times New Roman" w:hAnsi="Times New Roman" w:cs="Times New Roman"/>
          <w:bCs/>
          <w:sz w:val="28"/>
          <w:szCs w:val="28"/>
          <w:lang w:val="en-US"/>
        </w:rPr>
        <w:t>Doctor of Engineering,</w:t>
      </w:r>
      <w:r w:rsidRPr="001A0C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 xml:space="preserve">professor, </w:t>
      </w:r>
      <w:r w:rsidRPr="001A0C48">
        <w:rPr>
          <w:rFonts w:ascii="Times New Roman" w:hAnsi="Times New Roman" w:cs="Times New Roman"/>
          <w:iCs/>
          <w:sz w:val="28"/>
          <w:szCs w:val="28"/>
          <w:lang w:val="en-US"/>
        </w:rPr>
        <w:t>Rector</w:t>
      </w:r>
      <w:r w:rsidRPr="001A0C4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of Odessa National Polytechnic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0C48" w:rsidRPr="00657B5B" w:rsidRDefault="001A0C48" w:rsidP="001A0C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F8C" w:rsidRPr="00657B5B" w:rsidRDefault="001A0C48" w:rsidP="00BE51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Committee Chairman </w:t>
      </w:r>
    </w:p>
    <w:p w:rsidR="001A0C48" w:rsidRPr="00657B5B" w:rsidRDefault="001A0C48" w:rsidP="001A0C48">
      <w:pPr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>Viktor Voievodin – director of Institute of Solid State Physics, Materials Science and Technologies (ISSPMT) of National Science Center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“Kharkiv Institute of Physics and Technology”, associate member of the National Academy of Sciences (NAS) of Ukraine.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6F8C" w:rsidRPr="00657B5B" w:rsidRDefault="002A6F8C" w:rsidP="002A6F8C">
      <w:pPr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D32" w:rsidRPr="00657B5B" w:rsidRDefault="001A0C48" w:rsidP="00A7275A">
      <w:pPr>
        <w:spacing w:before="240"/>
        <w:ind w:left="2410" w:hanging="241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Organizing Committee work group Secretariat: </w:t>
      </w:r>
    </w:p>
    <w:p w:rsidR="00F21D32" w:rsidRPr="00657B5B" w:rsidRDefault="001A0C48" w:rsidP="00D0756E">
      <w:pPr>
        <w:spacing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>Viktor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Kolykhanov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ONPU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) +38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067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948 87 40 </w:t>
      </w:r>
    </w:p>
    <w:p w:rsidR="00F21D32" w:rsidRPr="00657B5B" w:rsidRDefault="001A0C48" w:rsidP="00D0756E">
      <w:pPr>
        <w:spacing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>Taisiia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Gablaia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ONPU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) + 38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067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922 02 14 </w:t>
      </w:r>
    </w:p>
    <w:p w:rsidR="00F21D32" w:rsidRPr="00657B5B" w:rsidRDefault="001A0C48" w:rsidP="00D0756E">
      <w:pPr>
        <w:spacing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48">
        <w:rPr>
          <w:rFonts w:ascii="Times New Roman" w:hAnsi="Times New Roman" w:cs="Times New Roman"/>
          <w:sz w:val="28"/>
          <w:szCs w:val="28"/>
          <w:lang w:val="en-US"/>
        </w:rPr>
        <w:t>Volodymyr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Shvytai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NNEGC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Energoatom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”) +38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Pr="001A0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0C48">
        <w:rPr>
          <w:rFonts w:ascii="Times New Roman" w:hAnsi="Times New Roman" w:cs="Times New Roman"/>
          <w:sz w:val="28"/>
          <w:szCs w:val="28"/>
          <w:lang w:val="uk-UA"/>
        </w:rPr>
        <w:t>380 58 40</w:t>
      </w:r>
      <w:r w:rsidR="00BA7575" w:rsidRPr="00657B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275A" w:rsidRPr="00657B5B" w:rsidRDefault="00A7275A" w:rsidP="001E5C24">
      <w:pPr>
        <w:pStyle w:val="a7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0126B" w:rsidRPr="00657B5B" w:rsidRDefault="001A0C48" w:rsidP="001E5C24">
      <w:pPr>
        <w:pStyle w:val="a7"/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 xml:space="preserve">Venue </w:t>
      </w:r>
    </w:p>
    <w:p w:rsidR="001E5C24" w:rsidRPr="00657B5B" w:rsidRDefault="00346836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  <w:r w:rsidRPr="001A0C48">
        <w:rPr>
          <w:sz w:val="28"/>
          <w:szCs w:val="28"/>
          <w:lang w:val="en-US"/>
        </w:rPr>
        <w:t>A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>
        <w:rPr>
          <w:sz w:val="28"/>
          <w:szCs w:val="28"/>
          <w:lang w:val="en-US"/>
        </w:rPr>
        <w:t>C</w:t>
      </w:r>
      <w:r w:rsidR="001A0C48" w:rsidRPr="001A0C48">
        <w:rPr>
          <w:sz w:val="28"/>
          <w:szCs w:val="28"/>
          <w:lang w:val="en-US"/>
        </w:rPr>
        <w:t>onference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>
        <w:rPr>
          <w:sz w:val="28"/>
          <w:szCs w:val="28"/>
          <w:lang w:val="en-US"/>
        </w:rPr>
        <w:t>H</w:t>
      </w:r>
      <w:r w:rsidR="001A0C48" w:rsidRPr="001A0C48">
        <w:rPr>
          <w:sz w:val="28"/>
          <w:szCs w:val="28"/>
          <w:lang w:val="en-US"/>
        </w:rPr>
        <w:t>all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of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Odessa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National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Polytechnic</w:t>
      </w:r>
      <w:r w:rsidR="001A0C48" w:rsidRPr="001A0C48">
        <w:rPr>
          <w:sz w:val="28"/>
          <w:szCs w:val="28"/>
          <w:lang w:val="uk-UA"/>
        </w:rPr>
        <w:t xml:space="preserve"> </w:t>
      </w:r>
      <w:r w:rsidR="001A0C48" w:rsidRPr="001A0C48">
        <w:rPr>
          <w:sz w:val="28"/>
          <w:szCs w:val="28"/>
          <w:lang w:val="en-US"/>
        </w:rPr>
        <w:t>University</w:t>
      </w:r>
      <w:r w:rsidR="001A0C48" w:rsidRPr="001A0C48">
        <w:rPr>
          <w:sz w:val="28"/>
          <w:szCs w:val="28"/>
          <w:lang w:val="uk-UA"/>
        </w:rPr>
        <w:t xml:space="preserve"> (1 </w:t>
      </w:r>
      <w:r w:rsidR="001A0C48" w:rsidRPr="001A0C48">
        <w:rPr>
          <w:sz w:val="28"/>
          <w:szCs w:val="28"/>
          <w:lang w:val="en-US"/>
        </w:rPr>
        <w:t>Shevchenko</w:t>
      </w:r>
      <w:r w:rsidR="001A0C48" w:rsidRPr="001A0C48">
        <w:rPr>
          <w:sz w:val="28"/>
          <w:szCs w:val="28"/>
          <w:lang w:val="uk-UA"/>
        </w:rPr>
        <w:t xml:space="preserve">, </w:t>
      </w:r>
      <w:r w:rsidR="001A0C48" w:rsidRPr="001A0C48">
        <w:rPr>
          <w:sz w:val="28"/>
          <w:szCs w:val="28"/>
          <w:lang w:val="en-US"/>
        </w:rPr>
        <w:t>Ave</w:t>
      </w:r>
      <w:r w:rsidR="001A0C48">
        <w:rPr>
          <w:sz w:val="28"/>
          <w:szCs w:val="28"/>
          <w:lang w:val="en-US"/>
        </w:rPr>
        <w:t>, 3</w:t>
      </w:r>
      <w:r w:rsidR="001A0C48" w:rsidRPr="001A0C48">
        <w:rPr>
          <w:sz w:val="28"/>
          <w:szCs w:val="28"/>
          <w:vertAlign w:val="superscript"/>
          <w:lang w:val="en-US"/>
        </w:rPr>
        <w:t>rd</w:t>
      </w:r>
      <w:r w:rsidR="001A0C48">
        <w:rPr>
          <w:sz w:val="28"/>
          <w:szCs w:val="28"/>
          <w:lang w:val="en-US"/>
        </w:rPr>
        <w:t xml:space="preserve"> floor</w:t>
      </w:r>
      <w:r w:rsidR="001A0C48" w:rsidRPr="001A0C48">
        <w:rPr>
          <w:sz w:val="28"/>
          <w:szCs w:val="28"/>
          <w:lang w:val="uk-UA"/>
        </w:rPr>
        <w:t xml:space="preserve">). </w:t>
      </w:r>
    </w:p>
    <w:p w:rsidR="001E5C24" w:rsidRPr="00657B5B" w:rsidRDefault="001E5C24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</w:p>
    <w:p w:rsidR="00346836" w:rsidRDefault="00346836" w:rsidP="001E5C24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  <w:lang w:val="en-US"/>
        </w:rPr>
      </w:pPr>
    </w:p>
    <w:p w:rsidR="001E5C24" w:rsidRPr="00657B5B" w:rsidRDefault="003140AB" w:rsidP="001E5C24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Call</w:t>
      </w:r>
      <w:r w:rsidRPr="0034683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for</w:t>
      </w:r>
      <w:r w:rsidRPr="0034683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papers</w:t>
      </w:r>
      <w:r w:rsidRPr="00346836">
        <w:rPr>
          <w:b/>
          <w:sz w:val="28"/>
          <w:szCs w:val="28"/>
          <w:lang w:val="en-US"/>
        </w:rPr>
        <w:t xml:space="preserve"> </w:t>
      </w:r>
    </w:p>
    <w:p w:rsidR="006F60F4" w:rsidRPr="00657B5B" w:rsidRDefault="003140AB" w:rsidP="00346836">
      <w:pPr>
        <w:pStyle w:val="a7"/>
        <w:tabs>
          <w:tab w:val="left" w:pos="1843"/>
        </w:tabs>
        <w:spacing w:before="14" w:line="276" w:lineRule="auto"/>
        <w:ind w:left="1843" w:hanging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May</w:t>
      </w:r>
      <w:r w:rsidRPr="003140AB">
        <w:rPr>
          <w:sz w:val="28"/>
          <w:szCs w:val="28"/>
          <w:lang w:val="uk-UA"/>
        </w:rPr>
        <w:t xml:space="preserve"> 1</w:t>
      </w:r>
      <w:r w:rsidR="006F60F4" w:rsidRPr="00657B5B">
        <w:rPr>
          <w:sz w:val="28"/>
          <w:szCs w:val="28"/>
          <w:lang w:val="uk-UA"/>
        </w:rPr>
        <w:t xml:space="preserve"> </w:t>
      </w:r>
      <w:r w:rsidR="00346836">
        <w:rPr>
          <w:sz w:val="28"/>
          <w:szCs w:val="28"/>
          <w:lang w:val="uk-UA"/>
        </w:rPr>
        <w:t xml:space="preserve">     </w:t>
      </w:r>
      <w:r w:rsidR="006F60F4" w:rsidRPr="00657B5B">
        <w:rPr>
          <w:sz w:val="28"/>
          <w:szCs w:val="28"/>
          <w:lang w:val="uk-UA"/>
        </w:rPr>
        <w:t>–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submission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of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conference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application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form</w:t>
      </w:r>
      <w:r w:rsidRPr="003140AB">
        <w:rPr>
          <w:sz w:val="28"/>
          <w:szCs w:val="28"/>
          <w:lang w:val="uk-UA"/>
        </w:rPr>
        <w:t xml:space="preserve"> (</w:t>
      </w:r>
      <w:r w:rsidRPr="003140AB">
        <w:rPr>
          <w:sz w:val="28"/>
          <w:szCs w:val="28"/>
          <w:lang w:val="en-US"/>
        </w:rPr>
        <w:t>Abstract</w:t>
      </w:r>
      <w:r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Submission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for</w:t>
      </w:r>
      <w:r w:rsidRPr="003140AB">
        <w:rPr>
          <w:sz w:val="28"/>
          <w:szCs w:val="28"/>
          <w:lang w:val="uk-UA"/>
        </w:rPr>
        <w:t xml:space="preserve"> </w:t>
      </w:r>
      <w:r w:rsidRPr="003140AB">
        <w:rPr>
          <w:sz w:val="28"/>
          <w:szCs w:val="28"/>
          <w:lang w:val="en-US"/>
        </w:rPr>
        <w:t>speakers</w:t>
      </w:r>
      <w:r w:rsidRPr="003140AB">
        <w:rPr>
          <w:sz w:val="28"/>
          <w:szCs w:val="28"/>
          <w:lang w:val="uk-UA"/>
        </w:rPr>
        <w:t xml:space="preserve">); </w:t>
      </w:r>
    </w:p>
    <w:p w:rsidR="006F60F4" w:rsidRPr="00657B5B" w:rsidRDefault="003140AB" w:rsidP="006F60F4">
      <w:pPr>
        <w:pStyle w:val="a7"/>
        <w:spacing w:before="14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June</w:t>
      </w:r>
      <w:r w:rsidRPr="003140AB">
        <w:rPr>
          <w:sz w:val="28"/>
          <w:szCs w:val="28"/>
          <w:lang w:val="en-US"/>
        </w:rPr>
        <w:t xml:space="preserve"> 15 </w:t>
      </w:r>
      <w:r>
        <w:rPr>
          <w:sz w:val="28"/>
          <w:szCs w:val="28"/>
          <w:lang w:val="en-US"/>
        </w:rPr>
        <w:tab/>
      </w:r>
      <w:r w:rsidR="00346836">
        <w:rPr>
          <w:sz w:val="28"/>
          <w:szCs w:val="28"/>
          <w:lang w:val="en-US"/>
        </w:rPr>
        <w:t xml:space="preserve">   </w:t>
      </w:r>
      <w:r w:rsidRPr="003140AB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inclusion of the speech to the Conference program; </w:t>
      </w:r>
    </w:p>
    <w:p w:rsidR="006F60F4" w:rsidRPr="00657B5B" w:rsidRDefault="003140AB" w:rsidP="006F60F4">
      <w:pPr>
        <w:pStyle w:val="a7"/>
        <w:spacing w:before="14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July 15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683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>–</w:t>
      </w:r>
      <w:r w:rsidR="006F60F4" w:rsidRPr="00657B5B">
        <w:rPr>
          <w:sz w:val="28"/>
          <w:szCs w:val="28"/>
          <w:lang w:val="uk-UA"/>
        </w:rPr>
        <w:t xml:space="preserve">  </w:t>
      </w:r>
      <w:r w:rsidRPr="003140AB">
        <w:rPr>
          <w:sz w:val="28"/>
          <w:szCs w:val="28"/>
          <w:lang w:val="en-US"/>
        </w:rPr>
        <w:t>complete paper submission</w:t>
      </w:r>
      <w:r>
        <w:rPr>
          <w:sz w:val="28"/>
          <w:szCs w:val="28"/>
          <w:lang w:val="en-US"/>
        </w:rPr>
        <w:t xml:space="preserve">; </w:t>
      </w:r>
      <w:r w:rsidR="006F60F4" w:rsidRPr="00657B5B">
        <w:rPr>
          <w:sz w:val="28"/>
          <w:szCs w:val="28"/>
          <w:lang w:val="uk-UA"/>
        </w:rPr>
        <w:t xml:space="preserve"> </w:t>
      </w:r>
    </w:p>
    <w:p w:rsidR="006F60F4" w:rsidRPr="00657B5B" w:rsidRDefault="003140AB" w:rsidP="006F60F4">
      <w:pPr>
        <w:pStyle w:val="a7"/>
        <w:spacing w:before="14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September</w:t>
      </w:r>
      <w:r w:rsidRPr="003140AB">
        <w:rPr>
          <w:sz w:val="28"/>
          <w:szCs w:val="28"/>
          <w:lang w:val="en-US"/>
        </w:rPr>
        <w:t xml:space="preserve"> 1</w:t>
      </w:r>
      <w:r w:rsidRPr="00657B5B">
        <w:rPr>
          <w:sz w:val="28"/>
          <w:szCs w:val="28"/>
          <w:lang w:val="uk-UA"/>
        </w:rPr>
        <w:t xml:space="preserve"> </w:t>
      </w:r>
      <w:r w:rsidR="00346836">
        <w:rPr>
          <w:sz w:val="28"/>
          <w:szCs w:val="28"/>
          <w:lang w:val="en-US"/>
        </w:rPr>
        <w:t xml:space="preserve">  </w:t>
      </w:r>
      <w:r w:rsidRPr="00657B5B">
        <w:rPr>
          <w:sz w:val="28"/>
          <w:szCs w:val="28"/>
          <w:lang w:val="uk-UA"/>
        </w:rPr>
        <w:t>–</w:t>
      </w:r>
      <w:r w:rsidR="006F60F4" w:rsidRPr="00657B5B">
        <w:rPr>
          <w:sz w:val="28"/>
          <w:szCs w:val="28"/>
          <w:lang w:val="uk-UA"/>
        </w:rPr>
        <w:t xml:space="preserve">   </w:t>
      </w:r>
      <w:r w:rsidRPr="003140AB">
        <w:rPr>
          <w:sz w:val="28"/>
          <w:szCs w:val="28"/>
          <w:lang w:val="en-US"/>
        </w:rPr>
        <w:t>sending invitations to conference participants</w:t>
      </w:r>
      <w:r>
        <w:rPr>
          <w:sz w:val="28"/>
          <w:szCs w:val="28"/>
          <w:lang w:val="uk-UA"/>
        </w:rPr>
        <w:t xml:space="preserve">, </w:t>
      </w:r>
      <w:r w:rsidRPr="003140AB">
        <w:rPr>
          <w:sz w:val="28"/>
          <w:szCs w:val="28"/>
          <w:lang w:val="en-US"/>
        </w:rPr>
        <w:t>conference fee payment</w:t>
      </w:r>
      <w:r>
        <w:rPr>
          <w:sz w:val="28"/>
          <w:szCs w:val="28"/>
          <w:lang w:val="en-US"/>
        </w:rPr>
        <w:t>.</w:t>
      </w:r>
      <w:r w:rsidRPr="003140AB">
        <w:rPr>
          <w:sz w:val="28"/>
          <w:szCs w:val="28"/>
          <w:lang w:val="uk-UA"/>
        </w:rPr>
        <w:t xml:space="preserve"> </w:t>
      </w:r>
    </w:p>
    <w:p w:rsidR="006F60F4" w:rsidRPr="00657B5B" w:rsidRDefault="006F60F4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</w:p>
    <w:p w:rsidR="001E5C24" w:rsidRPr="00657B5B" w:rsidRDefault="003140AB" w:rsidP="00611655">
      <w:pPr>
        <w:pStyle w:val="a7"/>
        <w:spacing w:before="14" w:line="276" w:lineRule="auto"/>
        <w:ind w:firstLine="69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September </w:t>
      </w:r>
      <w:r w:rsidR="00B5197E">
        <w:rPr>
          <w:sz w:val="28"/>
          <w:szCs w:val="28"/>
          <w:lang w:val="uk-UA"/>
        </w:rPr>
        <w:t>3</w:t>
      </w:r>
      <w:r w:rsidR="001E5C24" w:rsidRPr="00657B5B">
        <w:rPr>
          <w:sz w:val="28"/>
          <w:szCs w:val="28"/>
          <w:lang w:val="uk-UA"/>
        </w:rPr>
        <w:t xml:space="preserve"> – </w:t>
      </w:r>
      <w:r w:rsidRPr="003140AB">
        <w:rPr>
          <w:sz w:val="28"/>
          <w:szCs w:val="28"/>
          <w:lang w:val="en-US"/>
        </w:rPr>
        <w:t>arrival of participants</w:t>
      </w:r>
      <w:r w:rsidR="0064115A" w:rsidRPr="00657B5B">
        <w:rPr>
          <w:sz w:val="28"/>
          <w:szCs w:val="28"/>
          <w:lang w:val="uk-UA"/>
        </w:rPr>
        <w:t>;</w:t>
      </w:r>
    </w:p>
    <w:p w:rsidR="001E5C24" w:rsidRPr="00657B5B" w:rsidRDefault="003140AB" w:rsidP="00611655">
      <w:pPr>
        <w:pStyle w:val="a7"/>
        <w:spacing w:before="14" w:line="276" w:lineRule="auto"/>
        <w:ind w:firstLine="69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September</w:t>
      </w:r>
      <w:r w:rsidRPr="003140AB">
        <w:rPr>
          <w:sz w:val="28"/>
          <w:szCs w:val="28"/>
          <w:lang w:val="uk-UA"/>
        </w:rPr>
        <w:t xml:space="preserve"> </w:t>
      </w:r>
      <w:r w:rsidR="00B5197E">
        <w:rPr>
          <w:sz w:val="28"/>
          <w:szCs w:val="28"/>
          <w:lang w:val="uk-UA"/>
        </w:rPr>
        <w:t>4</w:t>
      </w:r>
      <w:r w:rsidR="001E5C24" w:rsidRPr="00657B5B">
        <w:rPr>
          <w:sz w:val="28"/>
          <w:szCs w:val="28"/>
          <w:lang w:val="uk-UA"/>
        </w:rPr>
        <w:t xml:space="preserve"> – </w:t>
      </w:r>
      <w:r w:rsidRPr="003140AB">
        <w:rPr>
          <w:sz w:val="28"/>
          <w:szCs w:val="28"/>
          <w:lang w:val="en-US"/>
        </w:rPr>
        <w:t>registration</w:t>
      </w:r>
      <w:r w:rsidR="00B5197E">
        <w:rPr>
          <w:sz w:val="28"/>
          <w:szCs w:val="28"/>
          <w:lang w:val="uk-UA"/>
        </w:rPr>
        <w:t xml:space="preserve">, </w:t>
      </w:r>
      <w:r w:rsidR="00554617">
        <w:rPr>
          <w:sz w:val="28"/>
          <w:szCs w:val="28"/>
          <w:lang w:val="en-US"/>
        </w:rPr>
        <w:t>opening, Session 1</w:t>
      </w:r>
      <w:r w:rsidR="0064115A" w:rsidRPr="00657B5B">
        <w:rPr>
          <w:sz w:val="28"/>
          <w:szCs w:val="28"/>
          <w:lang w:val="uk-UA"/>
        </w:rPr>
        <w:t>;</w:t>
      </w:r>
    </w:p>
    <w:p w:rsidR="001E5C24" w:rsidRPr="00657B5B" w:rsidRDefault="00554617" w:rsidP="00611655">
      <w:pPr>
        <w:pStyle w:val="a7"/>
        <w:spacing w:before="14" w:line="276" w:lineRule="auto"/>
        <w:ind w:firstLine="69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September </w:t>
      </w:r>
      <w:r w:rsidR="00B5197E">
        <w:rPr>
          <w:sz w:val="28"/>
          <w:szCs w:val="28"/>
          <w:lang w:val="uk-UA"/>
        </w:rPr>
        <w:t>5</w:t>
      </w:r>
      <w:r w:rsidR="001E5C24" w:rsidRPr="00657B5B">
        <w:rPr>
          <w:sz w:val="28"/>
          <w:szCs w:val="28"/>
          <w:lang w:val="uk-UA"/>
        </w:rPr>
        <w:t xml:space="preserve"> – </w:t>
      </w:r>
      <w:r w:rsidRPr="00554617">
        <w:rPr>
          <w:sz w:val="28"/>
          <w:szCs w:val="28"/>
          <w:lang w:val="en-US"/>
        </w:rPr>
        <w:t>Session 2;</w:t>
      </w:r>
      <w:r>
        <w:rPr>
          <w:sz w:val="28"/>
          <w:szCs w:val="28"/>
          <w:lang w:val="en-US"/>
        </w:rPr>
        <w:t xml:space="preserve"> </w:t>
      </w:r>
    </w:p>
    <w:p w:rsidR="001E5C24" w:rsidRPr="00657B5B" w:rsidRDefault="00554617" w:rsidP="00611655">
      <w:pPr>
        <w:pStyle w:val="a7"/>
        <w:spacing w:before="14" w:line="276" w:lineRule="auto"/>
        <w:ind w:firstLine="69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September</w:t>
      </w:r>
      <w:r w:rsidRPr="00554617">
        <w:rPr>
          <w:sz w:val="28"/>
          <w:szCs w:val="28"/>
          <w:lang w:val="en-US"/>
        </w:rPr>
        <w:t xml:space="preserve"> </w:t>
      </w:r>
      <w:r w:rsidR="00B5197E">
        <w:rPr>
          <w:sz w:val="28"/>
          <w:szCs w:val="28"/>
          <w:lang w:val="uk-UA"/>
        </w:rPr>
        <w:t>6</w:t>
      </w:r>
      <w:r w:rsidR="001E5C24" w:rsidRPr="00657B5B">
        <w:rPr>
          <w:sz w:val="28"/>
          <w:szCs w:val="28"/>
          <w:lang w:val="uk-UA"/>
        </w:rPr>
        <w:t xml:space="preserve"> – </w:t>
      </w:r>
      <w:r w:rsidRPr="00554617">
        <w:rPr>
          <w:sz w:val="28"/>
          <w:szCs w:val="28"/>
          <w:lang w:val="en-US"/>
        </w:rPr>
        <w:t>Session 3; closing.</w:t>
      </w:r>
      <w:r>
        <w:rPr>
          <w:sz w:val="28"/>
          <w:szCs w:val="28"/>
          <w:lang w:val="en-US"/>
        </w:rPr>
        <w:t xml:space="preserve"> </w:t>
      </w:r>
    </w:p>
    <w:p w:rsidR="00EB5215" w:rsidRPr="00657B5B" w:rsidRDefault="00EB5215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</w:p>
    <w:p w:rsidR="006F60F4" w:rsidRPr="00657B5B" w:rsidRDefault="00554617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  <w:r w:rsidRPr="00554617">
        <w:rPr>
          <w:sz w:val="28"/>
          <w:szCs w:val="28"/>
          <w:lang w:val="en-US"/>
        </w:rPr>
        <w:t>Detailed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information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about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the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Conference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Application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Form</w:t>
      </w:r>
      <w:r w:rsidRPr="005546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complete paper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requirements</w:t>
      </w:r>
      <w:r w:rsidRPr="00554617">
        <w:rPr>
          <w:sz w:val="28"/>
          <w:szCs w:val="28"/>
          <w:lang w:val="uk-UA"/>
        </w:rPr>
        <w:t xml:space="preserve">, </w:t>
      </w:r>
      <w:r w:rsidRPr="00554617">
        <w:rPr>
          <w:sz w:val="28"/>
          <w:szCs w:val="28"/>
          <w:lang w:val="en-US"/>
        </w:rPr>
        <w:t>and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payment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details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can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be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found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at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the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official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site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of</w:t>
      </w:r>
      <w:r w:rsidRPr="00554617">
        <w:rPr>
          <w:sz w:val="28"/>
          <w:szCs w:val="28"/>
          <w:lang w:val="uk-UA"/>
        </w:rPr>
        <w:t xml:space="preserve"> </w:t>
      </w:r>
      <w:r w:rsidRPr="00554617">
        <w:rPr>
          <w:sz w:val="28"/>
          <w:szCs w:val="28"/>
          <w:lang w:val="en-US"/>
        </w:rPr>
        <w:t>ONPU</w:t>
      </w:r>
      <w:r w:rsidRPr="00554617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F81307" w:rsidRPr="00657B5B" w:rsidRDefault="00554617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  <w:r w:rsidRPr="00554617">
        <w:rPr>
          <w:sz w:val="28"/>
          <w:szCs w:val="28"/>
          <w:lang w:val="en-US"/>
        </w:rPr>
        <w:t xml:space="preserve">The languages of the Conference are Ukrainian, </w:t>
      </w:r>
      <w:r w:rsidRPr="00554617">
        <w:rPr>
          <w:sz w:val="28"/>
          <w:szCs w:val="28"/>
          <w:lang w:val="en-US"/>
        </w:rPr>
        <w:t>English</w:t>
      </w:r>
      <w:r w:rsidRPr="00554617">
        <w:rPr>
          <w:sz w:val="28"/>
          <w:szCs w:val="28"/>
          <w:lang w:val="en-US"/>
        </w:rPr>
        <w:t xml:space="preserve"> and </w:t>
      </w:r>
      <w:r w:rsidRPr="00554617">
        <w:rPr>
          <w:sz w:val="28"/>
          <w:szCs w:val="28"/>
          <w:lang w:val="en-US"/>
        </w:rPr>
        <w:t>Russian</w:t>
      </w:r>
      <w:r w:rsidRPr="0055461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98255B" w:rsidRPr="00657B5B" w:rsidRDefault="0098255B" w:rsidP="00EB5215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  <w:lang w:val="uk-UA"/>
        </w:rPr>
      </w:pPr>
    </w:p>
    <w:p w:rsidR="00EB5215" w:rsidRPr="00657B5B" w:rsidRDefault="00554617" w:rsidP="00EB5215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Conference fee </w:t>
      </w:r>
    </w:p>
    <w:p w:rsidR="00554617" w:rsidRPr="00554617" w:rsidRDefault="00554617" w:rsidP="00554617">
      <w:pPr>
        <w:pStyle w:val="a7"/>
        <w:spacing w:before="14" w:line="276" w:lineRule="auto"/>
        <w:ind w:firstLine="69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Participant </w:t>
      </w:r>
      <w:r w:rsidRPr="00554617">
        <w:rPr>
          <w:sz w:val="28"/>
          <w:szCs w:val="28"/>
          <w:lang w:val="en-US"/>
        </w:rPr>
        <w:t>Conference fee comprises publishing and organizing expenses for information package, conference equipment, coffee breaks and social program.</w:t>
      </w:r>
    </w:p>
    <w:p w:rsidR="00554617" w:rsidRPr="00554617" w:rsidRDefault="00554617" w:rsidP="00554617">
      <w:pPr>
        <w:pStyle w:val="a7"/>
        <w:spacing w:before="14" w:line="276" w:lineRule="auto"/>
        <w:ind w:firstLine="698"/>
        <w:rPr>
          <w:sz w:val="28"/>
          <w:szCs w:val="28"/>
          <w:u w:val="single"/>
          <w:lang w:val="en-US"/>
        </w:rPr>
      </w:pPr>
      <w:r w:rsidRPr="00554617">
        <w:rPr>
          <w:sz w:val="28"/>
          <w:szCs w:val="28"/>
          <w:u w:val="single"/>
          <w:lang w:val="en-US"/>
        </w:rPr>
        <w:t>Conference fee:</w:t>
      </w:r>
    </w:p>
    <w:p w:rsidR="00554617" w:rsidRPr="00554617" w:rsidRDefault="00554617" w:rsidP="00554617">
      <w:pPr>
        <w:pStyle w:val="a7"/>
        <w:spacing w:before="14" w:line="276" w:lineRule="auto"/>
        <w:ind w:firstLine="698"/>
        <w:rPr>
          <w:sz w:val="28"/>
          <w:szCs w:val="28"/>
          <w:lang w:val="en-US"/>
        </w:rPr>
      </w:pPr>
      <w:r w:rsidRPr="00554617">
        <w:rPr>
          <w:sz w:val="28"/>
          <w:szCs w:val="28"/>
          <w:lang w:val="en-US"/>
        </w:rPr>
        <w:t>600 UAH – Ukrainian citizens</w:t>
      </w:r>
      <w:r>
        <w:rPr>
          <w:sz w:val="28"/>
          <w:szCs w:val="28"/>
          <w:lang w:val="en-US"/>
        </w:rPr>
        <w:t>;</w:t>
      </w:r>
    </w:p>
    <w:p w:rsidR="00554617" w:rsidRDefault="00554617" w:rsidP="00554617">
      <w:pPr>
        <w:pStyle w:val="a7"/>
        <w:spacing w:before="14" w:line="276" w:lineRule="auto"/>
        <w:ind w:firstLine="698"/>
        <w:rPr>
          <w:sz w:val="28"/>
          <w:szCs w:val="28"/>
          <w:lang w:val="en-US"/>
        </w:rPr>
      </w:pPr>
      <w:r w:rsidRPr="00554617">
        <w:rPr>
          <w:sz w:val="28"/>
          <w:szCs w:val="28"/>
          <w:lang w:val="en-US"/>
        </w:rPr>
        <w:t>100 €– foreign citizens</w:t>
      </w:r>
      <w:r w:rsidR="00937D84">
        <w:rPr>
          <w:sz w:val="28"/>
          <w:szCs w:val="28"/>
          <w:lang w:val="en-US"/>
        </w:rPr>
        <w:t>.</w:t>
      </w:r>
      <w:r w:rsidRPr="00554617">
        <w:rPr>
          <w:sz w:val="28"/>
          <w:szCs w:val="28"/>
          <w:lang w:val="en-US"/>
        </w:rPr>
        <w:t xml:space="preserve"> </w:t>
      </w:r>
    </w:p>
    <w:p w:rsidR="00554617" w:rsidRPr="00554617" w:rsidRDefault="00554617" w:rsidP="00554617">
      <w:pPr>
        <w:pStyle w:val="a7"/>
        <w:spacing w:before="14" w:line="276" w:lineRule="auto"/>
        <w:ind w:firstLine="69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possible to</w:t>
      </w:r>
      <w:r w:rsidRPr="00554617">
        <w:rPr>
          <w:sz w:val="28"/>
          <w:szCs w:val="28"/>
          <w:lang w:val="en-US"/>
        </w:rPr>
        <w:t xml:space="preserve"> pay </w:t>
      </w:r>
      <w:r w:rsidR="00937D84">
        <w:rPr>
          <w:sz w:val="28"/>
          <w:szCs w:val="28"/>
          <w:lang w:val="en-US"/>
        </w:rPr>
        <w:t>the C</w:t>
      </w:r>
      <w:r w:rsidRPr="00554617">
        <w:rPr>
          <w:sz w:val="28"/>
          <w:szCs w:val="28"/>
          <w:lang w:val="en-US"/>
        </w:rPr>
        <w:t>onference fee while registering</w:t>
      </w:r>
      <w:r>
        <w:rPr>
          <w:sz w:val="28"/>
          <w:szCs w:val="28"/>
          <w:lang w:val="en-US"/>
        </w:rPr>
        <w:t xml:space="preserve"> under advanced request submitted by September 1</w:t>
      </w:r>
      <w:r w:rsidRPr="00554617">
        <w:rPr>
          <w:sz w:val="28"/>
          <w:szCs w:val="28"/>
          <w:lang w:val="en-US"/>
        </w:rPr>
        <w:t>.</w:t>
      </w:r>
    </w:p>
    <w:p w:rsidR="006F60F4" w:rsidRPr="00554617" w:rsidRDefault="00554617" w:rsidP="00554617">
      <w:pPr>
        <w:pStyle w:val="a7"/>
        <w:spacing w:before="14" w:line="276" w:lineRule="auto"/>
        <w:ind w:firstLine="698"/>
        <w:jc w:val="both"/>
        <w:rPr>
          <w:sz w:val="28"/>
          <w:szCs w:val="28"/>
          <w:lang w:val="en-US"/>
        </w:rPr>
      </w:pPr>
      <w:r w:rsidRPr="00554617">
        <w:rPr>
          <w:sz w:val="28"/>
          <w:szCs w:val="28"/>
          <w:lang w:val="en-US"/>
        </w:rPr>
        <w:t>Post-graduate students as well as students aren’t charged a conference fee.</w:t>
      </w:r>
      <w:r w:rsidR="00A80DA2" w:rsidRPr="00657B5B">
        <w:rPr>
          <w:sz w:val="28"/>
          <w:szCs w:val="28"/>
          <w:lang w:val="uk-UA"/>
        </w:rPr>
        <w:t xml:space="preserve"> </w:t>
      </w:r>
    </w:p>
    <w:p w:rsidR="00EB5215" w:rsidRPr="00657B5B" w:rsidRDefault="00EB5215" w:rsidP="0040126B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</w:p>
    <w:p w:rsidR="00EB5215" w:rsidRPr="00657B5B" w:rsidRDefault="00554617" w:rsidP="005A57C4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Accommodation</w:t>
      </w:r>
      <w:r w:rsidRPr="00554617">
        <w:rPr>
          <w:b/>
          <w:sz w:val="28"/>
          <w:szCs w:val="28"/>
          <w:lang w:val="uk-UA"/>
        </w:rPr>
        <w:t xml:space="preserve"> </w:t>
      </w:r>
      <w:r w:rsidR="005A57C4" w:rsidRPr="00657B5B">
        <w:rPr>
          <w:b/>
          <w:sz w:val="28"/>
          <w:szCs w:val="28"/>
          <w:lang w:val="uk-UA"/>
        </w:rPr>
        <w:t xml:space="preserve"> </w:t>
      </w:r>
    </w:p>
    <w:p w:rsidR="005D548D" w:rsidRDefault="00937D84" w:rsidP="00937D84">
      <w:pPr>
        <w:pStyle w:val="a7"/>
        <w:spacing w:line="276" w:lineRule="auto"/>
        <w:ind w:firstLine="745"/>
        <w:jc w:val="both"/>
        <w:rPr>
          <w:sz w:val="28"/>
          <w:szCs w:val="28"/>
          <w:lang w:val="en-US"/>
        </w:rPr>
      </w:pPr>
      <w:r w:rsidRPr="00937D84">
        <w:rPr>
          <w:sz w:val="28"/>
          <w:szCs w:val="28"/>
          <w:lang w:val="en"/>
        </w:rPr>
        <w:t xml:space="preserve">Regarding the </w:t>
      </w:r>
      <w:r>
        <w:rPr>
          <w:sz w:val="28"/>
          <w:szCs w:val="28"/>
          <w:lang w:val="en"/>
        </w:rPr>
        <w:t xml:space="preserve">room </w:t>
      </w:r>
      <w:r w:rsidRPr="00937D84">
        <w:rPr>
          <w:sz w:val="28"/>
          <w:szCs w:val="28"/>
          <w:lang w:val="en"/>
        </w:rPr>
        <w:t xml:space="preserve">reservation </w:t>
      </w:r>
      <w:r>
        <w:rPr>
          <w:sz w:val="28"/>
          <w:szCs w:val="28"/>
          <w:lang w:val="en"/>
        </w:rPr>
        <w:t>in Ode</w:t>
      </w:r>
      <w:r w:rsidRPr="00937D84">
        <w:rPr>
          <w:sz w:val="28"/>
          <w:szCs w:val="28"/>
          <w:lang w:val="en"/>
        </w:rPr>
        <w:t>sa hotels for participants of the conference on special preferential prices, contact the company "EVENT TOUR SERVICE"</w:t>
      </w:r>
      <w:r w:rsidR="005D548D">
        <w:rPr>
          <w:sz w:val="28"/>
          <w:szCs w:val="28"/>
          <w:lang w:val="en-US"/>
        </w:rPr>
        <w:t xml:space="preserve">: </w:t>
      </w:r>
    </w:p>
    <w:p w:rsidR="00BA590E" w:rsidRDefault="005D548D" w:rsidP="005D548D">
      <w:pPr>
        <w:pStyle w:val="a7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tel</w:t>
      </w:r>
      <w:r w:rsidR="00BA590E">
        <w:rPr>
          <w:sz w:val="28"/>
          <w:szCs w:val="28"/>
          <w:lang w:val="uk-UA"/>
        </w:rPr>
        <w:t>.: +380 (44) 592 41 67, +380 (044) 223 70 75.</w:t>
      </w:r>
    </w:p>
    <w:p w:rsidR="000536A0" w:rsidRPr="00553758" w:rsidRDefault="000536A0" w:rsidP="00053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5375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40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537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estour</w:t>
        </w:r>
        <w:r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553758">
        <w:rPr>
          <w:rStyle w:val="ab"/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C60EAD" w:rsidRPr="00657B5B" w:rsidRDefault="00C60EAD" w:rsidP="00036369">
      <w:pPr>
        <w:pStyle w:val="a7"/>
        <w:spacing w:before="14" w:line="276" w:lineRule="auto"/>
        <w:jc w:val="both"/>
        <w:rPr>
          <w:sz w:val="28"/>
          <w:szCs w:val="28"/>
          <w:lang w:val="uk-UA"/>
        </w:rPr>
      </w:pPr>
    </w:p>
    <w:p w:rsidR="00F81307" w:rsidRPr="00657B5B" w:rsidRDefault="00F8388A" w:rsidP="00F81307">
      <w:pPr>
        <w:pStyle w:val="a7"/>
        <w:tabs>
          <w:tab w:val="left" w:pos="8222"/>
          <w:tab w:val="left" w:pos="9781"/>
        </w:tabs>
        <w:spacing w:line="269" w:lineRule="exact"/>
        <w:jc w:val="center"/>
        <w:rPr>
          <w:b/>
          <w:bCs/>
          <w:sz w:val="28"/>
          <w:szCs w:val="28"/>
          <w:lang w:val="uk-UA"/>
        </w:rPr>
      </w:pPr>
      <w:r w:rsidRPr="00657B5B">
        <w:rPr>
          <w:b/>
          <w:bCs/>
          <w:sz w:val="28"/>
          <w:szCs w:val="28"/>
          <w:lang w:val="uk-UA"/>
        </w:rPr>
        <w:t xml:space="preserve"> </w:t>
      </w:r>
      <w:r w:rsidR="005D548D">
        <w:rPr>
          <w:b/>
          <w:bCs/>
          <w:sz w:val="28"/>
          <w:szCs w:val="28"/>
          <w:lang w:val="en-US"/>
        </w:rPr>
        <w:t xml:space="preserve">CONFERENCE ORGANIZING COMMITTEE ADDRESS </w:t>
      </w:r>
    </w:p>
    <w:p w:rsidR="009F19A0" w:rsidRPr="00657B5B" w:rsidRDefault="00F81307" w:rsidP="00F81307">
      <w:pPr>
        <w:pStyle w:val="a7"/>
        <w:spacing w:line="269" w:lineRule="exact"/>
        <w:ind w:right="2592"/>
        <w:jc w:val="center"/>
        <w:rPr>
          <w:sz w:val="28"/>
          <w:szCs w:val="28"/>
          <w:lang w:val="uk-UA"/>
        </w:rPr>
      </w:pPr>
      <w:r w:rsidRPr="00657B5B">
        <w:rPr>
          <w:sz w:val="28"/>
          <w:szCs w:val="28"/>
          <w:lang w:val="uk-UA"/>
        </w:rPr>
        <w:t xml:space="preserve">                                  </w:t>
      </w:r>
    </w:p>
    <w:p w:rsidR="005D548D" w:rsidRPr="005D548D" w:rsidRDefault="00897159" w:rsidP="005D548D">
      <w:pPr>
        <w:pStyle w:val="a7"/>
        <w:tabs>
          <w:tab w:val="left" w:pos="9781"/>
        </w:tabs>
        <w:spacing w:line="269" w:lineRule="exact"/>
        <w:jc w:val="center"/>
        <w:rPr>
          <w:sz w:val="28"/>
          <w:szCs w:val="28"/>
          <w:lang w:val="uk-UA"/>
        </w:rPr>
      </w:pPr>
      <w:r w:rsidRPr="00BA590E">
        <w:rPr>
          <w:sz w:val="28"/>
          <w:szCs w:val="28"/>
          <w:lang w:val="uk-UA"/>
        </w:rPr>
        <w:t xml:space="preserve">     </w:t>
      </w:r>
      <w:r w:rsidR="005D548D" w:rsidRPr="005D548D">
        <w:rPr>
          <w:sz w:val="28"/>
          <w:szCs w:val="28"/>
          <w:lang w:val="uk-UA"/>
        </w:rPr>
        <w:t>ONPU, 1, Shevchenko, Ave</w:t>
      </w:r>
    </w:p>
    <w:p w:rsidR="005D548D" w:rsidRPr="005D548D" w:rsidRDefault="005D548D" w:rsidP="005D548D">
      <w:pPr>
        <w:pStyle w:val="a7"/>
        <w:tabs>
          <w:tab w:val="left" w:pos="9781"/>
        </w:tabs>
        <w:spacing w:line="269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Ode</w:t>
      </w:r>
      <w:r w:rsidRPr="005D548D">
        <w:rPr>
          <w:sz w:val="28"/>
          <w:szCs w:val="28"/>
          <w:lang w:val="uk-UA"/>
        </w:rPr>
        <w:t>sa, Ukraine, 65044</w:t>
      </w:r>
    </w:p>
    <w:p w:rsidR="005D548D" w:rsidRPr="005D548D" w:rsidRDefault="005D548D" w:rsidP="005D548D">
      <w:pPr>
        <w:pStyle w:val="a7"/>
        <w:tabs>
          <w:tab w:val="left" w:pos="9781"/>
        </w:tabs>
        <w:spacing w:line="269" w:lineRule="exact"/>
        <w:jc w:val="center"/>
        <w:rPr>
          <w:sz w:val="28"/>
          <w:szCs w:val="28"/>
          <w:lang w:val="uk-UA"/>
        </w:rPr>
      </w:pPr>
      <w:r w:rsidRPr="005D548D">
        <w:rPr>
          <w:sz w:val="28"/>
          <w:szCs w:val="28"/>
          <w:lang w:val="uk-UA"/>
        </w:rPr>
        <w:t>tel.: +38 (067) 948-87-40, +38 (048) 705-86-88</w:t>
      </w:r>
    </w:p>
    <w:p w:rsidR="005D548D" w:rsidRDefault="005D548D" w:rsidP="005D548D">
      <w:pPr>
        <w:pStyle w:val="a7"/>
        <w:tabs>
          <w:tab w:val="left" w:pos="9781"/>
        </w:tabs>
        <w:spacing w:line="269" w:lineRule="exact"/>
        <w:jc w:val="center"/>
        <w:rPr>
          <w:sz w:val="28"/>
          <w:szCs w:val="28"/>
          <w:lang w:val="uk-UA"/>
        </w:rPr>
      </w:pPr>
      <w:r w:rsidRPr="005D548D">
        <w:rPr>
          <w:sz w:val="28"/>
          <w:szCs w:val="28"/>
          <w:lang w:val="uk-UA"/>
        </w:rPr>
        <w:t xml:space="preserve">e-mail: </w:t>
      </w:r>
      <w:hyperlink r:id="rId9" w:history="1">
        <w:r w:rsidRPr="00B5039D">
          <w:rPr>
            <w:rStyle w:val="ab"/>
            <w:sz w:val="28"/>
            <w:szCs w:val="28"/>
            <w:lang w:val="en-US"/>
          </w:rPr>
          <w:t>npp.safety@i.ua</w:t>
        </w:r>
      </w:hyperlink>
    </w:p>
    <w:p w:rsidR="00F81307" w:rsidRPr="00BA590E" w:rsidRDefault="00BA590E" w:rsidP="005D548D">
      <w:pPr>
        <w:pStyle w:val="a7"/>
        <w:spacing w:line="269" w:lineRule="exact"/>
        <w:ind w:right="2592"/>
        <w:rPr>
          <w:sz w:val="28"/>
          <w:szCs w:val="28"/>
          <w:lang w:val="uk-UA"/>
        </w:rPr>
      </w:pPr>
      <w:r w:rsidRPr="00BA590E">
        <w:rPr>
          <w:sz w:val="28"/>
          <w:szCs w:val="28"/>
          <w:lang w:val="uk-UA"/>
        </w:rPr>
        <w:lastRenderedPageBreak/>
        <w:t xml:space="preserve"> </w:t>
      </w:r>
    </w:p>
    <w:sectPr w:rsidR="00F81307" w:rsidRPr="00BA590E" w:rsidSect="00FE18B1">
      <w:headerReference w:type="default" r:id="rId10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90" w:rsidRDefault="00321590" w:rsidP="008A5084">
      <w:pPr>
        <w:spacing w:after="0" w:line="240" w:lineRule="auto"/>
      </w:pPr>
      <w:r>
        <w:separator/>
      </w:r>
    </w:p>
  </w:endnote>
  <w:endnote w:type="continuationSeparator" w:id="0">
    <w:p w:rsidR="00321590" w:rsidRDefault="00321590" w:rsidP="008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90" w:rsidRDefault="00321590" w:rsidP="008A5084">
      <w:pPr>
        <w:spacing w:after="0" w:line="240" w:lineRule="auto"/>
      </w:pPr>
      <w:r>
        <w:separator/>
      </w:r>
    </w:p>
  </w:footnote>
  <w:footnote w:type="continuationSeparator" w:id="0">
    <w:p w:rsidR="00321590" w:rsidRDefault="00321590" w:rsidP="008A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79704"/>
      <w:docPartObj>
        <w:docPartGallery w:val="Page Numbers (Top of Page)"/>
        <w:docPartUnique/>
      </w:docPartObj>
    </w:sdtPr>
    <w:sdtEndPr/>
    <w:sdtContent>
      <w:p w:rsidR="004A05F8" w:rsidRDefault="00454408">
        <w:pPr>
          <w:pStyle w:val="a3"/>
          <w:jc w:val="right"/>
        </w:pPr>
        <w:r>
          <w:fldChar w:fldCharType="begin"/>
        </w:r>
        <w:r w:rsidR="004A05F8">
          <w:instrText>PAGE   \* MERGEFORMAT</w:instrText>
        </w:r>
        <w:r>
          <w:fldChar w:fldCharType="separate"/>
        </w:r>
        <w:r w:rsidR="00C25C6E">
          <w:rPr>
            <w:noProof/>
          </w:rPr>
          <w:t>4</w:t>
        </w:r>
        <w:r>
          <w:fldChar w:fldCharType="end"/>
        </w:r>
      </w:p>
    </w:sdtContent>
  </w:sdt>
  <w:p w:rsidR="008A5084" w:rsidRPr="004A05F8" w:rsidRDefault="008A5084" w:rsidP="004A0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B61"/>
    <w:multiLevelType w:val="singleLevel"/>
    <w:tmpl w:val="177C66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4"/>
    <w:rsid w:val="00036369"/>
    <w:rsid w:val="000536A0"/>
    <w:rsid w:val="000F6C05"/>
    <w:rsid w:val="00103B2A"/>
    <w:rsid w:val="00165AE0"/>
    <w:rsid w:val="001A0C48"/>
    <w:rsid w:val="001A717C"/>
    <w:rsid w:val="001D7A18"/>
    <w:rsid w:val="001E5C24"/>
    <w:rsid w:val="00221101"/>
    <w:rsid w:val="00227F53"/>
    <w:rsid w:val="00254078"/>
    <w:rsid w:val="002644D2"/>
    <w:rsid w:val="002A6F8C"/>
    <w:rsid w:val="002B6C78"/>
    <w:rsid w:val="002E06A8"/>
    <w:rsid w:val="002F60E4"/>
    <w:rsid w:val="003140AB"/>
    <w:rsid w:val="00321590"/>
    <w:rsid w:val="00346836"/>
    <w:rsid w:val="00373E8C"/>
    <w:rsid w:val="00383FB6"/>
    <w:rsid w:val="003E2F42"/>
    <w:rsid w:val="003E3D1A"/>
    <w:rsid w:val="0040126B"/>
    <w:rsid w:val="004101A4"/>
    <w:rsid w:val="0041750E"/>
    <w:rsid w:val="00454408"/>
    <w:rsid w:val="004676C9"/>
    <w:rsid w:val="0049431D"/>
    <w:rsid w:val="004A05F8"/>
    <w:rsid w:val="005119CF"/>
    <w:rsid w:val="00517D60"/>
    <w:rsid w:val="00546CF3"/>
    <w:rsid w:val="00554617"/>
    <w:rsid w:val="00580DF3"/>
    <w:rsid w:val="00582220"/>
    <w:rsid w:val="00583590"/>
    <w:rsid w:val="005956E9"/>
    <w:rsid w:val="005A55D3"/>
    <w:rsid w:val="005A57C4"/>
    <w:rsid w:val="005D4896"/>
    <w:rsid w:val="005D548D"/>
    <w:rsid w:val="00610659"/>
    <w:rsid w:val="00611655"/>
    <w:rsid w:val="00616028"/>
    <w:rsid w:val="0064115A"/>
    <w:rsid w:val="00657B5B"/>
    <w:rsid w:val="006679FF"/>
    <w:rsid w:val="00691099"/>
    <w:rsid w:val="0069239E"/>
    <w:rsid w:val="006B7CB4"/>
    <w:rsid w:val="006F60F4"/>
    <w:rsid w:val="0073442E"/>
    <w:rsid w:val="007379BB"/>
    <w:rsid w:val="007412D1"/>
    <w:rsid w:val="0075596D"/>
    <w:rsid w:val="0077783B"/>
    <w:rsid w:val="00793BDC"/>
    <w:rsid w:val="007A5B1B"/>
    <w:rsid w:val="007D454B"/>
    <w:rsid w:val="00823B49"/>
    <w:rsid w:val="00850880"/>
    <w:rsid w:val="00857A17"/>
    <w:rsid w:val="00897159"/>
    <w:rsid w:val="008A5084"/>
    <w:rsid w:val="008D3336"/>
    <w:rsid w:val="00935A9E"/>
    <w:rsid w:val="00937D84"/>
    <w:rsid w:val="00950E72"/>
    <w:rsid w:val="00961C12"/>
    <w:rsid w:val="00964FB8"/>
    <w:rsid w:val="00973B2A"/>
    <w:rsid w:val="0098255B"/>
    <w:rsid w:val="009F19A0"/>
    <w:rsid w:val="00A07011"/>
    <w:rsid w:val="00A7275A"/>
    <w:rsid w:val="00A80DA2"/>
    <w:rsid w:val="00A92377"/>
    <w:rsid w:val="00AA4B20"/>
    <w:rsid w:val="00AC0404"/>
    <w:rsid w:val="00AE3E2A"/>
    <w:rsid w:val="00B5197E"/>
    <w:rsid w:val="00B94A02"/>
    <w:rsid w:val="00BA590E"/>
    <w:rsid w:val="00BA7575"/>
    <w:rsid w:val="00BE5108"/>
    <w:rsid w:val="00BE5A50"/>
    <w:rsid w:val="00C25C6E"/>
    <w:rsid w:val="00C3513E"/>
    <w:rsid w:val="00C459F9"/>
    <w:rsid w:val="00C60EAD"/>
    <w:rsid w:val="00C76189"/>
    <w:rsid w:val="00CA212D"/>
    <w:rsid w:val="00CA6923"/>
    <w:rsid w:val="00D0756E"/>
    <w:rsid w:val="00D32CD8"/>
    <w:rsid w:val="00D505E4"/>
    <w:rsid w:val="00D8768A"/>
    <w:rsid w:val="00DF7323"/>
    <w:rsid w:val="00E00408"/>
    <w:rsid w:val="00E050A1"/>
    <w:rsid w:val="00E27D8B"/>
    <w:rsid w:val="00E51DA8"/>
    <w:rsid w:val="00EB5215"/>
    <w:rsid w:val="00F134B3"/>
    <w:rsid w:val="00F13678"/>
    <w:rsid w:val="00F21D32"/>
    <w:rsid w:val="00F61912"/>
    <w:rsid w:val="00F81307"/>
    <w:rsid w:val="00F8388A"/>
    <w:rsid w:val="00FC058E"/>
    <w:rsid w:val="00FE18B1"/>
    <w:rsid w:val="00FE4C67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9768"/>
  <w15:docId w15:val="{56FAB556-6EB8-4F19-A3C5-B75520A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084"/>
  </w:style>
  <w:style w:type="paragraph" w:styleId="a5">
    <w:name w:val="footer"/>
    <w:basedOn w:val="a"/>
    <w:link w:val="a6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084"/>
  </w:style>
  <w:style w:type="paragraph" w:customStyle="1" w:styleId="a7">
    <w:name w:val="Стиль"/>
    <w:rsid w:val="00793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3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estour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p.safety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Швитай Володимир Альбертович</dc:creator>
  <cp:lastModifiedBy>Чурсіна Інна Сергіївна</cp:lastModifiedBy>
  <cp:revision>6</cp:revision>
  <cp:lastPrinted>2016-03-14T13:23:00Z</cp:lastPrinted>
  <dcterms:created xsi:type="dcterms:W3CDTF">2017-12-11T12:15:00Z</dcterms:created>
  <dcterms:modified xsi:type="dcterms:W3CDTF">2017-12-12T14:15:00Z</dcterms:modified>
</cp:coreProperties>
</file>