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63" w:rsidRPr="009D7A63" w:rsidRDefault="00941C24" w:rsidP="009D7A63">
      <w:pPr>
        <w:keepNext/>
        <w:keepLines/>
        <w:spacing w:before="120" w:after="40" w:line="240" w:lineRule="auto"/>
        <w:jc w:val="both"/>
        <w:outlineLvl w:val="2"/>
        <w:rPr>
          <w:rFonts w:ascii="Calibri" w:eastAsia="Times New Roman" w:hAnsi="Calibri" w:cs="Times New Roman"/>
          <w:color w:val="4F81BD"/>
          <w:spacing w:val="4"/>
          <w:sz w:val="28"/>
          <w:szCs w:val="24"/>
          <w:lang w:val="en-US" w:eastAsia="ru-RU"/>
        </w:rPr>
      </w:pPr>
      <w:bookmarkStart w:id="0" w:name="_Toc5716876"/>
      <w:r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>Bushehr</w:t>
      </w:r>
      <w:r w:rsidR="009D7A63"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NPP</w:t>
      </w:r>
      <w:bookmarkEnd w:id="0"/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Times New Roman" w:hAnsi="Calibri" w:cs="Times New Roman"/>
          <w:lang w:val="en-US" w:eastAsia="ru-RU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Table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Information on </w:t>
      </w:r>
      <w:r w:rsidR="00941C24" w:rsidRPr="00941C24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Bushehr </w:t>
      </w:r>
      <w:r w:rsidR="00941C24"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NPP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:</w:t>
      </w:r>
    </w:p>
    <w:tbl>
      <w:tblPr>
        <w:tblW w:w="913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453"/>
        <w:gridCol w:w="1921"/>
        <w:gridCol w:w="1755"/>
        <w:gridCol w:w="2439"/>
      </w:tblGrid>
      <w:tr w:rsidR="009D7A63" w:rsidRPr="009D7A63" w:rsidTr="009D7A63">
        <w:tc>
          <w:tcPr>
            <w:tcW w:w="1568" w:type="dxa"/>
            <w:shd w:val="clear" w:color="auto" w:fill="DDD9C3"/>
            <w:vAlign w:val="center"/>
          </w:tcPr>
          <w:p w:rsidR="009D7A63" w:rsidRPr="009D7A63" w:rsidRDefault="00A53AD4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highlight w:val="red"/>
                <w:lang w:val="en-US" w:eastAsia="ru-RU"/>
              </w:rPr>
            </w:pPr>
            <w:hyperlink r:id="rId7" w:history="1">
              <w:r w:rsidR="009D7A63" w:rsidRPr="009D7A63">
                <w:rPr>
                  <w:rFonts w:ascii="Calibri" w:eastAsia="Times New Roman" w:hAnsi="Calibri" w:cs="Times New Roman"/>
                  <w:b/>
                  <w:smallCaps/>
                  <w:lang w:val="en-US" w:eastAsia="ru-RU"/>
                </w:rPr>
                <w:t>Unit</w:t>
              </w:r>
            </w:hyperlink>
          </w:p>
        </w:tc>
        <w:tc>
          <w:tcPr>
            <w:tcW w:w="1453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highlight w:val="red"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  <w:t>Reactor Type</w:t>
            </w:r>
          </w:p>
        </w:tc>
        <w:tc>
          <w:tcPr>
            <w:tcW w:w="1921" w:type="dxa"/>
            <w:shd w:val="clear" w:color="auto" w:fill="DDD9C3"/>
            <w:vAlign w:val="center"/>
          </w:tcPr>
          <w:p w:rsidR="009D7A63" w:rsidRPr="009D7A63" w:rsidRDefault="00A53AD4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highlight w:val="red"/>
                <w:lang w:val="en-US" w:eastAsia="ru-RU"/>
              </w:rPr>
            </w:pPr>
            <w:hyperlink r:id="rId8" w:history="1">
              <w:r w:rsidR="009D7A63" w:rsidRPr="009D7A63">
                <w:rPr>
                  <w:rFonts w:ascii="Calibri" w:eastAsia="Times New Roman" w:hAnsi="Calibri" w:cs="Times New Roman"/>
                  <w:b/>
                  <w:smallCaps/>
                  <w:lang w:val="en-US" w:eastAsia="ru-RU"/>
                </w:rPr>
                <w:t>Capacity</w:t>
              </w:r>
            </w:hyperlink>
          </w:p>
        </w:tc>
        <w:tc>
          <w:tcPr>
            <w:tcW w:w="1755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sz w:val="20"/>
                <w:szCs w:val="20"/>
                <w:highlight w:val="red"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  <w:t>Commissioning date</w:t>
            </w:r>
          </w:p>
        </w:tc>
        <w:tc>
          <w:tcPr>
            <w:tcW w:w="2439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  <w:t xml:space="preserve">Design lifetime </w:t>
            </w:r>
          </w:p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b/>
                <w:smallCaps/>
                <w:lang w:val="en-US" w:eastAsia="ru-RU"/>
              </w:rPr>
              <w:t>expiration / Extension</w:t>
            </w:r>
          </w:p>
        </w:tc>
      </w:tr>
      <w:tr w:rsidR="009D7A63" w:rsidRPr="009D7A63" w:rsidTr="009D7A63">
        <w:tc>
          <w:tcPr>
            <w:tcW w:w="1568" w:type="dxa"/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smallCaps/>
                <w:lang w:val="en-US" w:eastAsia="ru-RU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</w:p>
        </w:tc>
      </w:tr>
      <w:tr w:rsidR="009D7A63" w:rsidRPr="009D7A63" w:rsidTr="009D7A63">
        <w:tc>
          <w:tcPr>
            <w:tcW w:w="1568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  <w:r w:rsidRPr="009D7A63">
              <w:rPr>
                <w:rFonts w:ascii="Calibri" w:eastAsia="Times New Roman" w:hAnsi="Calibri" w:cs="Times New Roman"/>
                <w:smallCaps/>
                <w:lang w:val="en-US" w:eastAsia="ru-RU"/>
              </w:rPr>
              <w:t>2</w:t>
            </w:r>
          </w:p>
        </w:tc>
        <w:tc>
          <w:tcPr>
            <w:tcW w:w="1453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921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55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2439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</w:p>
        </w:tc>
      </w:tr>
      <w:tr w:rsidR="009D7A63" w:rsidRPr="009D7A63" w:rsidTr="009D7A63">
        <w:tc>
          <w:tcPr>
            <w:tcW w:w="1568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mallCaps/>
                <w:lang w:val="en-US" w:eastAsia="ru-RU"/>
              </w:rPr>
              <w:t>3</w:t>
            </w:r>
          </w:p>
        </w:tc>
        <w:tc>
          <w:tcPr>
            <w:tcW w:w="1453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921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55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2439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</w:p>
        </w:tc>
      </w:tr>
      <w:tr w:rsidR="009D7A63" w:rsidRPr="009D7A63" w:rsidTr="009D7A63">
        <w:tc>
          <w:tcPr>
            <w:tcW w:w="1568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mallCaps/>
                <w:lang w:val="en-US" w:eastAsia="ru-RU"/>
              </w:rPr>
              <w:t>4</w:t>
            </w:r>
          </w:p>
        </w:tc>
        <w:tc>
          <w:tcPr>
            <w:tcW w:w="1453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921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1755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sz w:val="20"/>
                <w:szCs w:val="20"/>
                <w:highlight w:val="red"/>
                <w:lang w:val="en-US" w:eastAsia="ru-RU"/>
              </w:rPr>
            </w:pPr>
          </w:p>
        </w:tc>
        <w:tc>
          <w:tcPr>
            <w:tcW w:w="2439" w:type="dxa"/>
            <w:vAlign w:val="center"/>
          </w:tcPr>
          <w:p w:rsidR="009D7A63" w:rsidRPr="009D7A63" w:rsidRDefault="009D7A63" w:rsidP="009D7A63">
            <w:pPr>
              <w:spacing w:before="120" w:after="120" w:line="240" w:lineRule="auto"/>
              <w:ind w:left="34"/>
              <w:jc w:val="center"/>
              <w:rPr>
                <w:rFonts w:ascii="Calibri" w:eastAsia="Times New Roman" w:hAnsi="Calibri" w:cs="Times New Roman"/>
                <w:smallCaps/>
                <w:lang w:val="en-US" w:eastAsia="ru-RU"/>
              </w:rPr>
            </w:pPr>
          </w:p>
        </w:tc>
      </w:tr>
    </w:tbl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Key events and significant changes: </w:t>
      </w:r>
      <w:r w:rsidRPr="009D7A63">
        <w:rPr>
          <w:rFonts w:ascii="Calibri" w:eastAsia="SimSun" w:hAnsi="Calibri" w:cs="Arial"/>
          <w:smallCaps/>
          <w:sz w:val="24"/>
          <w:szCs w:val="24"/>
          <w:lang w:val="en-US"/>
        </w:rPr>
        <w:t xml:space="preserve">(related to upgrading, reconstruction, and lifetime extension) </w:t>
      </w: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smallCaps/>
          <w:sz w:val="24"/>
          <w:szCs w:val="24"/>
          <w:lang w:val="en-US"/>
        </w:rPr>
        <w:t xml:space="preserve">The number of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smallCaps/>
          <w:sz w:val="24"/>
          <w:szCs w:val="24"/>
          <w:lang w:val="en-US"/>
        </w:rPr>
        <w:t>NPP employees at the end of 201</w:t>
      </w:r>
      <w:r>
        <w:rPr>
          <w:rFonts w:ascii="Calibri" w:eastAsia="SimSun" w:hAnsi="Calibri" w:cs="Arial"/>
          <w:smallCaps/>
          <w:sz w:val="24"/>
          <w:szCs w:val="24"/>
          <w:lang w:val="en-US"/>
        </w:rPr>
        <w:t>9</w:t>
      </w:r>
      <w:r w:rsidRPr="009D7A63">
        <w:rPr>
          <w:rFonts w:ascii="Calibri" w:eastAsia="SimSun" w:hAnsi="Calibri" w:cs="Arial"/>
          <w:smallCaps/>
          <w:sz w:val="24"/>
          <w:szCs w:val="24"/>
          <w:lang w:val="en-US"/>
        </w:rPr>
        <w:t xml:space="preserve"> was . </w:t>
      </w:r>
    </w:p>
    <w:p w:rsidR="009D7A63" w:rsidRPr="00835442" w:rsidRDefault="00835442" w:rsidP="00835442">
      <w:pPr>
        <w:tabs>
          <w:tab w:val="left" w:pos="426"/>
        </w:tabs>
        <w:spacing w:before="120" w:after="40" w:line="240" w:lineRule="auto"/>
        <w:ind w:left="426"/>
        <w:rPr>
          <w:rFonts w:ascii="Calibri" w:eastAsia="SimSun" w:hAnsi="Calibri" w:cs="Arial"/>
          <w:smallCaps/>
          <w:sz w:val="24"/>
          <w:szCs w:val="24"/>
          <w:lang w:val="en-US"/>
        </w:rPr>
      </w:pPr>
      <w:r w:rsidRPr="00835442">
        <w:rPr>
          <w:rFonts w:ascii="Calibri" w:eastAsia="SimSun" w:hAnsi="Calibri" w:cs="Arial"/>
          <w:smallCaps/>
          <w:sz w:val="24"/>
          <w:szCs w:val="24"/>
          <w:lang w:val="en-US"/>
        </w:rPr>
        <w:t>Average age of staff</w:t>
      </w:r>
      <w:r>
        <w:rPr>
          <w:rFonts w:ascii="Calibri" w:eastAsia="SimSun" w:hAnsi="Calibri" w:cs="Arial"/>
          <w:smallCaps/>
          <w:sz w:val="24"/>
          <w:szCs w:val="24"/>
          <w:lang w:val="en-US"/>
        </w:rPr>
        <w:t>:</w:t>
      </w:r>
    </w:p>
    <w:p w:rsidR="00835442" w:rsidRDefault="00835442" w:rsidP="009D7A63">
      <w:pPr>
        <w:spacing w:before="120" w:after="40" w:line="240" w:lineRule="auto"/>
        <w:ind w:left="777"/>
        <w:contextualSpacing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before="120" w:after="40" w:line="240" w:lineRule="auto"/>
        <w:ind w:left="777"/>
        <w:contextualSpacing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WANO Index for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</w:t>
      </w:r>
    </w:p>
    <w:p w:rsidR="009D7A63" w:rsidRPr="009D7A63" w:rsidRDefault="009D7A63" w:rsidP="009D7A63">
      <w:pPr>
        <w:spacing w:before="120" w:after="40" w:line="240" w:lineRule="auto"/>
        <w:ind w:left="-284"/>
        <w:contextualSpacing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The best plant performance indicators</w:t>
      </w:r>
    </w:p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The worst plant performance indicators</w:t>
      </w: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after="0" w:line="240" w:lineRule="auto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br w:type="page"/>
      </w: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before="240" w:after="2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Electricity output diagram for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unit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1</w:t>
      </w:r>
    </w:p>
    <w:p w:rsidR="009D7A63" w:rsidRPr="009D7A63" w:rsidRDefault="009D7A63" w:rsidP="009D7A63">
      <w:pPr>
        <w:spacing w:before="240" w:after="2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Electricity output diagram for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unit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2</w:t>
      </w:r>
    </w:p>
    <w:p w:rsidR="009D7A63" w:rsidRPr="009D7A63" w:rsidRDefault="009D7A63" w:rsidP="009D7A63">
      <w:pPr>
        <w:spacing w:before="240" w:after="2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Electricity output diagram for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unit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3</w:t>
      </w:r>
    </w:p>
    <w:p w:rsidR="009D7A63" w:rsidRPr="009D7A63" w:rsidRDefault="009D7A63" w:rsidP="009D7A63">
      <w:pPr>
        <w:spacing w:before="240" w:after="2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Electricity output diagram for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lang w:val="en-US" w:eastAsia="ru-RU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unit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4</w:t>
      </w:r>
    </w:p>
    <w:p w:rsidR="009D7A63" w:rsidRPr="009D7A63" w:rsidRDefault="009D7A63" w:rsidP="009D7A63">
      <w:pPr>
        <w:spacing w:before="240" w:after="240" w:line="240" w:lineRule="auto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hAnsi="Calibri" w:cs="Times New Roman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834F1" wp14:editId="17D3E655">
                <wp:simplePos x="0" y="0"/>
                <wp:positionH relativeFrom="column">
                  <wp:posOffset>5150593</wp:posOffset>
                </wp:positionH>
                <wp:positionV relativeFrom="paragraph">
                  <wp:posOffset>64267</wp:posOffset>
                </wp:positionV>
                <wp:extent cx="879894" cy="189781"/>
                <wp:effectExtent l="0" t="0" r="0" b="127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1897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A63" w:rsidRPr="00CC6CF0" w:rsidRDefault="009D7A63" w:rsidP="009D7A6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B834F1"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405.55pt;margin-top:5.05pt;width:69.3pt;height:14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" fillcolor="window" stroked="f" strokeweight=".5pt">
                <v:textbox inset="0,0,0,0">
                  <w:txbxContent>
                    <w:p w:rsidR="009D7A63" w:rsidRPr="00CC6CF0" w:rsidRDefault="009D7A63" w:rsidP="009D7A63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A63" w:rsidRPr="009D7A63" w:rsidRDefault="009D7A63" w:rsidP="009D7A63">
      <w:pPr>
        <w:spacing w:before="120" w:after="4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Figure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Events at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</w:t>
      </w:r>
    </w:p>
    <w:p w:rsidR="009D7A63" w:rsidRPr="009D7A63" w:rsidRDefault="009D7A63" w:rsidP="009D7A63">
      <w:pPr>
        <w:spacing w:before="120" w:after="40" w:line="240" w:lineRule="auto"/>
        <w:ind w:left="357"/>
        <w:rPr>
          <w:rFonts w:eastAsia="SimSun" w:cstheme="minorHAnsi"/>
          <w:i/>
          <w:smallCaps/>
          <w:color w:val="7030A0"/>
          <w:sz w:val="20"/>
          <w:szCs w:val="24"/>
          <w:lang w:val="en-US"/>
        </w:rPr>
      </w:pPr>
    </w:p>
    <w:p w:rsidR="009D7A63" w:rsidRPr="009D7A63" w:rsidRDefault="009D7A63" w:rsidP="009D7A63">
      <w:pPr>
        <w:spacing w:before="320" w:after="40" w:line="240" w:lineRule="auto"/>
        <w:ind w:left="357"/>
        <w:jc w:val="both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Conclusion: </w:t>
      </w:r>
    </w:p>
    <w:p w:rsidR="009D7A63" w:rsidRPr="009D7A63" w:rsidRDefault="009D7A63" w:rsidP="009D7A63">
      <w:pPr>
        <w:spacing w:before="320" w:after="4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Table 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Activities completed under the WANO programmes at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 NPP in  201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5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- 201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9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29"/>
        <w:gridCol w:w="1231"/>
        <w:gridCol w:w="2037"/>
        <w:gridCol w:w="1647"/>
        <w:gridCol w:w="1136"/>
      </w:tblGrid>
      <w:tr w:rsidR="009D7A63" w:rsidRPr="009D7A63" w:rsidTr="009D7A63">
        <w:trPr>
          <w:tblHeader/>
        </w:trPr>
        <w:tc>
          <w:tcPr>
            <w:tcW w:w="1276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Years</w:t>
            </w:r>
          </w:p>
        </w:tc>
        <w:tc>
          <w:tcPr>
            <w:tcW w:w="2029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Peer reviews</w:t>
            </w:r>
          </w:p>
        </w:tc>
        <w:tc>
          <w:tcPr>
            <w:tcW w:w="1231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val="en-US"/>
              </w:rPr>
              <w:t>MSM</w:t>
            </w:r>
          </w:p>
        </w:tc>
        <w:tc>
          <w:tcPr>
            <w:tcW w:w="2037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ind w:left="-1150" w:firstLine="1150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val="en-US"/>
              </w:rPr>
              <w:t>Benchmarking</w:t>
            </w:r>
          </w:p>
        </w:tc>
        <w:tc>
          <w:tcPr>
            <w:tcW w:w="1647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val="en-US"/>
              </w:rPr>
              <w:t>Training &amp; Development activities</w:t>
            </w:r>
          </w:p>
        </w:tc>
        <w:tc>
          <w:tcPr>
            <w:tcW w:w="1136" w:type="dxa"/>
            <w:shd w:val="clear" w:color="auto" w:fill="DDD9C3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Times New Roman" w:hAnsi="Calibri" w:cs="Arial"/>
                <w:b/>
                <w:smallCaps/>
                <w:sz w:val="24"/>
                <w:szCs w:val="24"/>
                <w:lang w:val="en-US"/>
              </w:rPr>
              <w:t>Total</w:t>
            </w:r>
          </w:p>
        </w:tc>
      </w:tr>
      <w:tr w:rsidR="009D7A63" w:rsidRPr="009D7A63" w:rsidTr="009D7A63">
        <w:tc>
          <w:tcPr>
            <w:tcW w:w="127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2015</w:t>
            </w:r>
          </w:p>
        </w:tc>
        <w:tc>
          <w:tcPr>
            <w:tcW w:w="2029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231" w:type="dxa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2037" w:type="dxa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9D7A63">
        <w:tc>
          <w:tcPr>
            <w:tcW w:w="127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highlight w:val="red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2016</w:t>
            </w:r>
          </w:p>
        </w:tc>
        <w:tc>
          <w:tcPr>
            <w:tcW w:w="2029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2037" w:type="dxa"/>
            <w:vAlign w:val="center"/>
          </w:tcPr>
          <w:p w:rsidR="009D7A63" w:rsidRPr="009D7A63" w:rsidRDefault="009D7A63" w:rsidP="009D7A63">
            <w:pPr>
              <w:spacing w:after="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9D7A63">
        <w:tc>
          <w:tcPr>
            <w:tcW w:w="127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2017</w:t>
            </w:r>
          </w:p>
        </w:tc>
        <w:tc>
          <w:tcPr>
            <w:tcW w:w="2029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Align w:val="center"/>
          </w:tcPr>
          <w:p w:rsidR="009D7A63" w:rsidRPr="009D7A63" w:rsidRDefault="009D7A63" w:rsidP="009D7A63">
            <w:pPr>
              <w:spacing w:after="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9D7A63">
        <w:tc>
          <w:tcPr>
            <w:tcW w:w="127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2018</w:t>
            </w:r>
          </w:p>
        </w:tc>
        <w:tc>
          <w:tcPr>
            <w:tcW w:w="2029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9D7A63">
        <w:tc>
          <w:tcPr>
            <w:tcW w:w="127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</w:pPr>
            <w:r>
              <w:rPr>
                <w:rFonts w:ascii="Calibri" w:eastAsia="SimSun" w:hAnsi="Calibri" w:cs="Arial"/>
                <w:b/>
                <w:smallCaps/>
                <w:sz w:val="24"/>
                <w:szCs w:val="24"/>
                <w:lang w:val="en-US"/>
              </w:rPr>
              <w:t>2019</w:t>
            </w:r>
          </w:p>
        </w:tc>
        <w:tc>
          <w:tcPr>
            <w:tcW w:w="2029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Times New Roman" w:hAnsi="Calibri" w:cs="Arial"/>
                <w:smallCaps/>
                <w:sz w:val="24"/>
                <w:szCs w:val="24"/>
                <w:lang w:val="en-US"/>
              </w:rPr>
            </w:pPr>
          </w:p>
        </w:tc>
      </w:tr>
    </w:tbl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Table 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 NPP personnel participation in WANO activities in 201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9</w:t>
      </w:r>
    </w:p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</w:p>
    <w:tbl>
      <w:tblPr>
        <w:tblStyle w:val="TableGrid4"/>
        <w:tblW w:w="9301" w:type="dxa"/>
        <w:jc w:val="center"/>
        <w:tblLook w:val="04A0" w:firstRow="1" w:lastRow="0" w:firstColumn="1" w:lastColumn="0" w:noHBand="0" w:noVBand="1"/>
      </w:tblPr>
      <w:tblGrid>
        <w:gridCol w:w="5722"/>
        <w:gridCol w:w="3579"/>
      </w:tblGrid>
      <w:tr w:rsidR="009D7A63" w:rsidRPr="00941C24" w:rsidTr="00A01747">
        <w:trPr>
          <w:jc w:val="center"/>
        </w:trPr>
        <w:tc>
          <w:tcPr>
            <w:tcW w:w="5722" w:type="dxa"/>
            <w:vAlign w:val="center"/>
          </w:tcPr>
          <w:p w:rsidR="009D7A63" w:rsidRPr="009D7A63" w:rsidRDefault="009D7A63" w:rsidP="009D7A63">
            <w:pPr>
              <w:spacing w:before="120" w:after="40"/>
              <w:jc w:val="center"/>
              <w:rPr>
                <w:rFonts w:cs="Arial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="Arial"/>
                <w:b/>
                <w:smallCaps/>
                <w:sz w:val="24"/>
                <w:szCs w:val="24"/>
                <w:lang w:val="en-US"/>
              </w:rPr>
              <w:t>Activites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/>
              <w:jc w:val="center"/>
              <w:rPr>
                <w:rFonts w:cs="Arial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="Arial"/>
                <w:b/>
                <w:smallCaps/>
                <w:sz w:val="24"/>
                <w:szCs w:val="24"/>
                <w:lang w:val="en-US"/>
              </w:rPr>
              <w:t>Number of the plant/organization representatives</w:t>
            </w:r>
          </w:p>
        </w:tc>
      </w:tr>
      <w:tr w:rsidR="009D7A63" w:rsidRPr="009D7A63" w:rsidTr="00A01747">
        <w:trPr>
          <w:jc w:val="center"/>
        </w:trPr>
        <w:tc>
          <w:tcPr>
            <w:tcW w:w="5722" w:type="dxa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both"/>
              <w:rPr>
                <w:rFonts w:cstheme="minorHAnsi"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theme="minorHAnsi"/>
                <w:smallCaps/>
                <w:sz w:val="24"/>
                <w:szCs w:val="24"/>
                <w:lang w:val="en-US"/>
              </w:rPr>
              <w:t>Peer reviews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center"/>
              <w:rPr>
                <w:rFonts w:cstheme="minorHAnsi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A01747">
        <w:trPr>
          <w:trHeight w:val="259"/>
          <w:jc w:val="center"/>
        </w:trPr>
        <w:tc>
          <w:tcPr>
            <w:tcW w:w="5722" w:type="dxa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both"/>
              <w:rPr>
                <w:rFonts w:cstheme="minorHAnsi"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theme="minorHAnsi"/>
                <w:smallCaps/>
                <w:sz w:val="24"/>
                <w:szCs w:val="24"/>
                <w:lang w:val="en-US"/>
              </w:rPr>
              <w:t>MSM, assist visits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center"/>
              <w:rPr>
                <w:rFonts w:cstheme="minorHAnsi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A01747">
        <w:trPr>
          <w:jc w:val="center"/>
        </w:trPr>
        <w:tc>
          <w:tcPr>
            <w:tcW w:w="5722" w:type="dxa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both"/>
              <w:rPr>
                <w:rFonts w:cstheme="minorHAnsi"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theme="minorHAnsi"/>
                <w:smallCaps/>
                <w:sz w:val="24"/>
                <w:szCs w:val="24"/>
                <w:lang w:val="en-US"/>
              </w:rPr>
              <w:t xml:space="preserve">Seminars, workshops 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center"/>
              <w:rPr>
                <w:rFonts w:cstheme="minorHAnsi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A01747">
        <w:trPr>
          <w:jc w:val="center"/>
        </w:trPr>
        <w:tc>
          <w:tcPr>
            <w:tcW w:w="5722" w:type="dxa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both"/>
              <w:rPr>
                <w:rFonts w:cstheme="minorHAnsi"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theme="minorHAnsi"/>
                <w:smallCaps/>
                <w:sz w:val="24"/>
                <w:szCs w:val="24"/>
                <w:lang w:val="en-US"/>
              </w:rPr>
              <w:t>Benchmarking visits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center"/>
              <w:rPr>
                <w:rFonts w:cstheme="minorHAnsi"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A01747">
        <w:trPr>
          <w:jc w:val="center"/>
        </w:trPr>
        <w:tc>
          <w:tcPr>
            <w:tcW w:w="5722" w:type="dxa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both"/>
              <w:rPr>
                <w:rFonts w:cstheme="minorHAnsi"/>
                <w:b/>
                <w:smallCaps/>
                <w:sz w:val="24"/>
                <w:szCs w:val="24"/>
                <w:lang w:val="en-US"/>
              </w:rPr>
            </w:pPr>
            <w:r w:rsidRPr="009D7A63">
              <w:rPr>
                <w:rFonts w:cstheme="minorHAnsi"/>
                <w:b/>
                <w:smallCaps/>
                <w:sz w:val="24"/>
                <w:szCs w:val="24"/>
                <w:lang w:val="en-US"/>
              </w:rPr>
              <w:t>Total:</w:t>
            </w:r>
          </w:p>
        </w:tc>
        <w:tc>
          <w:tcPr>
            <w:tcW w:w="3579" w:type="dxa"/>
            <w:vAlign w:val="center"/>
          </w:tcPr>
          <w:p w:rsidR="009D7A63" w:rsidRPr="009D7A63" w:rsidRDefault="009D7A63" w:rsidP="009D7A63">
            <w:pPr>
              <w:spacing w:before="120" w:after="40" w:line="276" w:lineRule="auto"/>
              <w:ind w:left="357"/>
              <w:jc w:val="center"/>
              <w:rPr>
                <w:rFonts w:cstheme="minorHAnsi"/>
                <w:smallCaps/>
                <w:sz w:val="24"/>
                <w:szCs w:val="24"/>
                <w:lang w:val="en-US"/>
              </w:rPr>
            </w:pPr>
          </w:p>
        </w:tc>
      </w:tr>
    </w:tbl>
    <w:p w:rsidR="009D7A63" w:rsidRDefault="009D7A63" w:rsidP="009D7A63">
      <w:pPr>
        <w:spacing w:before="120" w:after="40" w:line="240" w:lineRule="auto"/>
        <w:ind w:left="357"/>
        <w:jc w:val="both"/>
        <w:rPr>
          <w:rFonts w:eastAsia="SimSun" w:cstheme="minorHAnsi"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eastAsia="SimSun" w:cstheme="minorHAnsi"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after="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bookmarkStart w:id="1" w:name="_GoBack"/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Table  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X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. Status of SOER recommendations implementation by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NPP (as of  201</w:t>
      </w:r>
      <w:r>
        <w:rPr>
          <w:rFonts w:ascii="Calibri" w:eastAsia="SimSun" w:hAnsi="Calibri" w:cs="Arial"/>
          <w:b/>
          <w:smallCaps/>
          <w:sz w:val="24"/>
          <w:szCs w:val="24"/>
          <w:lang w:val="en-US"/>
        </w:rPr>
        <w:t>9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)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4789"/>
        <w:gridCol w:w="1873"/>
        <w:gridCol w:w="2551"/>
      </w:tblGrid>
      <w:tr w:rsidR="009D7A63" w:rsidRPr="009D7A63" w:rsidTr="00BB7708">
        <w:trPr>
          <w:trHeight w:val="534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lang w:val="en-US"/>
              </w:rPr>
              <w:t>Rating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highlight w:val="green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lang w:val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/>
                <w:bCs/>
                <w:smallCaps/>
                <w:sz w:val="24"/>
                <w:szCs w:val="24"/>
                <w:lang w:val="en-US"/>
              </w:rPr>
              <w:t>Number of recommendations</w:t>
            </w:r>
          </w:p>
        </w:tc>
      </w:tr>
      <w:tr w:rsidR="009D7A63" w:rsidRPr="009D7A63" w:rsidTr="00BB7708">
        <w:trPr>
          <w:trHeight w:val="534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63" w:rsidRPr="009D7A63" w:rsidRDefault="009D7A63" w:rsidP="009D7A63">
            <w:pPr>
              <w:spacing w:before="120" w:after="40" w:line="240" w:lineRule="auto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Cs/>
                <w:smallCaps/>
                <w:sz w:val="24"/>
                <w:szCs w:val="24"/>
                <w:highlight w:val="green"/>
                <w:lang w:val="en-US"/>
              </w:rPr>
              <w:t xml:space="preserve">Implemented with satisfactory result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BB7708">
        <w:trPr>
          <w:trHeight w:val="534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63" w:rsidRPr="009D7A63" w:rsidRDefault="009D7A63" w:rsidP="009D7A63">
            <w:pPr>
              <w:spacing w:before="120" w:after="40" w:line="240" w:lineRule="auto"/>
              <w:rPr>
                <w:rFonts w:ascii="Calibri" w:eastAsia="SimSun" w:hAnsi="Calibri" w:cs="Arial"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Cs/>
                <w:smallCaps/>
                <w:sz w:val="24"/>
                <w:szCs w:val="24"/>
                <w:highlight w:val="yellow"/>
                <w:lang w:val="en-US"/>
              </w:rPr>
              <w:t>Awaiting implementation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BB7708">
        <w:trPr>
          <w:trHeight w:val="534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63" w:rsidRPr="009D7A63" w:rsidRDefault="009D7A63" w:rsidP="009D7A63">
            <w:pPr>
              <w:spacing w:before="120" w:after="40" w:line="240" w:lineRule="auto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Cs/>
                <w:smallCaps/>
                <w:sz w:val="24"/>
                <w:szCs w:val="24"/>
                <w:highlight w:val="red"/>
                <w:lang w:val="en-US"/>
              </w:rPr>
              <w:t>Further actions required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BB7708">
        <w:trPr>
          <w:trHeight w:val="534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63" w:rsidRPr="009D7A63" w:rsidRDefault="009D7A63" w:rsidP="009D7A63">
            <w:pPr>
              <w:spacing w:before="120" w:after="40" w:line="240" w:lineRule="auto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Cs/>
                <w:smallCaps/>
                <w:sz w:val="24"/>
                <w:szCs w:val="24"/>
                <w:highlight w:val="lightGray"/>
                <w:lang w:val="en-US"/>
              </w:rPr>
              <w:t>Not applicable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</w:tr>
      <w:tr w:rsidR="009D7A63" w:rsidRPr="009D7A63" w:rsidTr="00BB7708">
        <w:trPr>
          <w:trHeight w:val="29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63" w:rsidRPr="009D7A63" w:rsidRDefault="009D7A63" w:rsidP="009D7A63">
            <w:pPr>
              <w:spacing w:before="120" w:after="40" w:line="240" w:lineRule="auto"/>
              <w:jc w:val="both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  <w:r w:rsidRPr="009D7A63">
              <w:rPr>
                <w:rFonts w:ascii="Calibri" w:eastAsia="SimSun" w:hAnsi="Calibri" w:cs="Arial"/>
                <w:bCs/>
                <w:smallCaps/>
                <w:sz w:val="24"/>
                <w:szCs w:val="24"/>
                <w:highlight w:val="cyan"/>
                <w:lang w:val="en-US"/>
              </w:rPr>
              <w:t>Not yet reviewed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63" w:rsidRPr="009D7A63" w:rsidRDefault="009D7A63" w:rsidP="009D7A63">
            <w:pPr>
              <w:spacing w:before="120" w:after="40" w:line="240" w:lineRule="auto"/>
              <w:jc w:val="center"/>
              <w:rPr>
                <w:rFonts w:ascii="Calibri" w:eastAsia="SimSun" w:hAnsi="Calibri" w:cs="Arial"/>
                <w:bCs/>
                <w:smallCaps/>
                <w:sz w:val="24"/>
                <w:szCs w:val="24"/>
                <w:lang w:val="en-US"/>
              </w:rPr>
            </w:pPr>
          </w:p>
        </w:tc>
      </w:tr>
    </w:tbl>
    <w:p w:rsidR="009D7A63" w:rsidRPr="009D7A63" w:rsidRDefault="009D7A63" w:rsidP="009D7A63">
      <w:pPr>
        <w:spacing w:before="320" w:after="4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Previous PR/FUPR results</w:t>
      </w:r>
    </w:p>
    <w:p w:rsidR="009D7A63" w:rsidRPr="009D7A63" w:rsidRDefault="009D7A63" w:rsidP="009D7A63">
      <w:pPr>
        <w:spacing w:before="320" w:after="40" w:line="240" w:lineRule="auto"/>
        <w:ind w:left="357"/>
        <w:rPr>
          <w:rFonts w:eastAsia="SimSun" w:cstheme="minorHAnsi"/>
          <w:b/>
          <w:smallCaps/>
          <w:sz w:val="24"/>
          <w:szCs w:val="24"/>
          <w:lang w:val="en-US"/>
        </w:rPr>
      </w:pPr>
    </w:p>
    <w:p w:rsidR="009D7A63" w:rsidRPr="009D7A63" w:rsidRDefault="009D7A63" w:rsidP="009D7A63">
      <w:pPr>
        <w:spacing w:before="320" w:after="40" w:line="240" w:lineRule="auto"/>
        <w:ind w:left="357"/>
        <w:rPr>
          <w:rFonts w:ascii="Calibri" w:eastAsia="SimSun" w:hAnsi="Calibri" w:cs="Arial"/>
          <w:b/>
          <w:smallCaps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Plant </w:t>
      </w:r>
      <w:r w:rsidR="00BB7708"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openness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during the peer review – </w:t>
      </w:r>
      <w:r w:rsidR="00BB7708" w:rsidRPr="00BB7708">
        <w:rPr>
          <w:rFonts w:ascii="Calibri" w:eastAsia="SimSun" w:hAnsi="Calibri" w:cs="Arial"/>
          <w:b/>
          <w:smallCaps/>
          <w:sz w:val="24"/>
          <w:szCs w:val="24"/>
          <w:highlight w:val="yellow"/>
          <w:lang w:val="en-US"/>
        </w:rPr>
        <w:t>X</w:t>
      </w:r>
      <w:r w:rsidR="00BB7708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%.</w:t>
      </w:r>
    </w:p>
    <w:bookmarkEnd w:id="1"/>
    <w:p w:rsidR="009D7A63" w:rsidRPr="009D7A63" w:rsidRDefault="009D7A63" w:rsidP="009D7A63">
      <w:pPr>
        <w:spacing w:before="320" w:after="40" w:line="240" w:lineRule="auto"/>
        <w:ind w:left="357"/>
        <w:rPr>
          <w:rFonts w:eastAsia="SimSun" w:cstheme="minorHAnsi"/>
          <w:i/>
          <w:smallCaps/>
          <w:color w:val="7030A0"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Safety culture and leadership AFI –</w:t>
      </w:r>
      <w:r w:rsidR="00BB7708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</w:t>
      </w: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.</w:t>
      </w:r>
    </w:p>
    <w:p w:rsidR="009D7A63" w:rsidRPr="009D7A63" w:rsidRDefault="009D7A63" w:rsidP="009D7A63">
      <w:pPr>
        <w:spacing w:before="320" w:after="40" w:line="240" w:lineRule="auto"/>
        <w:ind w:left="357"/>
        <w:rPr>
          <w:rFonts w:eastAsia="SimSun" w:cstheme="minorHAnsi"/>
          <w:i/>
          <w:smallCaps/>
          <w:color w:val="7030A0"/>
          <w:sz w:val="20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>Strengths proposed by the plant:</w:t>
      </w:r>
    </w:p>
    <w:p w:rsidR="00BB7708" w:rsidRDefault="00BB7708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bookmarkStart w:id="2" w:name="_Toc510713803"/>
      <w:r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>1.</w:t>
      </w:r>
    </w:p>
    <w:p w:rsidR="00BB7708" w:rsidRDefault="00BB7708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r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>2.</w:t>
      </w:r>
    </w:p>
    <w:p w:rsidR="00BB7708" w:rsidRDefault="00BB7708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r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>3.</w:t>
      </w:r>
    </w:p>
    <w:p w:rsidR="00BB7708" w:rsidRDefault="00BB7708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>Good practices approved by WANO  –  .</w:t>
      </w:r>
      <w:bookmarkEnd w:id="2"/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bookmarkStart w:id="3" w:name="_Toc510713804"/>
    </w:p>
    <w:p w:rsid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</w:p>
    <w:p w:rsid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</w:p>
    <w:p w:rsid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</w:p>
    <w:p w:rsid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</w:pPr>
      <w:r w:rsidRPr="009D7A63"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>Conclusions, current state, summary:</w:t>
      </w:r>
      <w:bookmarkEnd w:id="3"/>
      <w:r w:rsidRPr="009D7A63">
        <w:rPr>
          <w:rFonts w:ascii="Calibri" w:eastAsia="SimSun" w:hAnsi="Calibri" w:cs="Arial"/>
          <w:b/>
          <w:smallCaps/>
          <w:spacing w:val="4"/>
          <w:sz w:val="24"/>
          <w:szCs w:val="24"/>
          <w:lang w:val="en-US"/>
        </w:rPr>
        <w:t xml:space="preserve"> </w:t>
      </w:r>
    </w:p>
    <w:p w:rsidR="009D7A63" w:rsidRPr="009D7A63" w:rsidRDefault="009D7A63" w:rsidP="009D7A63">
      <w:pPr>
        <w:spacing w:before="120" w:after="40" w:line="240" w:lineRule="auto"/>
        <w:ind w:left="357"/>
        <w:jc w:val="both"/>
        <w:rPr>
          <w:rFonts w:eastAsia="SimSun" w:cstheme="minorHAnsi"/>
          <w:smallCaps/>
          <w:sz w:val="24"/>
          <w:szCs w:val="24"/>
          <w:lang w:val="en-US"/>
        </w:rPr>
      </w:pPr>
      <w:r w:rsidRPr="009D7A63">
        <w:rPr>
          <w:rFonts w:eastAsia="SimSun" w:cstheme="minorHAnsi"/>
          <w:smallCaps/>
          <w:sz w:val="24"/>
          <w:szCs w:val="24"/>
          <w:lang w:val="en-US"/>
        </w:rPr>
        <w:t xml:space="preserve">In part of the WANO membership obligations, </w:t>
      </w:r>
      <w:r w:rsidR="00941C24">
        <w:rPr>
          <w:rFonts w:ascii="Calibri" w:eastAsia="Times New Roman" w:hAnsi="Calibri" w:cs="Times New Roman"/>
          <w:b/>
          <w:color w:val="4F81BD"/>
          <w:spacing w:val="4"/>
          <w:sz w:val="28"/>
          <w:szCs w:val="24"/>
          <w:highlight w:val="yellow"/>
          <w:lang w:val="en-US" w:eastAsia="ru-RU"/>
        </w:rPr>
        <w:t>Bushehr</w:t>
      </w:r>
      <w:r w:rsidR="00BB7708" w:rsidRPr="009D7A63">
        <w:rPr>
          <w:rFonts w:ascii="Calibri" w:eastAsia="SimSun" w:hAnsi="Calibri" w:cs="Arial"/>
          <w:b/>
          <w:smallCaps/>
          <w:sz w:val="24"/>
          <w:szCs w:val="24"/>
          <w:lang w:val="en-US"/>
        </w:rPr>
        <w:t xml:space="preserve"> </w:t>
      </w:r>
      <w:r w:rsidRPr="009D7A63">
        <w:rPr>
          <w:rFonts w:eastAsia="SimSun" w:cstheme="minorHAnsi"/>
          <w:smallCaps/>
          <w:sz w:val="24"/>
          <w:szCs w:val="24"/>
          <w:lang w:val="en-US"/>
        </w:rPr>
        <w:t xml:space="preserve"> NPP has completed all activities planned for 2018.</w:t>
      </w:r>
    </w:p>
    <w:p w:rsidR="000E0BD4" w:rsidRPr="009D7A63" w:rsidRDefault="000E0BD4">
      <w:pPr>
        <w:rPr>
          <w:lang w:val="en-US"/>
        </w:rPr>
      </w:pPr>
    </w:p>
    <w:sectPr w:rsidR="000E0BD4" w:rsidRPr="009D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4" w:rsidRDefault="00A53AD4" w:rsidP="009D7A63">
      <w:pPr>
        <w:spacing w:after="0" w:line="240" w:lineRule="auto"/>
      </w:pPr>
      <w:r>
        <w:separator/>
      </w:r>
    </w:p>
  </w:endnote>
  <w:endnote w:type="continuationSeparator" w:id="0">
    <w:p w:rsidR="00A53AD4" w:rsidRDefault="00A53AD4" w:rsidP="009D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4" w:rsidRDefault="00A53AD4" w:rsidP="009D7A63">
      <w:pPr>
        <w:spacing w:after="0" w:line="240" w:lineRule="auto"/>
      </w:pPr>
      <w:r>
        <w:separator/>
      </w:r>
    </w:p>
  </w:footnote>
  <w:footnote w:type="continuationSeparator" w:id="0">
    <w:p w:rsidR="00A53AD4" w:rsidRDefault="00A53AD4" w:rsidP="009D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193"/>
    <w:multiLevelType w:val="hybridMultilevel"/>
    <w:tmpl w:val="126AB88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1564EE"/>
    <w:multiLevelType w:val="hybridMultilevel"/>
    <w:tmpl w:val="886AB2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5255B2"/>
    <w:multiLevelType w:val="hybridMultilevel"/>
    <w:tmpl w:val="CE2645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65838FD"/>
    <w:multiLevelType w:val="hybridMultilevel"/>
    <w:tmpl w:val="D5DA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6A57"/>
    <w:multiLevelType w:val="hybridMultilevel"/>
    <w:tmpl w:val="BE7423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B7708E8"/>
    <w:multiLevelType w:val="hybridMultilevel"/>
    <w:tmpl w:val="9F24D0E8"/>
    <w:lvl w:ilvl="0" w:tplc="ED3EF1AA">
      <w:numFmt w:val="bullet"/>
      <w:lvlText w:val="•"/>
      <w:lvlJc w:val="left"/>
      <w:pPr>
        <w:ind w:left="717" w:hanging="360"/>
      </w:pPr>
      <w:rPr>
        <w:rFonts w:ascii="Calibri" w:eastAsia="SimSun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D004B59"/>
    <w:multiLevelType w:val="hybridMultilevel"/>
    <w:tmpl w:val="A418D9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63"/>
    <w:rsid w:val="000E0BD4"/>
    <w:rsid w:val="001A0D4B"/>
    <w:rsid w:val="004D7508"/>
    <w:rsid w:val="00545823"/>
    <w:rsid w:val="00665B46"/>
    <w:rsid w:val="007D05E5"/>
    <w:rsid w:val="00835442"/>
    <w:rsid w:val="00853932"/>
    <w:rsid w:val="00941C24"/>
    <w:rsid w:val="00955D3D"/>
    <w:rsid w:val="009D7A63"/>
    <w:rsid w:val="00A53AD4"/>
    <w:rsid w:val="00AF12B4"/>
    <w:rsid w:val="00BB7708"/>
    <w:rsid w:val="00C1400B"/>
    <w:rsid w:val="00C30760"/>
    <w:rsid w:val="00DE029E"/>
    <w:rsid w:val="00E55F4C"/>
    <w:rsid w:val="00F3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8940"/>
  <w15:chartTrackingRefBased/>
  <w15:docId w15:val="{2035C098-671A-47DD-A6DC-B0BACD5E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D7A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A6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7A63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9D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83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9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D%D0%B5%D1%80%D0%B3%D0%BE%D0%B1%D0%BB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Лев Александрович (Lev Zavialov)</dc:creator>
  <cp:keywords/>
  <dc:description/>
  <cp:lastModifiedBy>MRT</cp:lastModifiedBy>
  <cp:revision>4</cp:revision>
  <dcterms:created xsi:type="dcterms:W3CDTF">2019-12-18T11:07:00Z</dcterms:created>
  <dcterms:modified xsi:type="dcterms:W3CDTF">2020-01-05T13:12:00Z</dcterms:modified>
</cp:coreProperties>
</file>