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F6" w:rsidRDefault="007C51F6" w:rsidP="0069571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0DB63769" wp14:editId="7EE75B38">
            <wp:extent cx="4643120" cy="843280"/>
            <wp:effectExtent l="0" t="0" r="508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F6" w:rsidRDefault="007C51F6" w:rsidP="0069571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5718" w:rsidRPr="00761389" w:rsidRDefault="00695718" w:rsidP="0069571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Russian-Iranian International Workshop</w:t>
      </w:r>
    </w:p>
    <w:p w:rsidR="00695718" w:rsidRPr="00761389" w:rsidRDefault="00695718" w:rsidP="0069571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 years of cooperation between Russia and Iran in the area of peaceful uses of nuclear energy: new prospects under the Joint Comprehensive Plan of Action, Annex III</w:t>
      </w: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695718" w:rsidRPr="00761389" w:rsidRDefault="00695718" w:rsidP="0069571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17-18 October</w:t>
      </w: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2017</w:t>
      </w:r>
    </w:p>
    <w:p w:rsidR="00695718" w:rsidRPr="00761389" w:rsidRDefault="00695718" w:rsidP="0069571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Moscow</w:t>
      </w: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Obninsk</w:t>
      </w: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Rosatom</w:t>
      </w:r>
      <w:r w:rsidRPr="00566C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Technical Academy</w:t>
      </w:r>
    </w:p>
    <w:p w:rsidR="00695718" w:rsidRPr="00761389" w:rsidRDefault="00695718" w:rsidP="0069571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5718" w:rsidRPr="00761389" w:rsidRDefault="00695718" w:rsidP="00695718">
      <w:pPr>
        <w:tabs>
          <w:tab w:val="center" w:pos="4677"/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17 October, Tuesday</w:t>
      </w:r>
    </w:p>
    <w:p w:rsidR="00695718" w:rsidRPr="00761389" w:rsidRDefault="00695718" w:rsidP="00695718">
      <w:pPr>
        <w:tabs>
          <w:tab w:val="left" w:pos="1053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Moscow</w:t>
      </w: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76138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Kazachiy st., 11</w:t>
      </w: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761389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695718" w:rsidRPr="00761389" w:rsidRDefault="00695718" w:rsidP="00695718">
      <w:pPr>
        <w:tabs>
          <w:tab w:val="left" w:pos="1053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5072" w:type="pct"/>
        <w:tblInd w:w="-459" w:type="dxa"/>
        <w:tblLook w:val="04A0" w:firstRow="1" w:lastRow="0" w:firstColumn="1" w:lastColumn="0" w:noHBand="0" w:noVBand="1"/>
      </w:tblPr>
      <w:tblGrid>
        <w:gridCol w:w="1553"/>
        <w:gridCol w:w="6525"/>
        <w:gridCol w:w="1690"/>
      </w:tblGrid>
      <w:tr w:rsidR="00695718" w:rsidRPr="00580743" w:rsidTr="007C51F6">
        <w:trPr>
          <w:trHeight w:val="401"/>
        </w:trPr>
        <w:tc>
          <w:tcPr>
            <w:tcW w:w="795" w:type="pct"/>
          </w:tcPr>
          <w:p w:rsidR="00695718" w:rsidRPr="00761389" w:rsidRDefault="00695718" w:rsidP="00DC3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  <w:p w:rsidR="00695718" w:rsidRPr="0064235C" w:rsidRDefault="00695718" w:rsidP="00DC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pct"/>
          </w:tcPr>
          <w:p w:rsidR="00695718" w:rsidRPr="00A67BF8" w:rsidRDefault="00695718" w:rsidP="00DC3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Topic</w:t>
            </w:r>
          </w:p>
        </w:tc>
        <w:tc>
          <w:tcPr>
            <w:tcW w:w="865" w:type="pct"/>
          </w:tcPr>
          <w:p w:rsidR="00695718" w:rsidRDefault="00695718" w:rsidP="00DC3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Venue</w:t>
            </w:r>
          </w:p>
        </w:tc>
      </w:tr>
      <w:tr w:rsidR="00695718" w:rsidRPr="00C45A53" w:rsidTr="007C51F6">
        <w:trPr>
          <w:trHeight w:val="561"/>
        </w:trPr>
        <w:tc>
          <w:tcPr>
            <w:tcW w:w="795" w:type="pct"/>
          </w:tcPr>
          <w:p w:rsidR="00695718" w:rsidRPr="00B81976" w:rsidRDefault="00695718" w:rsidP="00DC3F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976">
              <w:rPr>
                <w:rFonts w:ascii="Times New Roman" w:hAnsi="Times New Roman" w:cs="Times New Roman"/>
                <w:sz w:val="28"/>
                <w:szCs w:val="28"/>
              </w:rPr>
              <w:t>08:30-09:00</w:t>
            </w:r>
          </w:p>
        </w:tc>
        <w:tc>
          <w:tcPr>
            <w:tcW w:w="3340" w:type="pct"/>
          </w:tcPr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Registration</w:t>
            </w:r>
          </w:p>
        </w:tc>
        <w:tc>
          <w:tcPr>
            <w:tcW w:w="865" w:type="pct"/>
          </w:tcPr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5718" w:rsidRPr="00F90A78" w:rsidTr="007C51F6">
        <w:trPr>
          <w:trHeight w:val="549"/>
        </w:trPr>
        <w:tc>
          <w:tcPr>
            <w:tcW w:w="795" w:type="pct"/>
          </w:tcPr>
          <w:p w:rsidR="00695718" w:rsidRPr="00B81976" w:rsidRDefault="00695718" w:rsidP="00DC3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976">
              <w:rPr>
                <w:rFonts w:ascii="Times New Roman" w:hAnsi="Times New Roman" w:cs="Times New Roman"/>
                <w:sz w:val="28"/>
                <w:szCs w:val="28"/>
              </w:rPr>
              <w:t>09:00-10:</w:t>
            </w:r>
            <w:r w:rsidRPr="00B81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819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0" w:type="pct"/>
          </w:tcPr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Plenary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session</w:t>
            </w:r>
            <w:r w:rsidRPr="00A67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(opening)</w:t>
            </w:r>
          </w:p>
          <w:p w:rsidR="00695718" w:rsidRPr="00A67BF8" w:rsidRDefault="00695718" w:rsidP="00B105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Moderator – Vladimir </w:t>
            </w:r>
            <w:r w:rsidR="00B105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KUCHINOV</w:t>
            </w:r>
            <w:r w:rsidR="00B10572"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(Adviser to the Director General of Rosatom)</w:t>
            </w: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Speakers:</w:t>
            </w:r>
          </w:p>
          <w:p w:rsidR="00695718" w:rsidRDefault="00695718" w:rsidP="0069571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Sergey RYABKOV – Deputy Minister of Foreign Affairs of the Russian Federation</w:t>
            </w:r>
          </w:p>
          <w:p w:rsidR="00695718" w:rsidRDefault="00695718" w:rsidP="0069571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Behrooz KAMALVANDI – Vice-President of AEOI for International, Legal and Parlamentary Affairs</w:t>
            </w:r>
          </w:p>
          <w:p w:rsidR="00120AB5" w:rsidRPr="00B3523B" w:rsidRDefault="00120AB5" w:rsidP="00120A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Mehdi SANAEI – Ambassador of Iran to Russia</w:t>
            </w:r>
          </w:p>
          <w:p w:rsidR="00695718" w:rsidRPr="00A67BF8" w:rsidRDefault="00695718" w:rsidP="0069571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Alexey FERAPONTOV </w:t>
            </w:r>
            <w:r w:rsidRPr="00F81B1D">
              <w:rPr>
                <w:rFonts w:asciiTheme="majorBidi" w:hAnsiTheme="majorBidi" w:cstheme="majorBidi"/>
                <w:sz w:val="26"/>
                <w:szCs w:val="26"/>
                <w:lang w:val="en-US"/>
              </w:rPr>
              <w:t>–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Deputy Chairperson of the Federal Environmental Industrial and Nuclear Supervision Service of Russia</w:t>
            </w:r>
          </w:p>
          <w:p w:rsidR="00695718" w:rsidRPr="00C87EF8" w:rsidRDefault="00695718" w:rsidP="0069571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Hojatollah SALEHI </w:t>
            </w:r>
            <w:r w:rsidRPr="00F81B1D">
              <w:rPr>
                <w:rFonts w:asciiTheme="majorBidi" w:hAnsiTheme="majorBidi" w:cstheme="majorBidi"/>
                <w:sz w:val="26"/>
                <w:szCs w:val="26"/>
                <w:lang w:val="en-US"/>
              </w:rPr>
              <w:t>–</w:t>
            </w:r>
            <w:r w:rsidRPr="00A67BF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Head of the Iranian Nuclear Regulatory Authority </w:t>
            </w:r>
          </w:p>
          <w:p w:rsidR="00695718" w:rsidRDefault="00695718" w:rsidP="000302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Fereidoun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HASSANVAND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Head of Parliament’s Commission on Energy</w:t>
            </w:r>
          </w:p>
          <w:p w:rsidR="00695718" w:rsidRPr="00585733" w:rsidRDefault="00695718" w:rsidP="0069571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Gennady SKLYAR</w:t>
            </w:r>
            <w:r w:rsidRPr="00F81B1D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– </w:t>
            </w:r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M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ember of the State Duma’s Committee of energy</w:t>
            </w:r>
            <w:r w:rsidRPr="00F81B1D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</w:t>
            </w:r>
          </w:p>
          <w:p w:rsidR="00695718" w:rsidRPr="00B10572" w:rsidRDefault="00695718" w:rsidP="000302B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1057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Hossein </w:t>
            </w:r>
            <w:r w:rsidR="000302BD" w:rsidRPr="00B1057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KHALAFI </w:t>
            </w:r>
            <w:r w:rsidRPr="00B1057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 Head of Nuclear Science &amp; Technology Research Institute</w:t>
            </w:r>
          </w:p>
          <w:p w:rsidR="00695718" w:rsidRPr="00A67BF8" w:rsidRDefault="00695718" w:rsidP="0069571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Nikolay SPASSKIY – Deputy CEO for International Relations Rosatom</w:t>
            </w:r>
          </w:p>
        </w:tc>
        <w:tc>
          <w:tcPr>
            <w:tcW w:w="865" w:type="pct"/>
          </w:tcPr>
          <w:p w:rsidR="00FA0AE6" w:rsidRDefault="00FA0AE6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0AE6" w:rsidRDefault="00FA0AE6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0AE6" w:rsidRDefault="00FA0AE6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0AE6" w:rsidRDefault="00FA0AE6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0AE6" w:rsidRDefault="00FA0AE6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0AE6" w:rsidRDefault="00FA0AE6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0AE6" w:rsidRDefault="00FA0AE6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0AE6" w:rsidRDefault="00FA0AE6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0AE6" w:rsidRDefault="00FA0AE6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0AE6" w:rsidRDefault="00FA0AE6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Hall, Floor 3</w:t>
            </w:r>
          </w:p>
        </w:tc>
      </w:tr>
      <w:tr w:rsidR="00695718" w:rsidRPr="00F90A78" w:rsidTr="007C51F6">
        <w:trPr>
          <w:trHeight w:val="424"/>
        </w:trPr>
        <w:tc>
          <w:tcPr>
            <w:tcW w:w="795" w:type="pct"/>
          </w:tcPr>
          <w:p w:rsidR="00695718" w:rsidRPr="00B81976" w:rsidRDefault="00695718" w:rsidP="00DC3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10:40-11:00</w:t>
            </w:r>
          </w:p>
        </w:tc>
        <w:tc>
          <w:tcPr>
            <w:tcW w:w="3340" w:type="pct"/>
          </w:tcPr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 Break</w:t>
            </w:r>
          </w:p>
        </w:tc>
        <w:tc>
          <w:tcPr>
            <w:tcW w:w="865" w:type="pct"/>
          </w:tcPr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5718" w:rsidRPr="00752390" w:rsidTr="007C51F6">
        <w:trPr>
          <w:trHeight w:val="549"/>
        </w:trPr>
        <w:tc>
          <w:tcPr>
            <w:tcW w:w="795" w:type="pct"/>
          </w:tcPr>
          <w:p w:rsidR="00695718" w:rsidRPr="00B81976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11:00-12:30</w:t>
            </w:r>
          </w:p>
        </w:tc>
        <w:tc>
          <w:tcPr>
            <w:tcW w:w="3340" w:type="pct"/>
          </w:tcPr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Discussions in sections:</w:t>
            </w: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A67BF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Section 1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 “Nuclear energy, nuclear safety and personnel training”</w:t>
            </w: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Moderator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Vladimir ARTISIUK, 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Vice-Rector,</w:t>
            </w:r>
            <w:r w:rsidRPr="0054626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Rosatom Technical Academy 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54626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Rosatom Tech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), Obninsk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F363F2" w:rsidRDefault="00695718" w:rsidP="000302BD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F36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F363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Development of technologies for construction and operation of NPP: Iran’s experiences </w:t>
            </w:r>
            <w:r w:rsidRPr="00F363F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and Expectations (</w:t>
            </w:r>
            <w:r w:rsidR="00120AB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Saeid</w:t>
            </w:r>
            <w:r w:rsidRPr="00F363F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0302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FATOUREH CHIAN</w:t>
            </w:r>
            <w:r w:rsidR="00CE6450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="00CE6450" w:rsidRPr="00CE645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Deputy of Managing Director for Planning and Development</w:t>
            </w:r>
            <w:r w:rsidR="00CE6450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CE6450" w:rsidRPr="00CE645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 NPPD</w:t>
            </w:r>
            <w:r w:rsidRPr="00F363F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  <w:r w:rsidRPr="00F363F2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(Iran)</w:t>
            </w:r>
          </w:p>
          <w:p w:rsidR="00695718" w:rsidRPr="00AE14DA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6D2E45" w:rsidRDefault="00695718" w:rsidP="000302BD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E10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E10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E10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JSC ASE experience of working in Iran (Aleksandr</w:t>
            </w:r>
            <w:r w:rsidRPr="004E104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="000302BD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SHEVYREV</w:t>
            </w:r>
            <w:r w:rsidRPr="004E104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 xml:space="preserve">, </w:t>
            </w:r>
            <w:r w:rsidRPr="004E10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JSC ASE)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D2E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(Russia)</w:t>
            </w:r>
          </w:p>
          <w:p w:rsidR="00695718" w:rsidRDefault="00695718" w:rsidP="00DC3FA1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695718" w:rsidRPr="00B603A5" w:rsidRDefault="00695718" w:rsidP="000302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1.3. Iran and Russia cooperation on construction of the first unit of the Bushehr Nuclear Power Plant and the lessons learnt (</w:t>
            </w:r>
            <w:r w:rsidR="00120AB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Mahmoud </w:t>
            </w:r>
            <w:r w:rsidR="000302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AZIZI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 Head of the Department for International Relations and Foreign Representatives</w:t>
            </w:r>
            <w:r w:rsidRPr="00A37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 (Iran)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0302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Technological solutions for spent nuclear fuel management on Bushehr NPP  (</w:t>
            </w:r>
            <w:r w:rsidR="00120AB5"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Maksim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NABATNIKOV</w:t>
            </w:r>
            <w:r w:rsidR="00120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FCNRS) </w:t>
            </w:r>
            <w:r w:rsidRPr="006D2E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0302BD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I.R.I vision on technological attainments in design, construction and utilization of small &amp; medium size NPP (</w:t>
            </w:r>
            <w:r w:rsidR="00120AB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Reza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0302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SAYYAREH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Deputy for Design and Engineering and Small Reactor Project Manager of  MASNA Co.)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(Iran)</w:t>
            </w: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A67BF8" w:rsidRDefault="00695718" w:rsidP="00494A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05DC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Establishing of a biophysical laboratory for control of internal radiation doses for personnel and population</w:t>
            </w:r>
            <w:r w:rsidRPr="00A05D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494A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Sergey ROMANOV</w:t>
            </w:r>
            <w:r w:rsidR="00A47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Federal Medical and Biological Agency of Russia) </w:t>
            </w:r>
            <w:r w:rsidRPr="00A67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0302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BNPP programme for environmental monitoring (</w:t>
            </w:r>
            <w:r w:rsidR="00A47987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Hassan </w:t>
            </w:r>
            <w:r w:rsidR="000302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ROSTAMI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Manager of Environmental Monitoring and Protection – BNPP-1)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(Iran)</w:t>
            </w: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A67BF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lastRenderedPageBreak/>
              <w:t>Section 2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 “Nuclear technologies in medicine, industry, agriculture and science”</w:t>
            </w:r>
          </w:p>
          <w:p w:rsidR="00695718" w:rsidRPr="00A67BF8" w:rsidRDefault="00695718" w:rsidP="00DC3FA1">
            <w:pPr>
              <w:pStyle w:val="ListParagraph"/>
              <w:ind w:left="4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A67BF8" w:rsidRDefault="00695718" w:rsidP="00A479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Moderator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Ali Akbar REZAEI, Director General for International Affairs of AEOI</w:t>
            </w: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0302B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2.1. </w:t>
            </w:r>
            <w:r w:rsidR="00DF719D" w:rsidRPr="0031352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Cooperation in Radiation and Nuclear Safety</w:t>
            </w:r>
            <w:r w:rsidR="00DF719D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(</w:t>
            </w:r>
            <w:r w:rsidR="00A4798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Ehsan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0302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HOSSEINI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Director General of the Department for Protection Against Radiation)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(Iran)</w:t>
            </w: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A67BF8" w:rsidRDefault="00695718" w:rsidP="000302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Safety regulation in medical uses of radiation sources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A47987" w:rsidRPr="00A67B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Alexey </w:t>
            </w:r>
            <w:r w:rsidR="000302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ANIKIN</w:t>
            </w:r>
            <w:r w:rsidR="00A47987"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Rostechnadzor) </w:t>
            </w:r>
            <w:r w:rsidRPr="00A67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0302BD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2.3. </w:t>
            </w:r>
            <w:r w:rsidRPr="00A67BF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Developing irradiation industry in Iran (Seyedreza </w:t>
            </w:r>
            <w:r w:rsidR="000302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RAFIEE</w:t>
            </w:r>
            <w:r w:rsidRPr="00A67BF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CEO of Shar Parto Iranian Co.) </w:t>
            </w:r>
            <w:r w:rsidRPr="00A67BF8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(Iran)</w:t>
            </w:r>
          </w:p>
          <w:p w:rsidR="00695718" w:rsidRPr="00A67BF8" w:rsidRDefault="00695718" w:rsidP="00DC3FA1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695718" w:rsidRPr="00A67BF8" w:rsidRDefault="00695718" w:rsidP="000302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2.4. Enhancement of forecasting methods for radiogenic risks associated with radiation accidents and therapeutic use of radiopharmaceuticals (</w:t>
            </w:r>
            <w:r w:rsidR="00A47987" w:rsidRPr="005857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Anatoly </w:t>
            </w:r>
            <w:r w:rsidR="000302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GUBIN</w:t>
            </w:r>
            <w:r w:rsidR="00A4798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  <w:r w:rsidR="00A47987"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Federal Medical and Biological Agency of Russia</w:t>
            </w:r>
            <w:r w:rsidRPr="00585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7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95718" w:rsidRDefault="00695718" w:rsidP="00494AEB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2.5.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Some aspects of research and development of radiation dosimetry in Iran (Gholamreza </w:t>
            </w:r>
            <w:r w:rsidR="000302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RAISALI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NLO for Technical Cooperation with IAEA)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(Iran)</w:t>
            </w: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03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2.6. Nuclear infrastructure for nuclear technologies: methodology and practice in Rosatom  </w:t>
            </w:r>
            <w:r w:rsidRPr="00A67B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(Yuliya </w:t>
            </w:r>
            <w:r w:rsidR="000302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CHERNYAHOVSKAYA</w:t>
            </w:r>
            <w:r w:rsidRPr="00A67B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Rusatom Service) (</w:t>
            </w:r>
            <w:r w:rsidRPr="00A67B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Russia</w:t>
            </w:r>
            <w:r w:rsidRPr="00A67B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0112F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D468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2.7. </w:t>
            </w:r>
            <w:r w:rsidRPr="00D46856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Nuclear Science and Technology Centers (</w:t>
            </w:r>
            <w:r w:rsidR="000112FC" w:rsidRPr="000112FC">
              <w:rPr>
                <w:rFonts w:asciiTheme="majorBidi" w:hAnsiTheme="majorBidi" w:cstheme="majorBidi"/>
                <w:bCs/>
                <w:sz w:val="28"/>
                <w:szCs w:val="28"/>
                <w:highlight w:val="red"/>
                <w:lang w:val="en-US"/>
              </w:rPr>
              <w:t xml:space="preserve">Movafeghi </w:t>
            </w:r>
            <w:r w:rsidRPr="000112FC">
              <w:rPr>
                <w:rFonts w:asciiTheme="majorBidi" w:hAnsiTheme="majorBidi" w:cstheme="majorBidi"/>
                <w:bCs/>
                <w:sz w:val="28"/>
                <w:szCs w:val="28"/>
                <w:highlight w:val="red"/>
                <w:lang w:val="en-US"/>
              </w:rPr>
              <w:t xml:space="preserve">, Head of Reactor and Nuclear Safety Research Institute) </w:t>
            </w:r>
            <w:r w:rsidRPr="000112FC">
              <w:rPr>
                <w:rFonts w:asciiTheme="majorBidi" w:hAnsiTheme="majorBidi" w:cstheme="majorBidi"/>
                <w:b/>
                <w:sz w:val="28"/>
                <w:szCs w:val="28"/>
                <w:highlight w:val="red"/>
                <w:lang w:val="en-US"/>
              </w:rPr>
              <w:t>(Iran)</w:t>
            </w:r>
          </w:p>
          <w:p w:rsidR="00695718" w:rsidRPr="00A67BF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5" w:type="pct"/>
          </w:tcPr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5A1F" w:rsidRDefault="00C55A1F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Hall, Floor 3</w:t>
            </w: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Hall, Floor 5</w:t>
            </w:r>
          </w:p>
        </w:tc>
      </w:tr>
      <w:tr w:rsidR="00695718" w:rsidRPr="00E60C2C" w:rsidTr="007C51F6">
        <w:trPr>
          <w:trHeight w:val="422"/>
        </w:trPr>
        <w:tc>
          <w:tcPr>
            <w:tcW w:w="795" w:type="pct"/>
          </w:tcPr>
          <w:p w:rsidR="00695718" w:rsidRPr="00B81976" w:rsidRDefault="00695718" w:rsidP="00DC3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12:30-14:00</w:t>
            </w:r>
          </w:p>
        </w:tc>
        <w:tc>
          <w:tcPr>
            <w:tcW w:w="3340" w:type="pct"/>
          </w:tcPr>
          <w:p w:rsidR="00695718" w:rsidRPr="00A67BF8" w:rsidRDefault="00695718" w:rsidP="00DC3FA1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  <w:tc>
          <w:tcPr>
            <w:tcW w:w="865" w:type="pct"/>
          </w:tcPr>
          <w:p w:rsidR="00695718" w:rsidRDefault="00695718" w:rsidP="00DC3FA1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5718" w:rsidRPr="00752390" w:rsidTr="007C51F6">
        <w:trPr>
          <w:trHeight w:val="690"/>
        </w:trPr>
        <w:tc>
          <w:tcPr>
            <w:tcW w:w="795" w:type="pct"/>
          </w:tcPr>
          <w:p w:rsidR="00695718" w:rsidRPr="00B81976" w:rsidRDefault="00695718" w:rsidP="00DC3FA1">
            <w:pPr>
              <w:tabs>
                <w:tab w:val="center" w:pos="79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14:00-15:30</w:t>
            </w:r>
          </w:p>
        </w:tc>
        <w:tc>
          <w:tcPr>
            <w:tcW w:w="3340" w:type="pct"/>
          </w:tcPr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Further discussions in sections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Section 1: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“Nuclear energy, nuclear safety and personnel training”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695718" w:rsidRPr="00426EDF" w:rsidRDefault="00695718" w:rsidP="00DC3FA1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Moderator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Vladimir  ARTISIUK, 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Vice-Rector,</w:t>
            </w:r>
          </w:p>
          <w:p w:rsidR="00695718" w:rsidRPr="00426EDF" w:rsidRDefault="00695718" w:rsidP="008F4060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Director, Department of International Cooperation, (ROSATOM-CICE&amp;T), Obninsk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426EDF" w:rsidRDefault="00695718" w:rsidP="000302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Information support system for decision-making in case of accidents at radiation-dangerous facilities (Victor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MUKHALEV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Acting Head of the Federal Information and Analytical Center of the Federal Service for Hydro and Environmental Monitoring, Ministry of Environment) </w:t>
            </w: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426EDF" w:rsidRDefault="00695718" w:rsidP="000302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26ED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NPPD approach for and radioactive waste management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F5781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Ehsan</w:t>
            </w:r>
            <w:r w:rsidRPr="00426ED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0302B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EMAMJOMEH</w:t>
            </w:r>
            <w:r w:rsidRPr="00426ED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Fuel Supply Manager – NPPD) </w:t>
            </w:r>
            <w:r w:rsidRPr="00426ED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(Iran)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426EDF" w:rsidRDefault="00695718" w:rsidP="000302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Spent nuclear fuel and radioactive waste management with regard to BNPP (</w:t>
            </w:r>
            <w:r w:rsidR="00F5781C" w:rsidRPr="00426E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Evgeny </w:t>
            </w:r>
            <w:r w:rsidR="000302B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ZHURBENKO</w:t>
            </w:r>
            <w:r w:rsidR="00F5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TENEX) </w:t>
            </w: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426EDF" w:rsidRDefault="00695718" w:rsidP="000302B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26ED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1.1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  <w:r w:rsidRPr="00426ED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Jet grouting technology use on Bushehr NPP  (Vladimir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KONOUSEVICH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RI Grafit)</w:t>
            </w:r>
          </w:p>
          <w:p w:rsidR="00695718" w:rsidRPr="00426EDF" w:rsidRDefault="00695718" w:rsidP="00DC3FA1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426EDF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(Russia)</w:t>
            </w:r>
          </w:p>
          <w:p w:rsidR="00695718" w:rsidRPr="00426EDF" w:rsidRDefault="00695718" w:rsidP="00DC3FA1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Creation of modern automatic radiation monitoring system for early notification of authorities and population and response to radiation emergencies </w:t>
            </w:r>
          </w:p>
          <w:p w:rsidR="00695718" w:rsidRPr="00426EDF" w:rsidRDefault="00695718" w:rsidP="000302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(Evgeny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ANTONIY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IBRAE Russian Academy of Science) </w:t>
            </w: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Section 2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: “Nuclear technologies in medicine, industry, agriculture and science”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695718" w:rsidRPr="00426EDF" w:rsidRDefault="00695718" w:rsidP="00F578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Moderator – Ali Akbar REZAEI, Director General for International Affairs of AEOI </w:t>
            </w: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19DC" w:rsidRDefault="001619DC" w:rsidP="000302B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429E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search Programs in Fusion and Fission (Hossein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KHALAFI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NSTRI) </w:t>
            </w:r>
            <w:r w:rsidRPr="00B35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(Iran)</w:t>
            </w:r>
          </w:p>
          <w:p w:rsidR="001619DC" w:rsidRPr="00426EDF" w:rsidRDefault="001619DC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426EDF" w:rsidRDefault="00695718" w:rsidP="000302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2.8. </w:t>
            </w:r>
            <w:r w:rsidRPr="00426E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System for environmental, social – </w:t>
            </w:r>
            <w:r w:rsidRPr="00426E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/>
              <w:t>hygienic monitoring and supervision of environmental radioactive contamination at NPP and other radiation hazardous facilities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</w:t>
            </w:r>
            <w:r w:rsidR="00F5781C"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Alexander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SAMOILOV</w:t>
            </w:r>
            <w:r w:rsidR="00F5781C"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Nataliya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SHANDALA</w:t>
            </w:r>
            <w:r w:rsidR="00F5781C"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Sergey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KISELEV</w:t>
            </w:r>
            <w:r w:rsidR="00F5781C"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Tatyana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LASHCHENOVA</w:t>
            </w:r>
            <w:r w:rsidR="00F5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A.I. Burnazyan Federal Medical and Biological Center) </w:t>
            </w: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426EDF" w:rsidRDefault="00695718" w:rsidP="000302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2.9. IAEA statement on TC program in the area of non-power nuclear technologies (Mokhtar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NAJAT</w:t>
            </w:r>
            <w:r w:rsidR="00F5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IAEA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426EDF" w:rsidRDefault="00695718" w:rsidP="000302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2.10. </w:t>
            </w:r>
            <w:r w:rsidRPr="00426E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Main directions of researches of Research Center Kurchatov Institute in Nuclear Technologies</w:t>
            </w:r>
            <w:r w:rsidRPr="00426E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Mikhail KALUGIN</w:t>
            </w:r>
            <w:r w:rsidR="00F57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National Research Center “Kurchatov Institute”) </w:t>
            </w: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Pr="00426EDF" w:rsidRDefault="00695718" w:rsidP="000302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2.11. </w:t>
            </w:r>
            <w:r w:rsidRPr="00426E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Production Capabilities for Development and Manufacture of VNIIA Equipment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(V.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ZVEREV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RFNC VNIIA) </w:t>
            </w: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95718" w:rsidRPr="00426EDF" w:rsidRDefault="00695718" w:rsidP="000302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2.12. </w:t>
            </w:r>
            <w:r w:rsidRPr="00426E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Participation of the Russian Federation in the ITER project 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(Anatoliy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KRASILNIKOV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Director, ITER RF) </w:t>
            </w: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95718" w:rsidRPr="00426EDF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2.13. </w:t>
            </w:r>
            <w:r w:rsidRPr="00426E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Universal mobile automating  plant of integrated water purification </w:t>
            </w:r>
          </w:p>
          <w:p w:rsidR="00695718" w:rsidRPr="00426EDF" w:rsidRDefault="00695718" w:rsidP="000302B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26E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UMCWA-1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Sergey GLUKHOV</w:t>
            </w:r>
            <w:r w:rsidRPr="00426E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426E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(Russia)</w:t>
            </w:r>
          </w:p>
        </w:tc>
        <w:tc>
          <w:tcPr>
            <w:tcW w:w="865" w:type="pct"/>
          </w:tcPr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Hall, Floor 3</w:t>
            </w: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5718" w:rsidRDefault="00695718" w:rsidP="00DC3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Hall, Floor 5</w:t>
            </w:r>
          </w:p>
        </w:tc>
      </w:tr>
      <w:tr w:rsidR="00695718" w:rsidRPr="00AC3079" w:rsidTr="007C51F6">
        <w:trPr>
          <w:trHeight w:val="289"/>
        </w:trPr>
        <w:tc>
          <w:tcPr>
            <w:tcW w:w="795" w:type="pct"/>
          </w:tcPr>
          <w:p w:rsidR="00695718" w:rsidRPr="00B81976" w:rsidRDefault="00695718" w:rsidP="00DC3FA1">
            <w:pPr>
              <w:tabs>
                <w:tab w:val="center" w:pos="79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15:30-16:00</w:t>
            </w:r>
          </w:p>
        </w:tc>
        <w:tc>
          <w:tcPr>
            <w:tcW w:w="3340" w:type="pct"/>
          </w:tcPr>
          <w:p w:rsidR="00695718" w:rsidRPr="005E6983" w:rsidRDefault="00695718" w:rsidP="00DC3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 Break</w:t>
            </w:r>
          </w:p>
        </w:tc>
        <w:tc>
          <w:tcPr>
            <w:tcW w:w="865" w:type="pct"/>
          </w:tcPr>
          <w:p w:rsidR="00695718" w:rsidRDefault="00695718" w:rsidP="00DC3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95718" w:rsidRPr="004F6105" w:rsidTr="007C51F6">
        <w:trPr>
          <w:trHeight w:val="796"/>
        </w:trPr>
        <w:tc>
          <w:tcPr>
            <w:tcW w:w="795" w:type="pct"/>
          </w:tcPr>
          <w:p w:rsidR="00695718" w:rsidRPr="00B81976" w:rsidRDefault="00695718" w:rsidP="00DC3FA1">
            <w:pPr>
              <w:tabs>
                <w:tab w:val="center" w:pos="79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16:00-18:00</w:t>
            </w:r>
          </w:p>
        </w:tc>
        <w:tc>
          <w:tcPr>
            <w:tcW w:w="3340" w:type="pct"/>
          </w:tcPr>
          <w:p w:rsidR="00695718" w:rsidRPr="005E6983" w:rsidRDefault="00695718" w:rsidP="00DC3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Plenary session</w:t>
            </w:r>
            <w:r w:rsidRPr="005E69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- 2</w:t>
            </w:r>
            <w:r w:rsidRPr="005E6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695718" w:rsidRDefault="00695718" w:rsidP="000302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Moderator – Vladimir </w:t>
            </w:r>
            <w:r w:rsidR="00030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KUCHINOV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(Adviser to the Director General of Rosatom)</w:t>
            </w:r>
          </w:p>
          <w:p w:rsidR="00695718" w:rsidRDefault="00695718" w:rsidP="006957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Summery of sections moderators </w:t>
            </w:r>
          </w:p>
          <w:p w:rsidR="00695718" w:rsidRPr="00AC3079" w:rsidRDefault="00695718" w:rsidP="006957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Concluding remarks</w:t>
            </w:r>
          </w:p>
        </w:tc>
        <w:tc>
          <w:tcPr>
            <w:tcW w:w="865" w:type="pct"/>
          </w:tcPr>
          <w:p w:rsidR="00695718" w:rsidRDefault="00695718" w:rsidP="00DC3FA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 Hall, Floor 3</w:t>
            </w:r>
          </w:p>
        </w:tc>
      </w:tr>
      <w:tr w:rsidR="00695718" w:rsidRPr="00580743" w:rsidTr="007C51F6">
        <w:trPr>
          <w:trHeight w:val="340"/>
        </w:trPr>
        <w:tc>
          <w:tcPr>
            <w:tcW w:w="795" w:type="pct"/>
          </w:tcPr>
          <w:p w:rsidR="00695718" w:rsidRPr="00B81976" w:rsidRDefault="00695718" w:rsidP="00DC3FA1">
            <w:pPr>
              <w:tabs>
                <w:tab w:val="center" w:pos="796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18:00-20:00</w:t>
            </w:r>
          </w:p>
        </w:tc>
        <w:tc>
          <w:tcPr>
            <w:tcW w:w="3340" w:type="pct"/>
          </w:tcPr>
          <w:p w:rsidR="00695718" w:rsidRPr="00E04680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Buffet Reception</w:t>
            </w:r>
          </w:p>
        </w:tc>
        <w:tc>
          <w:tcPr>
            <w:tcW w:w="865" w:type="pct"/>
          </w:tcPr>
          <w:p w:rsidR="00695718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95718" w:rsidRPr="00E04680" w:rsidRDefault="00695718" w:rsidP="00695718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18 Ocotber, Wednesday</w:t>
      </w:r>
    </w:p>
    <w:p w:rsidR="00695718" w:rsidRPr="00E04680" w:rsidRDefault="00695718" w:rsidP="00695718">
      <w:pPr>
        <w:tabs>
          <w:tab w:val="left" w:pos="1053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Obninsk</w:t>
      </w:r>
      <w:r w:rsidRPr="00E04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Kurchatov</w:t>
      </w:r>
      <w:r w:rsidRPr="00E046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str</w:t>
      </w:r>
      <w:r w:rsidRPr="00E04680">
        <w:rPr>
          <w:rFonts w:ascii="Times New Roman" w:hAnsi="Times New Roman" w:cs="Times New Roman"/>
          <w:b/>
          <w:sz w:val="28"/>
          <w:szCs w:val="28"/>
          <w:lang w:val="en-US"/>
        </w:rPr>
        <w:t>., 21, Rosatom-CICE&amp;T</w:t>
      </w:r>
    </w:p>
    <w:p w:rsidR="00695718" w:rsidRPr="00E04680" w:rsidRDefault="00695718" w:rsidP="00695718">
      <w:pPr>
        <w:tabs>
          <w:tab w:val="left" w:pos="1053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5108" w:type="pct"/>
        <w:tblInd w:w="-459" w:type="dxa"/>
        <w:tblLook w:val="04A0" w:firstRow="1" w:lastRow="0" w:firstColumn="1" w:lastColumn="0" w:noHBand="0" w:noVBand="1"/>
      </w:tblPr>
      <w:tblGrid>
        <w:gridCol w:w="1525"/>
        <w:gridCol w:w="8312"/>
      </w:tblGrid>
      <w:tr w:rsidR="00695718" w:rsidRPr="00E04680" w:rsidTr="007C51F6">
        <w:tc>
          <w:tcPr>
            <w:tcW w:w="775" w:type="pct"/>
          </w:tcPr>
          <w:p w:rsidR="00695718" w:rsidRPr="00E04680" w:rsidRDefault="00695718" w:rsidP="00DC3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  <w:p w:rsidR="00695718" w:rsidRPr="00E04680" w:rsidRDefault="00695718" w:rsidP="00DC3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5" w:type="pct"/>
          </w:tcPr>
          <w:p w:rsidR="00695718" w:rsidRPr="00E04680" w:rsidRDefault="00695718" w:rsidP="00DC3F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Topic</w:t>
            </w:r>
          </w:p>
        </w:tc>
      </w:tr>
      <w:tr w:rsidR="00695718" w:rsidRPr="00752390" w:rsidTr="007C51F6">
        <w:tc>
          <w:tcPr>
            <w:tcW w:w="775" w:type="pct"/>
            <w:vAlign w:val="center"/>
          </w:tcPr>
          <w:p w:rsidR="00695718" w:rsidRPr="007C51F6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08:00-10:30</w:t>
            </w:r>
          </w:p>
        </w:tc>
        <w:tc>
          <w:tcPr>
            <w:tcW w:w="4225" w:type="pct"/>
            <w:vAlign w:val="center"/>
          </w:tcPr>
          <w:p w:rsidR="00695718" w:rsidRPr="00E04680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Transfer from Moscow to Obninsk</w:t>
            </w:r>
          </w:p>
        </w:tc>
      </w:tr>
      <w:tr w:rsidR="00695718" w:rsidRPr="00752390" w:rsidTr="007C51F6">
        <w:tc>
          <w:tcPr>
            <w:tcW w:w="775" w:type="pct"/>
            <w:vAlign w:val="center"/>
          </w:tcPr>
          <w:p w:rsidR="00695718" w:rsidRPr="007C51F6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10:30-11:00</w:t>
            </w:r>
          </w:p>
        </w:tc>
        <w:tc>
          <w:tcPr>
            <w:tcW w:w="4225" w:type="pct"/>
            <w:vAlign w:val="center"/>
          </w:tcPr>
          <w:p w:rsidR="00695718" w:rsidRPr="00DD508E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5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Welcoming meeting with Rector of Rosatom Technical Academy</w:t>
            </w:r>
          </w:p>
        </w:tc>
      </w:tr>
      <w:tr w:rsidR="00695718" w:rsidRPr="00752390" w:rsidTr="007C51F6">
        <w:trPr>
          <w:trHeight w:val="206"/>
        </w:trPr>
        <w:tc>
          <w:tcPr>
            <w:tcW w:w="775" w:type="pct"/>
            <w:vAlign w:val="center"/>
          </w:tcPr>
          <w:p w:rsidR="00695718" w:rsidRPr="007C51F6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51F6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225" w:type="pct"/>
            <w:vAlign w:val="center"/>
          </w:tcPr>
          <w:p w:rsidR="00695718" w:rsidRPr="00DD508E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5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 about activities of Rosatom Technical Academy</w:t>
            </w:r>
          </w:p>
        </w:tc>
      </w:tr>
      <w:tr w:rsidR="00695718" w:rsidRPr="00810300" w:rsidTr="007C51F6">
        <w:tc>
          <w:tcPr>
            <w:tcW w:w="775" w:type="pct"/>
            <w:shd w:val="clear" w:color="auto" w:fill="auto"/>
            <w:vAlign w:val="center"/>
          </w:tcPr>
          <w:p w:rsidR="00695718" w:rsidRPr="007C51F6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12:00-13:30</w:t>
            </w:r>
          </w:p>
        </w:tc>
        <w:tc>
          <w:tcPr>
            <w:tcW w:w="4225" w:type="pct"/>
            <w:shd w:val="clear" w:color="auto" w:fill="auto"/>
            <w:vAlign w:val="center"/>
          </w:tcPr>
          <w:p w:rsidR="00695718" w:rsidRPr="00E04680" w:rsidRDefault="00695718" w:rsidP="00DC3FA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Lunch</w:t>
            </w:r>
          </w:p>
        </w:tc>
      </w:tr>
      <w:tr w:rsidR="00695718" w:rsidRPr="00752390" w:rsidTr="007C51F6">
        <w:tc>
          <w:tcPr>
            <w:tcW w:w="775" w:type="pct"/>
            <w:vAlign w:val="center"/>
          </w:tcPr>
          <w:p w:rsidR="00695718" w:rsidRPr="007C51F6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13:00-13:15</w:t>
            </w:r>
          </w:p>
        </w:tc>
        <w:tc>
          <w:tcPr>
            <w:tcW w:w="4225" w:type="pct"/>
            <w:vAlign w:val="center"/>
          </w:tcPr>
          <w:p w:rsidR="00695718" w:rsidRPr="00E04680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Making photos near the monument to I.V.Kurchatov</w:t>
            </w:r>
          </w:p>
        </w:tc>
      </w:tr>
      <w:tr w:rsidR="00695718" w:rsidRPr="00AC3079" w:rsidTr="007C51F6">
        <w:trPr>
          <w:trHeight w:val="562"/>
        </w:trPr>
        <w:tc>
          <w:tcPr>
            <w:tcW w:w="775" w:type="pct"/>
            <w:vAlign w:val="center"/>
          </w:tcPr>
          <w:p w:rsidR="00695718" w:rsidRPr="007C51F6" w:rsidRDefault="00695718" w:rsidP="00DC3FA1">
            <w:pPr>
              <w:tabs>
                <w:tab w:val="center" w:pos="796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51F6">
              <w:rPr>
                <w:rFonts w:ascii="Times New Roman" w:hAnsi="Times New Roman" w:cs="Times New Roman"/>
                <w:sz w:val="28"/>
                <w:szCs w:val="28"/>
              </w:rPr>
              <w:t>13:15-17:00</w:t>
            </w:r>
          </w:p>
        </w:tc>
        <w:tc>
          <w:tcPr>
            <w:tcW w:w="4225" w:type="pct"/>
            <w:vAlign w:val="center"/>
          </w:tcPr>
          <w:p w:rsidR="00695718" w:rsidRPr="00D3278E" w:rsidRDefault="00695718" w:rsidP="00DC3F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Visiting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Scientific Center </w:t>
            </w:r>
          </w:p>
        </w:tc>
      </w:tr>
      <w:tr w:rsidR="00695718" w:rsidRPr="00810300" w:rsidTr="00FA0AE6">
        <w:trPr>
          <w:trHeight w:val="649"/>
        </w:trPr>
        <w:tc>
          <w:tcPr>
            <w:tcW w:w="775" w:type="pct"/>
            <w:vAlign w:val="center"/>
          </w:tcPr>
          <w:p w:rsidR="00695718" w:rsidRPr="007C51F6" w:rsidRDefault="00695718" w:rsidP="00DC3FA1">
            <w:pPr>
              <w:tabs>
                <w:tab w:val="center" w:pos="796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51F6">
              <w:rPr>
                <w:rFonts w:ascii="Times New Roman" w:hAnsi="Times New Roman" w:cs="Times New Roman"/>
                <w:sz w:val="28"/>
                <w:szCs w:val="28"/>
              </w:rPr>
              <w:t>17:00-20:00</w:t>
            </w:r>
          </w:p>
        </w:tc>
        <w:tc>
          <w:tcPr>
            <w:tcW w:w="4225" w:type="pct"/>
            <w:vAlign w:val="center"/>
          </w:tcPr>
          <w:p w:rsidR="00695718" w:rsidRPr="00E04680" w:rsidRDefault="00695718" w:rsidP="00DC3FA1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Transfer to Moscow</w:t>
            </w:r>
          </w:p>
        </w:tc>
      </w:tr>
    </w:tbl>
    <w:p w:rsidR="003A682B" w:rsidRDefault="003A682B" w:rsidP="00FA0AE6"/>
    <w:p w:rsidR="000302BD" w:rsidRPr="00B3523B" w:rsidRDefault="000302BD" w:rsidP="00FA0AE6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44"/>
      </w:tblGrid>
      <w:tr w:rsidR="000302BD" w:rsidRPr="00A76F53" w:rsidTr="00C91CC2">
        <w:tc>
          <w:tcPr>
            <w:tcW w:w="9629" w:type="dxa"/>
            <w:gridSpan w:val="2"/>
          </w:tcPr>
          <w:p w:rsidR="000302BD" w:rsidRPr="00B3523B" w:rsidRDefault="000302BD" w:rsidP="00B3523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B3523B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List of Abbreviations</w:t>
            </w:r>
          </w:p>
        </w:tc>
      </w:tr>
      <w:tr w:rsidR="000302BD" w:rsidTr="00B3523B">
        <w:tc>
          <w:tcPr>
            <w:tcW w:w="1885" w:type="dxa"/>
          </w:tcPr>
          <w:p w:rsidR="000302BD" w:rsidRPr="00B3523B" w:rsidRDefault="00494AEB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JSC ASE</w:t>
            </w:r>
          </w:p>
        </w:tc>
        <w:tc>
          <w:tcPr>
            <w:tcW w:w="7744" w:type="dxa"/>
          </w:tcPr>
          <w:p w:rsidR="000302BD" w:rsidRPr="00B3523B" w:rsidRDefault="00494AEB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Joint-Stock Company Atomstoryexport</w:t>
            </w:r>
          </w:p>
        </w:tc>
      </w:tr>
      <w:tr w:rsidR="000302BD" w:rsidRPr="00752390" w:rsidTr="00B3523B">
        <w:tc>
          <w:tcPr>
            <w:tcW w:w="1885" w:type="dxa"/>
          </w:tcPr>
          <w:p w:rsidR="000302BD" w:rsidRPr="00B3523B" w:rsidRDefault="00494AEB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FCNRS</w:t>
            </w:r>
          </w:p>
        </w:tc>
        <w:tc>
          <w:tcPr>
            <w:tcW w:w="7744" w:type="dxa"/>
          </w:tcPr>
          <w:p w:rsidR="000302BD" w:rsidRPr="00B3523B" w:rsidRDefault="00494AEB" w:rsidP="00FA0AE6">
            <w:pPr>
              <w:rPr>
                <w:rFonts w:asciiTheme="majorBidi" w:hAnsiTheme="majorBidi" w:cstheme="majorBidi"/>
                <w:sz w:val="28"/>
                <w:szCs w:val="28"/>
                <w:rtl/>
                <w:lang w:val="en-US" w:bidi="fa-IR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Federal Center for Nuclear and Radiation Safety</w:t>
            </w:r>
          </w:p>
        </w:tc>
      </w:tr>
      <w:tr w:rsidR="000302BD" w:rsidTr="00B3523B">
        <w:tc>
          <w:tcPr>
            <w:tcW w:w="1885" w:type="dxa"/>
          </w:tcPr>
          <w:p w:rsidR="000302BD" w:rsidRPr="00B3523B" w:rsidRDefault="00494AEB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BNPP</w:t>
            </w:r>
          </w:p>
        </w:tc>
        <w:tc>
          <w:tcPr>
            <w:tcW w:w="7744" w:type="dxa"/>
          </w:tcPr>
          <w:p w:rsidR="000302BD" w:rsidRPr="00B3523B" w:rsidRDefault="00494AEB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Bushehr Nuclear Power Plant</w:t>
            </w:r>
          </w:p>
        </w:tc>
      </w:tr>
      <w:tr w:rsidR="000302BD" w:rsidTr="00B3523B">
        <w:tc>
          <w:tcPr>
            <w:tcW w:w="1885" w:type="dxa"/>
          </w:tcPr>
          <w:p w:rsidR="000302BD" w:rsidRPr="00B3523B" w:rsidRDefault="00494AEB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NLO</w:t>
            </w:r>
          </w:p>
        </w:tc>
        <w:tc>
          <w:tcPr>
            <w:tcW w:w="7744" w:type="dxa"/>
          </w:tcPr>
          <w:p w:rsidR="000302BD" w:rsidRPr="00B3523B" w:rsidRDefault="00494AEB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National Liaison Officer</w:t>
            </w:r>
          </w:p>
        </w:tc>
      </w:tr>
      <w:tr w:rsidR="000302BD" w:rsidRPr="00752390" w:rsidTr="00B3523B">
        <w:tc>
          <w:tcPr>
            <w:tcW w:w="1885" w:type="dxa"/>
          </w:tcPr>
          <w:p w:rsidR="000302BD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CICE&amp;T</w:t>
            </w:r>
          </w:p>
        </w:tc>
        <w:tc>
          <w:tcPr>
            <w:tcW w:w="7744" w:type="dxa"/>
          </w:tcPr>
          <w:p w:rsidR="000302BD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Central Institute for Continuing Education&amp;Training</w:t>
            </w:r>
          </w:p>
        </w:tc>
      </w:tr>
      <w:tr w:rsidR="000302BD" w:rsidRPr="00752390" w:rsidTr="00B3523B">
        <w:tc>
          <w:tcPr>
            <w:tcW w:w="1885" w:type="dxa"/>
          </w:tcPr>
          <w:p w:rsidR="000302BD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NPPD</w:t>
            </w:r>
          </w:p>
        </w:tc>
        <w:tc>
          <w:tcPr>
            <w:tcW w:w="7744" w:type="dxa"/>
          </w:tcPr>
          <w:p w:rsidR="000302BD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Nuclear Power Production and Development</w:t>
            </w:r>
          </w:p>
        </w:tc>
      </w:tr>
      <w:tr w:rsidR="008F4060" w:rsidRPr="00752390" w:rsidTr="00B3523B">
        <w:tc>
          <w:tcPr>
            <w:tcW w:w="1885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IBRAE</w:t>
            </w:r>
          </w:p>
        </w:tc>
        <w:tc>
          <w:tcPr>
            <w:tcW w:w="7744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The Nuclear Safety Institute of the Russian Academy of Science</w:t>
            </w:r>
          </w:p>
        </w:tc>
      </w:tr>
      <w:tr w:rsidR="008F4060" w:rsidRPr="00752390" w:rsidTr="00B3523B">
        <w:tc>
          <w:tcPr>
            <w:tcW w:w="1885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AEOI</w:t>
            </w:r>
          </w:p>
        </w:tc>
        <w:tc>
          <w:tcPr>
            <w:tcW w:w="7744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Atomic Energy Organization of Iran</w:t>
            </w:r>
          </w:p>
        </w:tc>
      </w:tr>
      <w:tr w:rsidR="008F4060" w:rsidTr="00B3523B">
        <w:tc>
          <w:tcPr>
            <w:tcW w:w="1885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IAEA</w:t>
            </w:r>
          </w:p>
        </w:tc>
        <w:tc>
          <w:tcPr>
            <w:tcW w:w="7744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International Atomic Energy Agency</w:t>
            </w:r>
          </w:p>
        </w:tc>
      </w:tr>
      <w:tr w:rsidR="008F4060" w:rsidTr="00B3523B">
        <w:tc>
          <w:tcPr>
            <w:tcW w:w="1885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RFNC</w:t>
            </w:r>
          </w:p>
        </w:tc>
        <w:tc>
          <w:tcPr>
            <w:tcW w:w="7744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Russian Federation Nuclear Center</w:t>
            </w:r>
          </w:p>
        </w:tc>
      </w:tr>
      <w:tr w:rsidR="008F4060" w:rsidRPr="00752390" w:rsidTr="00B3523B">
        <w:tc>
          <w:tcPr>
            <w:tcW w:w="1885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VNIIA</w:t>
            </w:r>
          </w:p>
        </w:tc>
        <w:tc>
          <w:tcPr>
            <w:tcW w:w="7744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All-Russian Research Institute of Automation</w:t>
            </w:r>
          </w:p>
        </w:tc>
      </w:tr>
      <w:tr w:rsidR="008F4060" w:rsidTr="00B3523B">
        <w:tc>
          <w:tcPr>
            <w:tcW w:w="1885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ITER</w:t>
            </w:r>
          </w:p>
        </w:tc>
        <w:tc>
          <w:tcPr>
            <w:tcW w:w="7744" w:type="dxa"/>
          </w:tcPr>
          <w:p w:rsidR="008F4060" w:rsidRPr="00B3523B" w:rsidRDefault="008F4060" w:rsidP="00FA0AE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523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International Thermonuclear Experimental Reactor</w:t>
            </w:r>
          </w:p>
        </w:tc>
      </w:tr>
    </w:tbl>
    <w:p w:rsidR="000302BD" w:rsidRDefault="000302BD" w:rsidP="00FA0AE6">
      <w:pPr>
        <w:rPr>
          <w:lang w:val="en-US"/>
        </w:rPr>
      </w:pPr>
    </w:p>
    <w:p w:rsidR="0031352A" w:rsidRDefault="0031352A" w:rsidP="0031352A">
      <w:pPr>
        <w:bidi/>
        <w:rPr>
          <w:rtl/>
          <w:lang w:val="en-US" w:bidi="fa-IR"/>
        </w:rPr>
      </w:pPr>
      <w:r>
        <w:rPr>
          <w:rFonts w:hint="cs"/>
          <w:rtl/>
          <w:lang w:val="en-US" w:bidi="fa-IR"/>
        </w:rPr>
        <w:t>جناب آقای صدری</w:t>
      </w:r>
    </w:p>
    <w:p w:rsidR="0031352A" w:rsidRDefault="0031352A" w:rsidP="0031352A">
      <w:pPr>
        <w:bidi/>
        <w:rPr>
          <w:rtl/>
          <w:lang w:val="en-US" w:bidi="fa-IR"/>
        </w:rPr>
      </w:pPr>
      <w:r>
        <w:rPr>
          <w:rFonts w:hint="cs"/>
          <w:rtl/>
          <w:lang w:val="en-US" w:bidi="fa-IR"/>
        </w:rPr>
        <w:t>با سلام</w:t>
      </w:r>
    </w:p>
    <w:p w:rsidR="0031352A" w:rsidRDefault="0031352A" w:rsidP="0031352A">
      <w:pPr>
        <w:bidi/>
        <w:rPr>
          <w:rtl/>
          <w:lang w:val="en-US" w:bidi="fa-IR"/>
        </w:rPr>
      </w:pPr>
      <w:r>
        <w:rPr>
          <w:rFonts w:hint="cs"/>
          <w:rtl/>
          <w:lang w:val="en-US" w:bidi="fa-IR"/>
        </w:rPr>
        <w:t>موارد زیر را جهت اقدام لازم به اطلاع می رسانم</w:t>
      </w:r>
    </w:p>
    <w:p w:rsidR="0031352A" w:rsidRDefault="0031352A" w:rsidP="00681977">
      <w:pPr>
        <w:bidi/>
        <w:rPr>
          <w:rtl/>
          <w:lang w:val="en-US" w:bidi="fa-IR"/>
        </w:rPr>
      </w:pPr>
      <w:r>
        <w:rPr>
          <w:rFonts w:hint="cs"/>
          <w:rtl/>
          <w:lang w:val="en-US" w:bidi="fa-IR"/>
        </w:rPr>
        <w:t xml:space="preserve">1-بنده بامداد یکشنبه </w:t>
      </w:r>
      <w:r w:rsidR="00292328">
        <w:rPr>
          <w:rFonts w:hint="cs"/>
          <w:rtl/>
          <w:lang w:val="en-US" w:bidi="fa-IR"/>
        </w:rPr>
        <w:t xml:space="preserve">با ایرفلوت </w:t>
      </w:r>
      <w:r>
        <w:rPr>
          <w:rFonts w:hint="cs"/>
          <w:rtl/>
          <w:lang w:val="en-US" w:bidi="fa-IR"/>
        </w:rPr>
        <w:t xml:space="preserve">خدمت خواهم رسید. </w:t>
      </w:r>
    </w:p>
    <w:p w:rsidR="00292328" w:rsidRDefault="00292328" w:rsidP="00292328">
      <w:pPr>
        <w:bidi/>
        <w:rPr>
          <w:rtl/>
          <w:lang w:val="en-US" w:bidi="fa-IR"/>
        </w:rPr>
      </w:pPr>
      <w:r>
        <w:rPr>
          <w:rFonts w:hint="cs"/>
          <w:rtl/>
          <w:lang w:val="en-US" w:bidi="fa-IR"/>
        </w:rPr>
        <w:t>2- بجای آقای کاردان آقای موافقی همان مطلب را ارائه خواند نمود.</w:t>
      </w:r>
    </w:p>
    <w:p w:rsidR="00292328" w:rsidRDefault="00292328" w:rsidP="00B50B89">
      <w:pPr>
        <w:bidi/>
        <w:rPr>
          <w:rtl/>
          <w:lang w:val="en-US" w:bidi="fa-IR"/>
        </w:rPr>
      </w:pPr>
      <w:r>
        <w:rPr>
          <w:rFonts w:hint="cs"/>
          <w:rtl/>
          <w:lang w:val="en-US" w:bidi="fa-IR"/>
        </w:rPr>
        <w:t>3- خانم اعظم اخوان ب</w:t>
      </w:r>
      <w:r w:rsidR="00B50B89">
        <w:rPr>
          <w:rFonts w:hint="cs"/>
          <w:rtl/>
          <w:lang w:val="en-US" w:bidi="fa-IR"/>
        </w:rPr>
        <w:t>ه</w:t>
      </w:r>
      <w:r>
        <w:rPr>
          <w:rFonts w:hint="cs"/>
          <w:rtl/>
          <w:lang w:val="en-US" w:bidi="fa-IR"/>
        </w:rPr>
        <w:t xml:space="preserve"> ارائه کنندگان افزوده شده اند اما مشخصات ایشان تاکنون</w:t>
      </w:r>
      <w:r w:rsidR="00B50B89">
        <w:rPr>
          <w:rFonts w:hint="cs"/>
          <w:rtl/>
          <w:lang w:val="en-US" w:bidi="fa-IR"/>
        </w:rPr>
        <w:t xml:space="preserve"> بدستم نرسیده است.</w:t>
      </w:r>
    </w:p>
    <w:p w:rsidR="00B50B89" w:rsidRDefault="00B50B89" w:rsidP="00B50B89">
      <w:pPr>
        <w:bidi/>
        <w:rPr>
          <w:rtl/>
          <w:lang w:val="en-US" w:bidi="fa-IR"/>
        </w:rPr>
      </w:pPr>
      <w:r>
        <w:rPr>
          <w:rFonts w:hint="cs"/>
          <w:rtl/>
          <w:lang w:val="en-US" w:bidi="fa-IR"/>
        </w:rPr>
        <w:t>4- شرکت شارپرتو ایرانیان از برنامه حذف شده است.</w:t>
      </w:r>
    </w:p>
    <w:p w:rsidR="00752390" w:rsidRDefault="00752390" w:rsidP="00752390">
      <w:pPr>
        <w:bidi/>
        <w:rPr>
          <w:rFonts w:hint="cs"/>
          <w:rtl/>
          <w:lang w:val="en-US" w:bidi="fa-IR"/>
        </w:rPr>
      </w:pPr>
      <w:r>
        <w:rPr>
          <w:rFonts w:hint="cs"/>
          <w:rtl/>
          <w:lang w:val="en-US" w:bidi="fa-IR"/>
        </w:rPr>
        <w:t>5- آقای هاشم زعفرانی هم تشریف می آورند.</w:t>
      </w:r>
      <w:bookmarkStart w:id="0" w:name="_GoBack"/>
      <w:bookmarkEnd w:id="0"/>
    </w:p>
    <w:p w:rsidR="0031352A" w:rsidRPr="00B3523B" w:rsidRDefault="0031352A" w:rsidP="00FA0AE6">
      <w:pPr>
        <w:rPr>
          <w:rtl/>
          <w:lang w:val="en-US" w:bidi="fa-IR"/>
        </w:rPr>
      </w:pPr>
    </w:p>
    <w:sectPr w:rsidR="0031352A" w:rsidRPr="00B3523B" w:rsidSect="00FA0AE6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6BF" w:rsidRDefault="00CB06BF">
      <w:pPr>
        <w:spacing w:after="0" w:line="240" w:lineRule="auto"/>
      </w:pPr>
      <w:r>
        <w:separator/>
      </w:r>
    </w:p>
  </w:endnote>
  <w:endnote w:type="continuationSeparator" w:id="0">
    <w:p w:rsidR="00CB06BF" w:rsidRDefault="00CB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6BF" w:rsidRDefault="00CB06BF">
      <w:pPr>
        <w:spacing w:after="0" w:line="240" w:lineRule="auto"/>
      </w:pPr>
      <w:r>
        <w:separator/>
      </w:r>
    </w:p>
  </w:footnote>
  <w:footnote w:type="continuationSeparator" w:id="0">
    <w:p w:rsidR="00CB06BF" w:rsidRDefault="00CB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720166"/>
      <w:docPartObj>
        <w:docPartGallery w:val="Page Numbers (Top of Page)"/>
        <w:docPartUnique/>
      </w:docPartObj>
    </w:sdtPr>
    <w:sdtEndPr/>
    <w:sdtContent>
      <w:p w:rsidR="00C43817" w:rsidRDefault="006957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90">
          <w:rPr>
            <w:noProof/>
          </w:rPr>
          <w:t>5</w:t>
        </w:r>
        <w:r>
          <w:fldChar w:fldCharType="end"/>
        </w:r>
      </w:p>
    </w:sdtContent>
  </w:sdt>
  <w:p w:rsidR="00C43817" w:rsidRDefault="00CB06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60F05"/>
    <w:multiLevelType w:val="hybridMultilevel"/>
    <w:tmpl w:val="3B2451AA"/>
    <w:lvl w:ilvl="0" w:tplc="3B0A3C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18"/>
    <w:rsid w:val="000112FC"/>
    <w:rsid w:val="000302BD"/>
    <w:rsid w:val="00065D32"/>
    <w:rsid w:val="000969C2"/>
    <w:rsid w:val="00120AB5"/>
    <w:rsid w:val="001619DC"/>
    <w:rsid w:val="00292328"/>
    <w:rsid w:val="0031352A"/>
    <w:rsid w:val="00333498"/>
    <w:rsid w:val="003A682B"/>
    <w:rsid w:val="00487A33"/>
    <w:rsid w:val="00494AEB"/>
    <w:rsid w:val="0054019B"/>
    <w:rsid w:val="00671691"/>
    <w:rsid w:val="00681977"/>
    <w:rsid w:val="00695718"/>
    <w:rsid w:val="00696AB1"/>
    <w:rsid w:val="00752390"/>
    <w:rsid w:val="007C51F6"/>
    <w:rsid w:val="008F4060"/>
    <w:rsid w:val="009429E9"/>
    <w:rsid w:val="00A47987"/>
    <w:rsid w:val="00A76F53"/>
    <w:rsid w:val="00A86B3E"/>
    <w:rsid w:val="00AA58B3"/>
    <w:rsid w:val="00B10572"/>
    <w:rsid w:val="00B3523B"/>
    <w:rsid w:val="00B50B89"/>
    <w:rsid w:val="00C4550F"/>
    <w:rsid w:val="00C55A1F"/>
    <w:rsid w:val="00C629DA"/>
    <w:rsid w:val="00CB06BF"/>
    <w:rsid w:val="00CE6450"/>
    <w:rsid w:val="00D46856"/>
    <w:rsid w:val="00DF719D"/>
    <w:rsid w:val="00E70819"/>
    <w:rsid w:val="00F5781C"/>
    <w:rsid w:val="00F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16DC8-704C-4F22-BFD7-749F1555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18"/>
  </w:style>
  <w:style w:type="paragraph" w:customStyle="1" w:styleId="Default">
    <w:name w:val="Default"/>
    <w:rsid w:val="006957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EB89-4B35-42AE-9FAB-B23C11CA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1166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Rosatom</Company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Сергей Александрович</dc:creator>
  <cp:lastModifiedBy>Mahmoud Azizi</cp:lastModifiedBy>
  <cp:revision>6</cp:revision>
  <dcterms:created xsi:type="dcterms:W3CDTF">2017-10-14T11:09:00Z</dcterms:created>
  <dcterms:modified xsi:type="dcterms:W3CDTF">2017-10-14T13:38:00Z</dcterms:modified>
</cp:coreProperties>
</file>