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227" w:rsidRDefault="002C77EF" w:rsidP="001D0C5D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Cs/>
          <w:color w:val="000000"/>
          <w:sz w:val="24"/>
          <w:szCs w:val="24"/>
          <w:lang w:val="ru-RU"/>
        </w:rPr>
        <w:t>З</w:t>
      </w:r>
      <w:r w:rsidR="00027227" w:rsidRPr="001D0C5D">
        <w:rPr>
          <w:rFonts w:ascii="Times New Roman" w:hAnsi="Times New Roman" w:cs="Times New Roman"/>
          <w:b/>
          <w:iCs/>
          <w:color w:val="000000"/>
          <w:sz w:val="24"/>
          <w:szCs w:val="24"/>
          <w:lang w:val="ru-RU"/>
        </w:rPr>
        <w:t>аявк</w:t>
      </w:r>
      <w:r>
        <w:rPr>
          <w:rFonts w:ascii="Times New Roman" w:hAnsi="Times New Roman" w:cs="Times New Roman"/>
          <w:b/>
          <w:iCs/>
          <w:color w:val="000000"/>
          <w:sz w:val="24"/>
          <w:szCs w:val="24"/>
          <w:lang w:val="ru-RU"/>
        </w:rPr>
        <w:t>а</w:t>
      </w:r>
      <w:r w:rsidR="00027227" w:rsidRPr="001D0C5D">
        <w:rPr>
          <w:rFonts w:ascii="Times New Roman" w:hAnsi="Times New Roman" w:cs="Times New Roman"/>
          <w:b/>
          <w:iCs/>
          <w:color w:val="000000"/>
          <w:sz w:val="24"/>
          <w:szCs w:val="24"/>
          <w:lang w:val="ru-RU"/>
        </w:rPr>
        <w:t xml:space="preserve"> </w:t>
      </w:r>
      <w:r w:rsidR="001D0C5D" w:rsidRPr="001D0C5D">
        <w:rPr>
          <w:rFonts w:ascii="Times New Roman" w:hAnsi="Times New Roman" w:cs="Times New Roman"/>
          <w:b/>
          <w:iCs/>
          <w:color w:val="000000"/>
          <w:sz w:val="24"/>
          <w:szCs w:val="24"/>
          <w:lang w:val="ru-RU"/>
        </w:rPr>
        <w:t>для командирования</w:t>
      </w:r>
      <w:r w:rsidR="00027227" w:rsidRPr="001D0C5D">
        <w:rPr>
          <w:rFonts w:ascii="Times New Roman" w:hAnsi="Times New Roman" w:cs="Times New Roman"/>
          <w:b/>
          <w:iCs/>
          <w:color w:val="000000"/>
          <w:sz w:val="24"/>
          <w:szCs w:val="24"/>
          <w:lang w:val="ru-RU"/>
        </w:rPr>
        <w:t xml:space="preserve"> специалистов в Тегеран (фирма </w:t>
      </w:r>
      <w:r w:rsidR="00CB4015">
        <w:rPr>
          <w:rFonts w:ascii="Times New Roman" w:hAnsi="Times New Roman" w:cs="Times New Roman"/>
          <w:b/>
          <w:iCs/>
          <w:color w:val="000000"/>
          <w:sz w:val="24"/>
          <w:szCs w:val="24"/>
        </w:rPr>
        <w:t>TAVANA</w:t>
      </w:r>
      <w:r w:rsidR="00027227" w:rsidRPr="001D0C5D">
        <w:rPr>
          <w:rFonts w:ascii="Times New Roman" w:hAnsi="Times New Roman" w:cs="Times New Roman"/>
          <w:b/>
          <w:iCs/>
          <w:color w:val="000000"/>
          <w:sz w:val="24"/>
          <w:szCs w:val="24"/>
          <w:lang w:val="ru-RU"/>
        </w:rPr>
        <w:t>)</w:t>
      </w:r>
    </w:p>
    <w:p w:rsidR="00027227" w:rsidRPr="001D0C5D" w:rsidRDefault="00027227" w:rsidP="001D0C5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iCs/>
          <w:color w:val="000000"/>
          <w:sz w:val="24"/>
          <w:szCs w:val="24"/>
          <w:lang w:val="ru-RU"/>
        </w:rPr>
      </w:pPr>
      <w:r w:rsidRPr="001D0C5D">
        <w:rPr>
          <w:rFonts w:ascii="Times New Roman" w:hAnsi="Times New Roman" w:cs="Times New Roman"/>
          <w:b/>
          <w:iCs/>
          <w:color w:val="000000"/>
          <w:sz w:val="24"/>
          <w:szCs w:val="24"/>
          <w:lang w:val="ru-RU"/>
        </w:rPr>
        <w:t>Кому: Полномочному представителю Подрядчика:</w:t>
      </w:r>
    </w:p>
    <w:p w:rsidR="00027227" w:rsidRDefault="00027227" w:rsidP="00CB62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Уведомляем Вас, что следующие специалисты должны быть командированы </w:t>
      </w:r>
      <w:r w:rsidRPr="003027E6">
        <w:rPr>
          <w:rFonts w:ascii="Times New Roman" w:hAnsi="Times New Roman" w:cs="Times New Roman"/>
          <w:iCs/>
          <w:color w:val="000000"/>
          <w:sz w:val="24"/>
          <w:szCs w:val="24"/>
          <w:u w:val="single"/>
          <w:lang w:val="ru-RU"/>
        </w:rPr>
        <w:t xml:space="preserve">в Тегеран (фирма </w:t>
      </w:r>
      <w:r w:rsidR="00CB4015" w:rsidRPr="003027E6">
        <w:rPr>
          <w:rFonts w:ascii="Times New Roman" w:hAnsi="Times New Roman" w:cs="Times New Roman"/>
          <w:iCs/>
          <w:color w:val="000000"/>
          <w:sz w:val="24"/>
          <w:szCs w:val="24"/>
          <w:u w:val="single"/>
          <w:lang w:val="ru-RU"/>
        </w:rPr>
        <w:t>TAVANA</w:t>
      </w:r>
      <w:r w:rsidRPr="003027E6">
        <w:rPr>
          <w:rFonts w:ascii="Times New Roman" w:hAnsi="Times New Roman" w:cs="Times New Roman"/>
          <w:iCs/>
          <w:color w:val="000000"/>
          <w:sz w:val="24"/>
          <w:szCs w:val="24"/>
          <w:u w:val="single"/>
          <w:lang w:val="ru-RU"/>
        </w:rPr>
        <w:t>)</w:t>
      </w:r>
      <w:r w:rsidR="001D0C5D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 для оказания услуг по технической и инженерной поддержке по Контракту </w:t>
      </w:r>
      <w:r w:rsidR="001D0C5D">
        <w:rPr>
          <w:rFonts w:ascii="Times New Roman" w:hAnsi="Times New Roman" w:cs="Times New Roman"/>
          <w:iCs/>
          <w:color w:val="000000"/>
          <w:sz w:val="24"/>
          <w:szCs w:val="24"/>
        </w:rPr>
        <w:t>CNT</w:t>
      </w:r>
      <w:r w:rsidR="001D0C5D" w:rsidRPr="00CB62B1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-</w:t>
      </w:r>
      <w:r w:rsidR="001D0C5D">
        <w:rPr>
          <w:rFonts w:ascii="Times New Roman" w:hAnsi="Times New Roman" w:cs="Times New Roman"/>
          <w:iCs/>
          <w:color w:val="000000"/>
          <w:sz w:val="24"/>
          <w:szCs w:val="24"/>
        </w:rPr>
        <w:t>ETS</w:t>
      </w:r>
      <w:r w:rsidR="001D0C5D" w:rsidRPr="00CB62B1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/</w:t>
      </w:r>
      <w:r w:rsidR="001D0C5D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4100-1 от 25.02.2015 г., в соответствии с приведенной таблицей. Просим Вас дать указание на назначение квалифицированных специалистов и выполнение действий согласно п. 4.1.1 Приложения 4 к Контракту.</w:t>
      </w:r>
    </w:p>
    <w:p w:rsidR="001D0C5D" w:rsidRDefault="001D0C5D" w:rsidP="00CB62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60"/>
        <w:gridCol w:w="2093"/>
        <w:gridCol w:w="1971"/>
        <w:gridCol w:w="1856"/>
        <w:gridCol w:w="1434"/>
        <w:gridCol w:w="1455"/>
        <w:gridCol w:w="1455"/>
        <w:gridCol w:w="3758"/>
      </w:tblGrid>
      <w:tr w:rsidR="009E63B2" w:rsidRPr="008F5D85" w:rsidTr="009E63B2">
        <w:trPr>
          <w:tblHeader/>
        </w:trPr>
        <w:tc>
          <w:tcPr>
            <w:tcW w:w="205" w:type="pct"/>
          </w:tcPr>
          <w:p w:rsidR="002B3BB9" w:rsidRPr="008F5D85" w:rsidRDefault="002B3BB9" w:rsidP="008F5D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ru-RU"/>
              </w:rPr>
            </w:pPr>
            <w:r w:rsidRPr="008F5D85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8F5D85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8F5D85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ru-RU"/>
              </w:rPr>
              <w:t>/п</w:t>
            </w:r>
          </w:p>
        </w:tc>
        <w:tc>
          <w:tcPr>
            <w:tcW w:w="701" w:type="pct"/>
          </w:tcPr>
          <w:p w:rsidR="002B3BB9" w:rsidRPr="008F5D85" w:rsidRDefault="002B3BB9" w:rsidP="008F5D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ru-RU"/>
              </w:rPr>
            </w:pPr>
            <w:r w:rsidRPr="008F5D85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ru-RU"/>
              </w:rPr>
              <w:t>Должность</w:t>
            </w:r>
          </w:p>
        </w:tc>
        <w:tc>
          <w:tcPr>
            <w:tcW w:w="698" w:type="pct"/>
          </w:tcPr>
          <w:p w:rsidR="002B3BB9" w:rsidRPr="008F5D85" w:rsidRDefault="002B3BB9" w:rsidP="008F5D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ru-RU"/>
              </w:rPr>
            </w:pPr>
            <w:proofErr w:type="spellStart"/>
            <w:r w:rsidRPr="008F5D85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ru-RU"/>
              </w:rPr>
              <w:t>Грейд</w:t>
            </w:r>
            <w:proofErr w:type="spellEnd"/>
          </w:p>
        </w:tc>
        <w:tc>
          <w:tcPr>
            <w:tcW w:w="622" w:type="pct"/>
          </w:tcPr>
          <w:p w:rsidR="002B3BB9" w:rsidRPr="008F5D85" w:rsidRDefault="002B3BB9" w:rsidP="008F5D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ru-RU"/>
              </w:rPr>
            </w:pPr>
            <w:r w:rsidRPr="008F5D85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ru-RU"/>
              </w:rPr>
              <w:t>Организация</w:t>
            </w:r>
          </w:p>
        </w:tc>
        <w:tc>
          <w:tcPr>
            <w:tcW w:w="480" w:type="pct"/>
          </w:tcPr>
          <w:p w:rsidR="002B3BB9" w:rsidRPr="008F5D85" w:rsidRDefault="002B3BB9" w:rsidP="008F5D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ru-RU"/>
              </w:rPr>
              <w:t>ФИО</w:t>
            </w:r>
          </w:p>
        </w:tc>
        <w:tc>
          <w:tcPr>
            <w:tcW w:w="488" w:type="pct"/>
          </w:tcPr>
          <w:p w:rsidR="002B3BB9" w:rsidRPr="008F5D85" w:rsidRDefault="002B3BB9" w:rsidP="008F5D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ru-RU"/>
              </w:rPr>
            </w:pPr>
            <w:r w:rsidRPr="008F5D85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ru-RU"/>
              </w:rPr>
              <w:t>Дата прибытия</w:t>
            </w:r>
          </w:p>
        </w:tc>
        <w:tc>
          <w:tcPr>
            <w:tcW w:w="499" w:type="pct"/>
          </w:tcPr>
          <w:p w:rsidR="002B3BB9" w:rsidRPr="008F5D85" w:rsidRDefault="002B3BB9" w:rsidP="008F5D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ru-RU"/>
              </w:rPr>
            </w:pPr>
            <w:r w:rsidRPr="008F5D85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ru-RU"/>
              </w:rPr>
              <w:t>Дата убытия</w:t>
            </w:r>
          </w:p>
        </w:tc>
        <w:tc>
          <w:tcPr>
            <w:tcW w:w="1306" w:type="pct"/>
          </w:tcPr>
          <w:p w:rsidR="002B3BB9" w:rsidRPr="008F5D85" w:rsidRDefault="002B3BB9" w:rsidP="008F5D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ru-RU"/>
              </w:rPr>
            </w:pPr>
            <w:r w:rsidRPr="008F5D85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ru-RU"/>
              </w:rPr>
              <w:t>Обязанности</w:t>
            </w:r>
          </w:p>
        </w:tc>
      </w:tr>
      <w:tr w:rsidR="009E63B2" w:rsidRPr="0093604A" w:rsidTr="009E63B2">
        <w:tc>
          <w:tcPr>
            <w:tcW w:w="205" w:type="pct"/>
          </w:tcPr>
          <w:p w:rsidR="002B3BB9" w:rsidRDefault="002B3BB9" w:rsidP="00CB62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1" w:type="pct"/>
          </w:tcPr>
          <w:p w:rsidR="002B3BB9" w:rsidRDefault="00F7470E" w:rsidP="003B55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F7470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Начальник отдела Технологического филиала</w:t>
            </w:r>
          </w:p>
        </w:tc>
        <w:tc>
          <w:tcPr>
            <w:tcW w:w="698" w:type="pct"/>
          </w:tcPr>
          <w:p w:rsidR="002B3BB9" w:rsidRPr="00432F37" w:rsidRDefault="002B3BB9" w:rsidP="00432F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6</w:t>
            </w:r>
            <w:r w:rsidRPr="00432F3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В (€</w:t>
            </w:r>
            <w:r w:rsidRPr="00DC53B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3B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784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,00</w:t>
            </w:r>
            <w:r w:rsidRPr="00432F3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) –</w:t>
            </w:r>
          </w:p>
          <w:p w:rsidR="002B3BB9" w:rsidRPr="00432F37" w:rsidRDefault="002B3BB9" w:rsidP="00DC53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к</w:t>
            </w:r>
            <w:r w:rsidRPr="00DC53B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раткосрочно командируемый персонал</w:t>
            </w:r>
            <w:r w:rsidRPr="00432F3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в г. Тегеране </w:t>
            </w:r>
            <w:r w:rsidRPr="00432F3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(согласно Приложению 17 Контракта)</w:t>
            </w:r>
          </w:p>
        </w:tc>
        <w:tc>
          <w:tcPr>
            <w:tcW w:w="622" w:type="pct"/>
          </w:tcPr>
          <w:p w:rsidR="002B3BB9" w:rsidRDefault="002B3BB9" w:rsidP="00354F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АО </w:t>
            </w:r>
            <w:r w:rsidR="00F7470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«Концерн Росэнергоатом»</w:t>
            </w:r>
          </w:p>
        </w:tc>
        <w:tc>
          <w:tcPr>
            <w:tcW w:w="480" w:type="pct"/>
          </w:tcPr>
          <w:p w:rsidR="002B3BB9" w:rsidRDefault="00F7470E" w:rsidP="003027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F7470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Виноградов Николай Аркадьевич</w:t>
            </w:r>
          </w:p>
        </w:tc>
        <w:tc>
          <w:tcPr>
            <w:tcW w:w="488" w:type="pct"/>
          </w:tcPr>
          <w:p w:rsidR="002B3BB9" w:rsidRDefault="002B3BB9" w:rsidP="00F74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1</w:t>
            </w:r>
            <w:r w:rsidR="00F7470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.0</w:t>
            </w:r>
            <w:r w:rsidR="00F7470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.2017г.</w:t>
            </w:r>
          </w:p>
        </w:tc>
        <w:tc>
          <w:tcPr>
            <w:tcW w:w="499" w:type="pct"/>
          </w:tcPr>
          <w:p w:rsidR="002B3BB9" w:rsidRDefault="00F7470E" w:rsidP="00F74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26</w:t>
            </w:r>
            <w:r w:rsidR="002B3BB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4</w:t>
            </w:r>
            <w:r w:rsidR="002B3BB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.2017г. </w:t>
            </w:r>
          </w:p>
        </w:tc>
        <w:tc>
          <w:tcPr>
            <w:tcW w:w="1306" w:type="pct"/>
          </w:tcPr>
          <w:p w:rsidR="00F7470E" w:rsidRPr="007878EA" w:rsidRDefault="00F7470E" w:rsidP="00F74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7878E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Ввод в действие </w:t>
            </w:r>
            <w:proofErr w:type="gramStart"/>
            <w:r w:rsidRPr="007878E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передвижного</w:t>
            </w:r>
            <w:proofErr w:type="gramEnd"/>
            <w:r w:rsidRPr="007878E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дизель-генератора, предусмотренного в программе БАЭС -1 по стресс-тесту:</w:t>
            </w:r>
          </w:p>
          <w:p w:rsidR="00F7470E" w:rsidRPr="007878EA" w:rsidRDefault="00F7470E" w:rsidP="004F5144">
            <w:pPr>
              <w:pStyle w:val="a4"/>
              <w:numPr>
                <w:ilvl w:val="0"/>
                <w:numId w:val="4"/>
              </w:numPr>
              <w:tabs>
                <w:tab w:val="left" w:pos="271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7878E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Рассмотрение концептуального проекта по вводу в действие передвижного </w:t>
            </w:r>
            <w:proofErr w:type="gramStart"/>
            <w:r w:rsidRPr="007878E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дизель-генератора</w:t>
            </w:r>
            <w:proofErr w:type="gramEnd"/>
            <w:r w:rsidRPr="007878E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, а также согласование концептуального проекта.</w:t>
            </w:r>
          </w:p>
          <w:p w:rsidR="002B3BB9" w:rsidRPr="00F7470E" w:rsidRDefault="00F7470E" w:rsidP="004F5144">
            <w:pPr>
              <w:pStyle w:val="a4"/>
              <w:numPr>
                <w:ilvl w:val="0"/>
                <w:numId w:val="4"/>
              </w:numPr>
              <w:tabs>
                <w:tab w:val="left" w:pos="271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7878E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Оказание помощи в проверке базовой/рабочей документации по вводу в работу передвижного </w:t>
            </w:r>
            <w:proofErr w:type="gramStart"/>
            <w:r w:rsidRPr="007878E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дизель-генератора</w:t>
            </w:r>
            <w:proofErr w:type="gramEnd"/>
            <w:r w:rsidRPr="007878E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и получение разрешения ИНРА на внесение каких-либо изменений, предусмотренных по окончании этапа детальной разработки проекта.</w:t>
            </w:r>
          </w:p>
        </w:tc>
      </w:tr>
      <w:tr w:rsidR="009E63B2" w:rsidRPr="0093604A" w:rsidTr="009E63B2">
        <w:tc>
          <w:tcPr>
            <w:tcW w:w="205" w:type="pct"/>
          </w:tcPr>
          <w:p w:rsidR="00231326" w:rsidRDefault="00231326" w:rsidP="00CB62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701" w:type="pct"/>
          </w:tcPr>
          <w:p w:rsidR="00231326" w:rsidRPr="006E7B5F" w:rsidRDefault="00231326" w:rsidP="003B55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354FA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Начальник отдела надежности АЭС</w:t>
            </w:r>
          </w:p>
        </w:tc>
        <w:tc>
          <w:tcPr>
            <w:tcW w:w="698" w:type="pct"/>
          </w:tcPr>
          <w:p w:rsidR="00231326" w:rsidRPr="00432F37" w:rsidRDefault="00231326" w:rsidP="007A5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6</w:t>
            </w:r>
            <w:r w:rsidRPr="00432F3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В (€</w:t>
            </w:r>
            <w:r w:rsidRPr="00DC53B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3B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784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,00</w:t>
            </w:r>
            <w:r w:rsidRPr="00432F3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) –</w:t>
            </w:r>
          </w:p>
          <w:p w:rsidR="00231326" w:rsidRPr="00432F37" w:rsidRDefault="00231326" w:rsidP="007A5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к</w:t>
            </w:r>
            <w:r w:rsidRPr="00DC53B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раткосрочно командируемый персонал</w:t>
            </w:r>
            <w:r w:rsidRPr="00432F3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в г. Тегеране </w:t>
            </w:r>
            <w:r w:rsidRPr="00432F3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(согласно Приложению 17 Контракта)</w:t>
            </w:r>
          </w:p>
        </w:tc>
        <w:tc>
          <w:tcPr>
            <w:tcW w:w="622" w:type="pct"/>
          </w:tcPr>
          <w:p w:rsidR="00231326" w:rsidRDefault="00231326" w:rsidP="00354F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АО «ВНИИАЭС»</w:t>
            </w:r>
          </w:p>
        </w:tc>
        <w:tc>
          <w:tcPr>
            <w:tcW w:w="480" w:type="pct"/>
          </w:tcPr>
          <w:p w:rsidR="00231326" w:rsidRPr="002B3BB9" w:rsidRDefault="00231326" w:rsidP="003027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F6790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Гетман Александр Фёдорович</w:t>
            </w:r>
          </w:p>
        </w:tc>
        <w:tc>
          <w:tcPr>
            <w:tcW w:w="488" w:type="pct"/>
          </w:tcPr>
          <w:p w:rsidR="00231326" w:rsidRDefault="00AE01B7" w:rsidP="007A5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15</w:t>
            </w:r>
            <w:r w:rsidR="0023132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.04.2017г.</w:t>
            </w:r>
          </w:p>
        </w:tc>
        <w:tc>
          <w:tcPr>
            <w:tcW w:w="499" w:type="pct"/>
          </w:tcPr>
          <w:p w:rsidR="00231326" w:rsidRDefault="00231326" w:rsidP="00A94C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1</w:t>
            </w:r>
            <w:r w:rsidR="00A94C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.05.2017г. </w:t>
            </w:r>
          </w:p>
        </w:tc>
        <w:tc>
          <w:tcPr>
            <w:tcW w:w="1306" w:type="pct"/>
          </w:tcPr>
          <w:p w:rsidR="004F5144" w:rsidRPr="007878EA" w:rsidRDefault="004F5144" w:rsidP="004F5144">
            <w:pPr>
              <w:pStyle w:val="a4"/>
              <w:numPr>
                <w:ilvl w:val="0"/>
                <w:numId w:val="4"/>
              </w:numPr>
              <w:tabs>
                <w:tab w:val="left" w:pos="271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7878E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Техническая помощь/консультации в разработке базы данных с учетом требований программы управления старением.</w:t>
            </w:r>
          </w:p>
          <w:p w:rsidR="004F5144" w:rsidRPr="007878EA" w:rsidRDefault="004F5144" w:rsidP="004F5144">
            <w:pPr>
              <w:pStyle w:val="a4"/>
              <w:numPr>
                <w:ilvl w:val="0"/>
                <w:numId w:val="4"/>
              </w:numPr>
              <w:tabs>
                <w:tab w:val="left" w:pos="271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7878E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Техническая помощь/консультации в процедуре выбора кодировки систем и компонентов с учетом </w:t>
            </w:r>
            <w:r w:rsidRPr="007878E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lastRenderedPageBreak/>
              <w:t>требований безопасности программы управления старением.</w:t>
            </w:r>
          </w:p>
          <w:p w:rsidR="004F5144" w:rsidRPr="007878EA" w:rsidRDefault="004F5144" w:rsidP="004F5144">
            <w:pPr>
              <w:pStyle w:val="a4"/>
              <w:numPr>
                <w:ilvl w:val="0"/>
                <w:numId w:val="4"/>
              </w:numPr>
              <w:tabs>
                <w:tab w:val="left" w:pos="271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7878E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Техническая помощь/консультации в выборе и проверке программного обеспечения для моделирования и анализа проблем механизма старения и их классификация с учетом требований программы управления старением.</w:t>
            </w:r>
          </w:p>
          <w:p w:rsidR="004F5144" w:rsidRPr="007878EA" w:rsidRDefault="004F5144" w:rsidP="004F5144">
            <w:pPr>
              <w:pStyle w:val="a4"/>
              <w:numPr>
                <w:ilvl w:val="0"/>
                <w:numId w:val="4"/>
              </w:numPr>
              <w:tabs>
                <w:tab w:val="left" w:pos="271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7878E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Техническая помощь/консультации в выборе и проверке стандартных методов по оценке эффекта анализа старения материалов, проводимого в укороченные сроки (</w:t>
            </w:r>
            <w:r w:rsidRPr="007878E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TLAA</w:t>
            </w:r>
            <w:r w:rsidRPr="007878E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) выборочных систем и компонентов, по программе управления старением.</w:t>
            </w:r>
          </w:p>
          <w:p w:rsidR="004F5144" w:rsidRPr="007878EA" w:rsidRDefault="004F5144" w:rsidP="004F5144">
            <w:pPr>
              <w:pStyle w:val="a4"/>
              <w:numPr>
                <w:ilvl w:val="0"/>
                <w:numId w:val="4"/>
              </w:numPr>
              <w:tabs>
                <w:tab w:val="left" w:pos="271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7878E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Техническая помощь/консультации в создании эффективной программы управления старением выборочных систем и компонентов.</w:t>
            </w:r>
          </w:p>
          <w:p w:rsidR="004F5144" w:rsidRPr="007878EA" w:rsidRDefault="004F5144" w:rsidP="004F5144">
            <w:pPr>
              <w:pStyle w:val="a4"/>
              <w:numPr>
                <w:ilvl w:val="0"/>
                <w:numId w:val="4"/>
              </w:numPr>
              <w:tabs>
                <w:tab w:val="left" w:pos="271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7878E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Техническая помощь/консультации в создании руководств по периодическому пересмотру и оценке программы управления старением в течение всего ресурса БАЭС.</w:t>
            </w:r>
          </w:p>
          <w:p w:rsidR="00231326" w:rsidRPr="006E3D92" w:rsidRDefault="004F5144" w:rsidP="004F51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ru-RU"/>
              </w:rPr>
            </w:pPr>
            <w:r w:rsidRPr="007878E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Проверка и сравнительный анализ </w:t>
            </w:r>
            <w:r w:rsidRPr="007878E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lastRenderedPageBreak/>
              <w:t>деятельности и руководящих документов, разработанных для программы управления старением БАЭС.</w:t>
            </w:r>
          </w:p>
        </w:tc>
      </w:tr>
    </w:tbl>
    <w:p w:rsidR="009C5883" w:rsidRPr="007878EA" w:rsidRDefault="009C5883" w:rsidP="00CB62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</w:pPr>
    </w:p>
    <w:p w:rsidR="001D0C5D" w:rsidRPr="008F3EA9" w:rsidRDefault="00101054" w:rsidP="00CB62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color w:val="000000"/>
          <w:sz w:val="24"/>
          <w:szCs w:val="24"/>
          <w:lang w:val="ru-RU"/>
        </w:rPr>
      </w:pPr>
      <w:r w:rsidRPr="008F3EA9">
        <w:rPr>
          <w:rFonts w:ascii="Times New Roman" w:hAnsi="Times New Roman" w:cs="Times New Roman"/>
          <w:b/>
          <w:iCs/>
          <w:color w:val="000000"/>
          <w:sz w:val="24"/>
          <w:szCs w:val="24"/>
          <w:lang w:val="ru-RU"/>
        </w:rPr>
        <w:t>Утверждено Полномочным представителем Заказчика (имя и должность)</w:t>
      </w:r>
    </w:p>
    <w:p w:rsidR="008F3EA9" w:rsidRDefault="008F3EA9" w:rsidP="00CB62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</w:pPr>
    </w:p>
    <w:p w:rsidR="00101054" w:rsidRDefault="00101054" w:rsidP="00CB62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</w:pPr>
      <w:r w:rsidRPr="007878EA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Е. Дейлами – заместитель гл</w:t>
      </w:r>
      <w:r w:rsidR="0093604A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авного</w:t>
      </w:r>
      <w:bookmarkStart w:id="0" w:name="_GoBack"/>
      <w:bookmarkEnd w:id="0"/>
      <w:r w:rsidRPr="007878EA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 инженера БАЭС-1</w:t>
      </w:r>
    </w:p>
    <w:p w:rsidR="007947CF" w:rsidRPr="001E0842" w:rsidRDefault="007947CF">
      <w:pPr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</w:pPr>
      <w:bookmarkStart w:id="1" w:name="bookmark1"/>
      <w:r w:rsidRPr="001E0842">
        <w:rPr>
          <w:lang w:val="ru-RU"/>
        </w:rPr>
        <w:br w:type="page"/>
      </w:r>
    </w:p>
    <w:p w:rsidR="007947CF" w:rsidRDefault="007947CF" w:rsidP="007947CF">
      <w:pPr>
        <w:pStyle w:val="20"/>
        <w:keepNext/>
        <w:keepLines/>
        <w:shd w:val="clear" w:color="auto" w:fill="auto"/>
        <w:spacing w:after="0" w:line="260" w:lineRule="exact"/>
        <w:ind w:left="40"/>
      </w:pPr>
      <w:r>
        <w:lastRenderedPageBreak/>
        <w:t>Application Form for sending specialists to Tehran</w:t>
      </w:r>
      <w:bookmarkEnd w:id="1"/>
    </w:p>
    <w:p w:rsidR="007947CF" w:rsidRDefault="007947CF" w:rsidP="007947CF">
      <w:pPr>
        <w:pStyle w:val="30"/>
        <w:keepNext/>
        <w:keepLines/>
        <w:shd w:val="clear" w:color="auto" w:fill="auto"/>
        <w:spacing w:before="0" w:after="297" w:line="260" w:lineRule="exact"/>
        <w:ind w:left="40"/>
      </w:pPr>
      <w:bookmarkStart w:id="2" w:name="bookmark2"/>
      <w:r>
        <w:t>(TAVANA Company)</w:t>
      </w:r>
      <w:bookmarkEnd w:id="2"/>
    </w:p>
    <w:p w:rsidR="007947CF" w:rsidRPr="00AA2D06" w:rsidRDefault="007947CF" w:rsidP="007947CF">
      <w:pPr>
        <w:pStyle w:val="50"/>
        <w:keepNext/>
        <w:keepLines/>
        <w:shd w:val="clear" w:color="auto" w:fill="auto"/>
        <w:spacing w:before="0" w:after="66" w:line="230" w:lineRule="exact"/>
        <w:ind w:left="640"/>
        <w:rPr>
          <w:sz w:val="24"/>
          <w:szCs w:val="24"/>
        </w:rPr>
      </w:pPr>
      <w:bookmarkStart w:id="3" w:name="bookmark3"/>
      <w:r w:rsidRPr="00AA2D06">
        <w:rPr>
          <w:sz w:val="24"/>
          <w:szCs w:val="24"/>
        </w:rPr>
        <w:t>To: Authorized Representative of the Contractor:</w:t>
      </w:r>
      <w:bookmarkEnd w:id="3"/>
    </w:p>
    <w:p w:rsidR="007947CF" w:rsidRPr="00AA2D06" w:rsidRDefault="007947CF" w:rsidP="007947CF">
      <w:pPr>
        <w:pStyle w:val="52"/>
        <w:shd w:val="clear" w:color="auto" w:fill="auto"/>
        <w:spacing w:before="0" w:after="298"/>
        <w:ind w:left="360" w:right="440"/>
        <w:rPr>
          <w:sz w:val="24"/>
          <w:szCs w:val="24"/>
        </w:rPr>
      </w:pPr>
      <w:r w:rsidRPr="00AA2D06">
        <w:rPr>
          <w:sz w:val="24"/>
          <w:szCs w:val="24"/>
        </w:rPr>
        <w:t xml:space="preserve">Please, be notified that the following specialists are required to be dispatched for performing Services on Technical and Engineering Support under the Contract No. </w:t>
      </w:r>
      <w:proofErr w:type="gramStart"/>
      <w:r w:rsidRPr="00AA2D06">
        <w:rPr>
          <w:sz w:val="24"/>
          <w:szCs w:val="24"/>
        </w:rPr>
        <w:t xml:space="preserve">CNT-ETS/4100-1 date 25.02.2015, </w:t>
      </w:r>
      <w:r w:rsidRPr="009A206D">
        <w:rPr>
          <w:sz w:val="24"/>
          <w:szCs w:val="24"/>
          <w:u w:val="single"/>
        </w:rPr>
        <w:t xml:space="preserve">at Tehran (TAVANA Company) </w:t>
      </w:r>
      <w:r w:rsidRPr="00AA2D06">
        <w:rPr>
          <w:sz w:val="24"/>
          <w:szCs w:val="24"/>
        </w:rPr>
        <w:t>as per the following table.</w:t>
      </w:r>
      <w:proofErr w:type="gramEnd"/>
      <w:r w:rsidRPr="00AA2D06">
        <w:rPr>
          <w:sz w:val="24"/>
          <w:szCs w:val="24"/>
        </w:rPr>
        <w:t xml:space="preserve"> You are kindly requested to issue due instruction as to assign qualified specialists and take necessary implementation according to the Appendix 4, item 4.1.1 of the Contract.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599"/>
        <w:gridCol w:w="1447"/>
        <w:gridCol w:w="2079"/>
        <w:gridCol w:w="1802"/>
        <w:gridCol w:w="1522"/>
        <w:gridCol w:w="1245"/>
        <w:gridCol w:w="1248"/>
        <w:gridCol w:w="4640"/>
      </w:tblGrid>
      <w:tr w:rsidR="00B049A7" w:rsidRPr="001E0842" w:rsidTr="00D06B06">
        <w:trPr>
          <w:tblHeader/>
        </w:trPr>
        <w:tc>
          <w:tcPr>
            <w:tcW w:w="205" w:type="pct"/>
            <w:vAlign w:val="center"/>
          </w:tcPr>
          <w:p w:rsidR="00827F47" w:rsidRPr="001E0842" w:rsidRDefault="00827F47" w:rsidP="007A58CD">
            <w:pPr>
              <w:pStyle w:val="3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1E0842">
              <w:rPr>
                <w:rStyle w:val="a6"/>
                <w:sz w:val="24"/>
                <w:szCs w:val="24"/>
              </w:rPr>
              <w:t>No.</w:t>
            </w:r>
          </w:p>
        </w:tc>
        <w:tc>
          <w:tcPr>
            <w:tcW w:w="496" w:type="pct"/>
            <w:vAlign w:val="center"/>
          </w:tcPr>
          <w:p w:rsidR="00827F47" w:rsidRPr="001E0842" w:rsidRDefault="00827F47" w:rsidP="007A58CD">
            <w:pPr>
              <w:pStyle w:val="3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1E0842">
              <w:rPr>
                <w:rStyle w:val="a6"/>
                <w:sz w:val="24"/>
                <w:szCs w:val="24"/>
              </w:rPr>
              <w:t>Position</w:t>
            </w:r>
          </w:p>
        </w:tc>
        <w:tc>
          <w:tcPr>
            <w:tcW w:w="713" w:type="pct"/>
            <w:vAlign w:val="center"/>
          </w:tcPr>
          <w:p w:rsidR="00827F47" w:rsidRPr="001E0842" w:rsidRDefault="00827F47" w:rsidP="007A58CD">
            <w:pPr>
              <w:pStyle w:val="3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1E0842">
              <w:rPr>
                <w:rStyle w:val="a6"/>
                <w:sz w:val="24"/>
                <w:szCs w:val="24"/>
              </w:rPr>
              <w:t>Grade</w:t>
            </w:r>
          </w:p>
        </w:tc>
        <w:tc>
          <w:tcPr>
            <w:tcW w:w="618" w:type="pct"/>
            <w:vAlign w:val="center"/>
          </w:tcPr>
          <w:p w:rsidR="00827F47" w:rsidRPr="001E0842" w:rsidRDefault="00827F47" w:rsidP="007A58CD">
            <w:pPr>
              <w:pStyle w:val="3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1E0842">
              <w:rPr>
                <w:rStyle w:val="a6"/>
                <w:sz w:val="24"/>
                <w:szCs w:val="24"/>
              </w:rPr>
              <w:t>Organization</w:t>
            </w:r>
          </w:p>
        </w:tc>
        <w:tc>
          <w:tcPr>
            <w:tcW w:w="522" w:type="pct"/>
            <w:vAlign w:val="center"/>
          </w:tcPr>
          <w:p w:rsidR="00827F47" w:rsidRPr="001E0842" w:rsidRDefault="00827F47" w:rsidP="007A58CD">
            <w:pPr>
              <w:pStyle w:val="31"/>
              <w:shd w:val="clear" w:color="auto" w:fill="auto"/>
              <w:spacing w:line="240" w:lineRule="auto"/>
              <w:jc w:val="center"/>
              <w:rPr>
                <w:rStyle w:val="a6"/>
                <w:sz w:val="24"/>
                <w:szCs w:val="24"/>
              </w:rPr>
            </w:pPr>
            <w:r w:rsidRPr="001E0842">
              <w:rPr>
                <w:rStyle w:val="a6"/>
                <w:sz w:val="24"/>
                <w:szCs w:val="24"/>
              </w:rPr>
              <w:t>Name</w:t>
            </w:r>
          </w:p>
        </w:tc>
        <w:tc>
          <w:tcPr>
            <w:tcW w:w="427" w:type="pct"/>
            <w:vAlign w:val="center"/>
          </w:tcPr>
          <w:p w:rsidR="00827F47" w:rsidRPr="001E0842" w:rsidRDefault="00827F47" w:rsidP="007A58CD">
            <w:pPr>
              <w:pStyle w:val="3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1E0842">
              <w:rPr>
                <w:rStyle w:val="a6"/>
                <w:sz w:val="24"/>
                <w:szCs w:val="24"/>
              </w:rPr>
              <w:t>Starting date</w:t>
            </w:r>
          </w:p>
        </w:tc>
        <w:tc>
          <w:tcPr>
            <w:tcW w:w="428" w:type="pct"/>
            <w:vAlign w:val="center"/>
          </w:tcPr>
          <w:p w:rsidR="00827F47" w:rsidRPr="001E0842" w:rsidRDefault="00827F47" w:rsidP="007A58CD">
            <w:pPr>
              <w:pStyle w:val="3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1E0842">
              <w:rPr>
                <w:rStyle w:val="a6"/>
                <w:sz w:val="24"/>
                <w:szCs w:val="24"/>
              </w:rPr>
              <w:t>Ending date</w:t>
            </w:r>
          </w:p>
        </w:tc>
        <w:tc>
          <w:tcPr>
            <w:tcW w:w="1591" w:type="pct"/>
            <w:vAlign w:val="center"/>
          </w:tcPr>
          <w:p w:rsidR="00827F47" w:rsidRPr="001E0842" w:rsidRDefault="00827F47" w:rsidP="007A58CD">
            <w:pPr>
              <w:pStyle w:val="3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1E0842">
              <w:rPr>
                <w:rStyle w:val="a6"/>
                <w:sz w:val="24"/>
                <w:szCs w:val="24"/>
              </w:rPr>
              <w:t>Duties</w:t>
            </w:r>
          </w:p>
        </w:tc>
      </w:tr>
      <w:tr w:rsidR="001E0842" w:rsidRPr="001E0842" w:rsidTr="00D06B06">
        <w:tc>
          <w:tcPr>
            <w:tcW w:w="205" w:type="pct"/>
          </w:tcPr>
          <w:p w:rsidR="007947CF" w:rsidRPr="001E0842" w:rsidRDefault="007947CF" w:rsidP="007A5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1E084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96" w:type="pct"/>
            <w:vAlign w:val="center"/>
          </w:tcPr>
          <w:p w:rsidR="007947CF" w:rsidRPr="001E0842" w:rsidRDefault="007947CF" w:rsidP="00B049A7">
            <w:pPr>
              <w:pStyle w:val="31"/>
              <w:shd w:val="clear" w:color="auto" w:fill="auto"/>
              <w:spacing w:after="60" w:line="240" w:lineRule="auto"/>
              <w:ind w:left="-111" w:right="-105"/>
              <w:jc w:val="center"/>
              <w:rPr>
                <w:sz w:val="24"/>
                <w:szCs w:val="24"/>
              </w:rPr>
            </w:pPr>
            <w:r w:rsidRPr="001E0842">
              <w:rPr>
                <w:sz w:val="24"/>
                <w:szCs w:val="24"/>
              </w:rPr>
              <w:t>Head of Technological filiation department</w:t>
            </w:r>
          </w:p>
        </w:tc>
        <w:tc>
          <w:tcPr>
            <w:tcW w:w="713" w:type="pct"/>
            <w:vAlign w:val="center"/>
          </w:tcPr>
          <w:p w:rsidR="007947CF" w:rsidRPr="00D06B06" w:rsidRDefault="007947CF" w:rsidP="00D06B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06B0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6В (€20 784,00) –  short-term specialists, Tehran   (according to Appendix 17 to the Contract)</w:t>
            </w:r>
          </w:p>
        </w:tc>
        <w:tc>
          <w:tcPr>
            <w:tcW w:w="618" w:type="pct"/>
            <w:vAlign w:val="center"/>
          </w:tcPr>
          <w:p w:rsidR="007947CF" w:rsidRPr="001E0842" w:rsidRDefault="007947CF" w:rsidP="00B049A7">
            <w:pPr>
              <w:pStyle w:val="31"/>
              <w:shd w:val="clear" w:color="auto" w:fill="auto"/>
              <w:spacing w:after="60" w:line="240" w:lineRule="auto"/>
              <w:ind w:left="-111" w:right="-105"/>
              <w:jc w:val="center"/>
              <w:rPr>
                <w:sz w:val="24"/>
                <w:szCs w:val="24"/>
              </w:rPr>
            </w:pPr>
            <w:r w:rsidRPr="001E0842">
              <w:rPr>
                <w:sz w:val="24"/>
                <w:szCs w:val="24"/>
              </w:rPr>
              <w:t xml:space="preserve">JSC «Concern </w:t>
            </w:r>
            <w:proofErr w:type="spellStart"/>
            <w:r w:rsidRPr="001E0842">
              <w:rPr>
                <w:sz w:val="24"/>
                <w:szCs w:val="24"/>
              </w:rPr>
              <w:t>Rosenergoatom</w:t>
            </w:r>
            <w:proofErr w:type="spellEnd"/>
            <w:r w:rsidRPr="001E0842">
              <w:rPr>
                <w:sz w:val="24"/>
                <w:szCs w:val="24"/>
              </w:rPr>
              <w:t>»</w:t>
            </w:r>
          </w:p>
        </w:tc>
        <w:tc>
          <w:tcPr>
            <w:tcW w:w="522" w:type="pct"/>
            <w:vAlign w:val="center"/>
          </w:tcPr>
          <w:p w:rsidR="007947CF" w:rsidRPr="001E0842" w:rsidRDefault="007947CF" w:rsidP="00B049A7">
            <w:pPr>
              <w:pStyle w:val="31"/>
              <w:shd w:val="clear" w:color="auto" w:fill="auto"/>
              <w:spacing w:after="60" w:line="240" w:lineRule="auto"/>
              <w:ind w:left="-111" w:right="-105"/>
              <w:jc w:val="center"/>
              <w:rPr>
                <w:sz w:val="24"/>
                <w:szCs w:val="24"/>
              </w:rPr>
            </w:pPr>
            <w:r w:rsidRPr="001E0842">
              <w:rPr>
                <w:sz w:val="24"/>
                <w:szCs w:val="24"/>
              </w:rPr>
              <w:t>Nikolai</w:t>
            </w:r>
            <w:r w:rsidRPr="00B049A7">
              <w:rPr>
                <w:sz w:val="24"/>
                <w:szCs w:val="24"/>
              </w:rPr>
              <w:t xml:space="preserve"> </w:t>
            </w:r>
            <w:proofErr w:type="spellStart"/>
            <w:r w:rsidRPr="001E0842">
              <w:rPr>
                <w:sz w:val="24"/>
                <w:szCs w:val="24"/>
              </w:rPr>
              <w:t>Arkadiyevich</w:t>
            </w:r>
            <w:proofErr w:type="spellEnd"/>
            <w:r w:rsidRPr="00B049A7">
              <w:rPr>
                <w:sz w:val="24"/>
                <w:szCs w:val="24"/>
              </w:rPr>
              <w:t xml:space="preserve"> </w:t>
            </w:r>
            <w:proofErr w:type="spellStart"/>
            <w:r w:rsidRPr="001E0842">
              <w:rPr>
                <w:sz w:val="24"/>
                <w:szCs w:val="24"/>
              </w:rPr>
              <w:t>Vinogradov</w:t>
            </w:r>
            <w:proofErr w:type="spellEnd"/>
          </w:p>
        </w:tc>
        <w:tc>
          <w:tcPr>
            <w:tcW w:w="427" w:type="pct"/>
            <w:vAlign w:val="center"/>
          </w:tcPr>
          <w:p w:rsidR="007947CF" w:rsidRPr="00B049A7" w:rsidRDefault="007947CF" w:rsidP="00B049A7">
            <w:pPr>
              <w:pStyle w:val="31"/>
              <w:shd w:val="clear" w:color="auto" w:fill="auto"/>
              <w:spacing w:after="60" w:line="240" w:lineRule="auto"/>
              <w:ind w:left="-111" w:right="-105"/>
              <w:jc w:val="center"/>
              <w:rPr>
                <w:sz w:val="24"/>
                <w:szCs w:val="24"/>
              </w:rPr>
            </w:pPr>
            <w:r w:rsidRPr="001E0842">
              <w:rPr>
                <w:sz w:val="24"/>
                <w:szCs w:val="24"/>
              </w:rPr>
              <w:t>2017.0</w:t>
            </w:r>
            <w:r w:rsidRPr="00B049A7">
              <w:rPr>
                <w:sz w:val="24"/>
                <w:szCs w:val="24"/>
              </w:rPr>
              <w:t>4</w:t>
            </w:r>
            <w:r w:rsidRPr="001E0842">
              <w:rPr>
                <w:sz w:val="24"/>
                <w:szCs w:val="24"/>
              </w:rPr>
              <w:t>.1</w:t>
            </w:r>
            <w:r w:rsidRPr="00B049A7">
              <w:rPr>
                <w:sz w:val="24"/>
                <w:szCs w:val="24"/>
              </w:rPr>
              <w:t>5</w:t>
            </w:r>
          </w:p>
        </w:tc>
        <w:tc>
          <w:tcPr>
            <w:tcW w:w="428" w:type="pct"/>
            <w:vAlign w:val="center"/>
          </w:tcPr>
          <w:p w:rsidR="007947CF" w:rsidRPr="00B049A7" w:rsidRDefault="007947CF" w:rsidP="00B049A7">
            <w:pPr>
              <w:pStyle w:val="31"/>
              <w:shd w:val="clear" w:color="auto" w:fill="auto"/>
              <w:spacing w:after="60" w:line="240" w:lineRule="auto"/>
              <w:ind w:left="-111" w:right="-105"/>
              <w:jc w:val="center"/>
              <w:rPr>
                <w:sz w:val="24"/>
                <w:szCs w:val="24"/>
              </w:rPr>
            </w:pPr>
            <w:r w:rsidRPr="001E0842">
              <w:rPr>
                <w:sz w:val="24"/>
                <w:szCs w:val="24"/>
              </w:rPr>
              <w:t>2017.0</w:t>
            </w:r>
            <w:r w:rsidRPr="00B049A7">
              <w:rPr>
                <w:sz w:val="24"/>
                <w:szCs w:val="24"/>
              </w:rPr>
              <w:t>4</w:t>
            </w:r>
            <w:r w:rsidRPr="001E0842">
              <w:rPr>
                <w:sz w:val="24"/>
                <w:szCs w:val="24"/>
              </w:rPr>
              <w:t>.</w:t>
            </w:r>
            <w:r w:rsidRPr="00B049A7">
              <w:rPr>
                <w:sz w:val="24"/>
                <w:szCs w:val="24"/>
              </w:rPr>
              <w:t>26</w:t>
            </w:r>
          </w:p>
        </w:tc>
        <w:tc>
          <w:tcPr>
            <w:tcW w:w="1591" w:type="pct"/>
          </w:tcPr>
          <w:p w:rsidR="007947CF" w:rsidRPr="001E0842" w:rsidRDefault="007947CF" w:rsidP="007A58CD">
            <w:pPr>
              <w:widowControl w:val="0"/>
              <w:autoSpaceDE w:val="0"/>
              <w:autoSpaceDN w:val="0"/>
              <w:adjustRightInd w:val="0"/>
              <w:jc w:val="lowKashida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E08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Implementation of mobile Diesel Generator envisaged in BNPP-1 stress test </w:t>
            </w:r>
            <w:proofErr w:type="spellStart"/>
            <w:r w:rsidRPr="001E08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programme</w:t>
            </w:r>
            <w:proofErr w:type="spellEnd"/>
            <w:r w:rsidRPr="001E08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:</w:t>
            </w:r>
          </w:p>
          <w:p w:rsidR="007947CF" w:rsidRPr="001E0842" w:rsidRDefault="007947CF" w:rsidP="00B049A7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76"/>
              </w:tabs>
              <w:autoSpaceDE w:val="0"/>
              <w:autoSpaceDN w:val="0"/>
              <w:adjustRightInd w:val="0"/>
              <w:ind w:left="0" w:firstLine="0"/>
              <w:contextualSpacing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E084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To review of conceptual design for implementation of mobile Diesel Generator as well as approve of conceptual design</w:t>
            </w:r>
          </w:p>
          <w:p w:rsidR="007947CF" w:rsidRPr="001E0842" w:rsidRDefault="007947CF" w:rsidP="00B049A7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76"/>
              </w:tabs>
              <w:autoSpaceDE w:val="0"/>
              <w:autoSpaceDN w:val="0"/>
              <w:adjustRightInd w:val="0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084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To assist verification of basic/detailed design for implementation of mobile Diesel Generator and obtain INRA’s permission to implement any modernization envisaged after completion of detailed design stage.</w:t>
            </w:r>
          </w:p>
        </w:tc>
      </w:tr>
      <w:tr w:rsidR="001E0842" w:rsidRPr="001E0842" w:rsidTr="00D06B06">
        <w:tc>
          <w:tcPr>
            <w:tcW w:w="205" w:type="pct"/>
          </w:tcPr>
          <w:p w:rsidR="007947CF" w:rsidRPr="001E0842" w:rsidRDefault="007947CF" w:rsidP="007A5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1E084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96" w:type="pct"/>
            <w:vAlign w:val="center"/>
          </w:tcPr>
          <w:p w:rsidR="007947CF" w:rsidRPr="001E0842" w:rsidRDefault="007947CF" w:rsidP="00D06B06">
            <w:pPr>
              <w:pStyle w:val="31"/>
              <w:shd w:val="clear" w:color="auto" w:fill="auto"/>
              <w:spacing w:after="60" w:line="240" w:lineRule="auto"/>
              <w:ind w:left="-111" w:right="-105"/>
              <w:jc w:val="center"/>
              <w:rPr>
                <w:sz w:val="24"/>
                <w:szCs w:val="24"/>
              </w:rPr>
            </w:pPr>
            <w:r w:rsidRPr="001E0842">
              <w:rPr>
                <w:sz w:val="24"/>
                <w:szCs w:val="24"/>
              </w:rPr>
              <w:t>Head of department on NPP reliability</w:t>
            </w:r>
          </w:p>
        </w:tc>
        <w:tc>
          <w:tcPr>
            <w:tcW w:w="713" w:type="pct"/>
            <w:vAlign w:val="center"/>
          </w:tcPr>
          <w:p w:rsidR="007947CF" w:rsidRPr="00D06B06" w:rsidRDefault="007947CF" w:rsidP="00D06B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06B0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6В (€20 784,00) –  short-term specialists, Tehran   (according to Appendix 17 to the Contract)</w:t>
            </w:r>
          </w:p>
        </w:tc>
        <w:tc>
          <w:tcPr>
            <w:tcW w:w="618" w:type="pct"/>
            <w:vAlign w:val="center"/>
          </w:tcPr>
          <w:p w:rsidR="007947CF" w:rsidRPr="001E0842" w:rsidRDefault="007947CF" w:rsidP="007A58CD">
            <w:pPr>
              <w:pStyle w:val="31"/>
              <w:shd w:val="clear" w:color="auto" w:fill="auto"/>
              <w:spacing w:after="6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E0842">
              <w:rPr>
                <w:sz w:val="24"/>
                <w:szCs w:val="24"/>
              </w:rPr>
              <w:t xml:space="preserve">JSC </w:t>
            </w:r>
            <w:r w:rsidR="009003D1" w:rsidRPr="001E0842">
              <w:rPr>
                <w:sz w:val="24"/>
                <w:szCs w:val="24"/>
                <w:lang w:val="ru-RU"/>
              </w:rPr>
              <w:t>«</w:t>
            </w:r>
            <w:r w:rsidRPr="001E0842">
              <w:rPr>
                <w:sz w:val="24"/>
                <w:szCs w:val="24"/>
              </w:rPr>
              <w:t>VNIIAES</w:t>
            </w:r>
            <w:r w:rsidR="009003D1" w:rsidRPr="001E0842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522" w:type="pct"/>
            <w:vAlign w:val="center"/>
          </w:tcPr>
          <w:p w:rsidR="007947CF" w:rsidRPr="001E0842" w:rsidRDefault="007947CF" w:rsidP="007A58CD">
            <w:pPr>
              <w:pStyle w:val="31"/>
              <w:shd w:val="clear" w:color="auto" w:fill="auto"/>
              <w:spacing w:after="6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1E0842">
              <w:rPr>
                <w:sz w:val="24"/>
                <w:szCs w:val="24"/>
              </w:rPr>
              <w:t>Aleksandr</w:t>
            </w:r>
            <w:proofErr w:type="spellEnd"/>
            <w:r w:rsidRPr="001E084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0842">
              <w:rPr>
                <w:sz w:val="24"/>
                <w:szCs w:val="24"/>
              </w:rPr>
              <w:t>Fyodorovich</w:t>
            </w:r>
            <w:proofErr w:type="spellEnd"/>
            <w:r w:rsidRPr="001E084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0842">
              <w:rPr>
                <w:sz w:val="24"/>
                <w:szCs w:val="24"/>
              </w:rPr>
              <w:t>Getman</w:t>
            </w:r>
            <w:proofErr w:type="spellEnd"/>
          </w:p>
        </w:tc>
        <w:tc>
          <w:tcPr>
            <w:tcW w:w="427" w:type="pct"/>
            <w:vAlign w:val="center"/>
          </w:tcPr>
          <w:p w:rsidR="007947CF" w:rsidRPr="00B049A7" w:rsidRDefault="007947CF" w:rsidP="00B049A7">
            <w:pPr>
              <w:pStyle w:val="31"/>
              <w:shd w:val="clear" w:color="auto" w:fill="auto"/>
              <w:spacing w:after="60" w:line="240" w:lineRule="auto"/>
              <w:ind w:left="-111" w:right="-105"/>
              <w:jc w:val="center"/>
              <w:rPr>
                <w:sz w:val="24"/>
                <w:szCs w:val="24"/>
              </w:rPr>
            </w:pPr>
            <w:r w:rsidRPr="001E0842">
              <w:rPr>
                <w:sz w:val="24"/>
                <w:szCs w:val="24"/>
              </w:rPr>
              <w:t>2017.0</w:t>
            </w:r>
            <w:r w:rsidRPr="00B049A7">
              <w:rPr>
                <w:sz w:val="24"/>
                <w:szCs w:val="24"/>
              </w:rPr>
              <w:t>4</w:t>
            </w:r>
            <w:r w:rsidRPr="001E0842">
              <w:rPr>
                <w:sz w:val="24"/>
                <w:szCs w:val="24"/>
              </w:rPr>
              <w:t>.</w:t>
            </w:r>
            <w:r w:rsidRPr="00B049A7">
              <w:rPr>
                <w:sz w:val="24"/>
                <w:szCs w:val="24"/>
              </w:rPr>
              <w:t>15</w:t>
            </w:r>
          </w:p>
        </w:tc>
        <w:tc>
          <w:tcPr>
            <w:tcW w:w="428" w:type="pct"/>
            <w:vAlign w:val="center"/>
          </w:tcPr>
          <w:p w:rsidR="007947CF" w:rsidRPr="00DA7332" w:rsidRDefault="007947CF" w:rsidP="00DA7332">
            <w:pPr>
              <w:pStyle w:val="31"/>
              <w:shd w:val="clear" w:color="auto" w:fill="auto"/>
              <w:spacing w:after="60" w:line="240" w:lineRule="auto"/>
              <w:ind w:left="-111" w:right="-105"/>
              <w:jc w:val="center"/>
              <w:rPr>
                <w:sz w:val="24"/>
                <w:szCs w:val="24"/>
                <w:lang w:val="ru-RU"/>
              </w:rPr>
            </w:pPr>
            <w:r w:rsidRPr="001E0842">
              <w:rPr>
                <w:sz w:val="24"/>
                <w:szCs w:val="24"/>
              </w:rPr>
              <w:t>2017.0</w:t>
            </w:r>
            <w:r w:rsidRPr="00B049A7">
              <w:rPr>
                <w:sz w:val="24"/>
                <w:szCs w:val="24"/>
              </w:rPr>
              <w:t>5</w:t>
            </w:r>
            <w:r w:rsidRPr="001E0842">
              <w:rPr>
                <w:sz w:val="24"/>
                <w:szCs w:val="24"/>
              </w:rPr>
              <w:t>.</w:t>
            </w:r>
            <w:r w:rsidRPr="00B049A7">
              <w:rPr>
                <w:sz w:val="24"/>
                <w:szCs w:val="24"/>
              </w:rPr>
              <w:t>1</w:t>
            </w:r>
            <w:r w:rsidR="00DA7332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591" w:type="pct"/>
          </w:tcPr>
          <w:p w:rsidR="007947CF" w:rsidRPr="001E0842" w:rsidRDefault="007947CF" w:rsidP="007947CF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76"/>
              </w:tabs>
              <w:autoSpaceDE w:val="0"/>
              <w:autoSpaceDN w:val="0"/>
              <w:adjustRightInd w:val="0"/>
              <w:ind w:left="0" w:firstLine="0"/>
              <w:contextualSpacing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E084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Technical assistance/consultation for development of a data bank based on ageing management program requirements.</w:t>
            </w:r>
          </w:p>
          <w:p w:rsidR="007947CF" w:rsidRPr="001E0842" w:rsidRDefault="007947CF" w:rsidP="007947CF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76"/>
              </w:tabs>
              <w:autoSpaceDE w:val="0"/>
              <w:autoSpaceDN w:val="0"/>
              <w:adjustRightInd w:val="0"/>
              <w:ind w:left="0" w:firstLine="0"/>
              <w:contextualSpacing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E084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Technical assistance/consultation for codification of systems and components selection procedure by consideration of safety requirement in ageing management program.</w:t>
            </w:r>
          </w:p>
          <w:p w:rsidR="007947CF" w:rsidRPr="001E0842" w:rsidRDefault="007947CF" w:rsidP="007947CF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76"/>
              </w:tabs>
              <w:autoSpaceDE w:val="0"/>
              <w:autoSpaceDN w:val="0"/>
              <w:adjustRightInd w:val="0"/>
              <w:ind w:left="0" w:firstLine="0"/>
              <w:contextualSpacing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E084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Technical assistance/consultation for selection and verification of engineering software to simulate and analysis of issues related to ageing mechanism, and classification of them based on ageing management program requirements.</w:t>
            </w:r>
          </w:p>
          <w:p w:rsidR="007947CF" w:rsidRPr="001E0842" w:rsidRDefault="007947CF" w:rsidP="007947CF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76"/>
              </w:tabs>
              <w:autoSpaceDE w:val="0"/>
              <w:autoSpaceDN w:val="0"/>
              <w:adjustRightInd w:val="0"/>
              <w:ind w:left="0" w:firstLine="0"/>
              <w:contextualSpacing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E084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Technical assistance/consultation for </w:t>
            </w:r>
            <w:r w:rsidRPr="001E084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selection and verification of standard methods to estimate time limited ageing effect for selected systems and components in ageing management program (TLAA).</w:t>
            </w:r>
          </w:p>
          <w:p w:rsidR="007947CF" w:rsidRPr="001E0842" w:rsidRDefault="007947CF" w:rsidP="007947CF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76"/>
              </w:tabs>
              <w:autoSpaceDE w:val="0"/>
              <w:autoSpaceDN w:val="0"/>
              <w:adjustRightInd w:val="0"/>
              <w:ind w:left="0" w:firstLine="0"/>
              <w:contextualSpacing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E084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Technical assistance/consultation for establishing an effective ageing management program of selected systems and components.</w:t>
            </w:r>
          </w:p>
          <w:p w:rsidR="007947CF" w:rsidRPr="001E0842" w:rsidRDefault="007947CF" w:rsidP="007947CF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76"/>
              </w:tabs>
              <w:autoSpaceDE w:val="0"/>
              <w:autoSpaceDN w:val="0"/>
              <w:adjustRightInd w:val="0"/>
              <w:ind w:left="0" w:firstLine="0"/>
              <w:contextualSpacing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E084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Technical assistance/consultation to establish guidelines for periodic review and assessment of ageing management program during BNPP lifetime.</w:t>
            </w:r>
          </w:p>
          <w:p w:rsidR="007947CF" w:rsidRPr="001E0842" w:rsidRDefault="007947CF" w:rsidP="007A58CD">
            <w:pPr>
              <w:pStyle w:val="31"/>
              <w:shd w:val="clear" w:color="auto" w:fill="auto"/>
              <w:spacing w:line="240" w:lineRule="auto"/>
              <w:jc w:val="left"/>
              <w:rPr>
                <w:rStyle w:val="a6"/>
                <w:sz w:val="24"/>
                <w:szCs w:val="24"/>
              </w:rPr>
            </w:pPr>
            <w:r w:rsidRPr="001E0842">
              <w:rPr>
                <w:iCs/>
                <w:color w:val="000000"/>
                <w:sz w:val="24"/>
                <w:szCs w:val="24"/>
              </w:rPr>
              <w:t>Verification and benchmarking of activities and guidelines developed for BNPP ageing management program.</w:t>
            </w:r>
          </w:p>
        </w:tc>
      </w:tr>
    </w:tbl>
    <w:p w:rsidR="007947CF" w:rsidRPr="0093604A" w:rsidRDefault="007947CF" w:rsidP="00CB62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7947CF" w:rsidRPr="0068578F" w:rsidRDefault="007947CF" w:rsidP="007947CF">
      <w:pPr>
        <w:pStyle w:val="60"/>
        <w:shd w:val="clear" w:color="auto" w:fill="auto"/>
        <w:spacing w:line="360" w:lineRule="auto"/>
        <w:ind w:left="23"/>
        <w:rPr>
          <w:sz w:val="24"/>
          <w:szCs w:val="24"/>
        </w:rPr>
      </w:pPr>
      <w:r w:rsidRPr="0068578F">
        <w:rPr>
          <w:sz w:val="24"/>
          <w:szCs w:val="24"/>
        </w:rPr>
        <w:t>Approved by Authorized Representative of the Principal (Name and Position)</w:t>
      </w:r>
    </w:p>
    <w:p w:rsidR="007947CF" w:rsidRPr="0068578F" w:rsidRDefault="007947CF" w:rsidP="007947CF">
      <w:pPr>
        <w:pStyle w:val="40"/>
        <w:keepNext/>
        <w:keepLines/>
        <w:shd w:val="clear" w:color="auto" w:fill="auto"/>
        <w:spacing w:line="360" w:lineRule="auto"/>
        <w:ind w:left="23"/>
        <w:rPr>
          <w:rFonts w:ascii="Times New Roman" w:hAnsi="Times New Roman" w:cs="Times New Roman"/>
          <w:sz w:val="24"/>
          <w:szCs w:val="24"/>
        </w:rPr>
      </w:pPr>
      <w:bookmarkStart w:id="4" w:name="bookmark4"/>
      <w:r w:rsidRPr="0068578F">
        <w:rPr>
          <w:rFonts w:ascii="Times New Roman" w:hAnsi="Times New Roman" w:cs="Times New Roman"/>
          <w:sz w:val="24"/>
          <w:szCs w:val="24"/>
        </w:rPr>
        <w:t xml:space="preserve">E. </w:t>
      </w:r>
      <w:proofErr w:type="spellStart"/>
      <w:r w:rsidRPr="0068578F">
        <w:rPr>
          <w:rFonts w:ascii="Times New Roman" w:hAnsi="Times New Roman" w:cs="Times New Roman"/>
          <w:sz w:val="24"/>
          <w:szCs w:val="24"/>
        </w:rPr>
        <w:t>Deylami</w:t>
      </w:r>
      <w:proofErr w:type="spellEnd"/>
      <w:r w:rsidRPr="0068578F">
        <w:rPr>
          <w:rFonts w:ascii="Times New Roman" w:hAnsi="Times New Roman" w:cs="Times New Roman"/>
          <w:sz w:val="24"/>
          <w:szCs w:val="24"/>
        </w:rPr>
        <w:t xml:space="preserve"> - BNPP-1 Deputy Chief Engineer for Technical and Engineering</w:t>
      </w:r>
      <w:bookmarkEnd w:id="4"/>
    </w:p>
    <w:p w:rsidR="007947CF" w:rsidRPr="007947CF" w:rsidRDefault="007947CF" w:rsidP="00CB62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sectPr w:rsidR="007947CF" w:rsidRPr="007947CF" w:rsidSect="003B6200">
      <w:pgSz w:w="15840" w:h="12240" w:orient="landscape"/>
      <w:pgMar w:top="1588" w:right="737" w:bottom="56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35AEA"/>
    <w:multiLevelType w:val="hybridMultilevel"/>
    <w:tmpl w:val="3CA00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AC0B6D"/>
    <w:multiLevelType w:val="hybridMultilevel"/>
    <w:tmpl w:val="15A24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DA0F39"/>
    <w:multiLevelType w:val="hybridMultilevel"/>
    <w:tmpl w:val="77B49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8830EF"/>
    <w:multiLevelType w:val="hybridMultilevel"/>
    <w:tmpl w:val="05144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1120F2"/>
    <w:multiLevelType w:val="multilevel"/>
    <w:tmpl w:val="12FCAF1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DDD"/>
    <w:rsid w:val="00027227"/>
    <w:rsid w:val="00034278"/>
    <w:rsid w:val="000906A9"/>
    <w:rsid w:val="000A1BB3"/>
    <w:rsid w:val="000A32A0"/>
    <w:rsid w:val="000D644A"/>
    <w:rsid w:val="00101054"/>
    <w:rsid w:val="00123D65"/>
    <w:rsid w:val="00140490"/>
    <w:rsid w:val="00165207"/>
    <w:rsid w:val="00175C2D"/>
    <w:rsid w:val="001819E8"/>
    <w:rsid w:val="001A08CC"/>
    <w:rsid w:val="001D0C5D"/>
    <w:rsid w:val="001E0842"/>
    <w:rsid w:val="00231326"/>
    <w:rsid w:val="00252E4A"/>
    <w:rsid w:val="0026121A"/>
    <w:rsid w:val="0028290A"/>
    <w:rsid w:val="0028567C"/>
    <w:rsid w:val="00292DF6"/>
    <w:rsid w:val="002B3BB9"/>
    <w:rsid w:val="002C77EF"/>
    <w:rsid w:val="002D7844"/>
    <w:rsid w:val="002D785A"/>
    <w:rsid w:val="003027E6"/>
    <w:rsid w:val="003157AE"/>
    <w:rsid w:val="00321CB2"/>
    <w:rsid w:val="00354FAD"/>
    <w:rsid w:val="0037619D"/>
    <w:rsid w:val="003B55D5"/>
    <w:rsid w:val="003B6200"/>
    <w:rsid w:val="00432F37"/>
    <w:rsid w:val="00437B89"/>
    <w:rsid w:val="004A2425"/>
    <w:rsid w:val="004A52E7"/>
    <w:rsid w:val="004D55F0"/>
    <w:rsid w:val="004F13E5"/>
    <w:rsid w:val="004F5144"/>
    <w:rsid w:val="00510FA3"/>
    <w:rsid w:val="00525A3A"/>
    <w:rsid w:val="00544364"/>
    <w:rsid w:val="00585B79"/>
    <w:rsid w:val="0059289E"/>
    <w:rsid w:val="005A1E97"/>
    <w:rsid w:val="005B50C7"/>
    <w:rsid w:val="005D1A3A"/>
    <w:rsid w:val="005F2DDD"/>
    <w:rsid w:val="00625382"/>
    <w:rsid w:val="00643F7F"/>
    <w:rsid w:val="006825BF"/>
    <w:rsid w:val="006C4CE1"/>
    <w:rsid w:val="006D0536"/>
    <w:rsid w:val="006E3D92"/>
    <w:rsid w:val="006E7B5F"/>
    <w:rsid w:val="006F0B82"/>
    <w:rsid w:val="00711A77"/>
    <w:rsid w:val="00722C71"/>
    <w:rsid w:val="00762C4C"/>
    <w:rsid w:val="007878EA"/>
    <w:rsid w:val="007947CF"/>
    <w:rsid w:val="007C4E8F"/>
    <w:rsid w:val="007E34CF"/>
    <w:rsid w:val="007E524F"/>
    <w:rsid w:val="00827F47"/>
    <w:rsid w:val="00832642"/>
    <w:rsid w:val="008709FA"/>
    <w:rsid w:val="0087196B"/>
    <w:rsid w:val="008F3EA9"/>
    <w:rsid w:val="008F5D85"/>
    <w:rsid w:val="009003D1"/>
    <w:rsid w:val="0093604A"/>
    <w:rsid w:val="00945768"/>
    <w:rsid w:val="00952A71"/>
    <w:rsid w:val="00996A1B"/>
    <w:rsid w:val="009A54B1"/>
    <w:rsid w:val="009C5883"/>
    <w:rsid w:val="009E63B2"/>
    <w:rsid w:val="00A94C81"/>
    <w:rsid w:val="00AA6890"/>
    <w:rsid w:val="00AE01B7"/>
    <w:rsid w:val="00AE0629"/>
    <w:rsid w:val="00B049A7"/>
    <w:rsid w:val="00B06F4D"/>
    <w:rsid w:val="00B45924"/>
    <w:rsid w:val="00B6401B"/>
    <w:rsid w:val="00B848F5"/>
    <w:rsid w:val="00BB5C3A"/>
    <w:rsid w:val="00BE0184"/>
    <w:rsid w:val="00CA05E3"/>
    <w:rsid w:val="00CB4015"/>
    <w:rsid w:val="00CB62B1"/>
    <w:rsid w:val="00CC0A1D"/>
    <w:rsid w:val="00D01D49"/>
    <w:rsid w:val="00D06B06"/>
    <w:rsid w:val="00DA7332"/>
    <w:rsid w:val="00DC53B4"/>
    <w:rsid w:val="00E4158D"/>
    <w:rsid w:val="00E50C4B"/>
    <w:rsid w:val="00E5102D"/>
    <w:rsid w:val="00E64DA7"/>
    <w:rsid w:val="00E8066E"/>
    <w:rsid w:val="00E80868"/>
    <w:rsid w:val="00EC2B63"/>
    <w:rsid w:val="00EC5715"/>
    <w:rsid w:val="00F0057D"/>
    <w:rsid w:val="00F340B6"/>
    <w:rsid w:val="00F67901"/>
    <w:rsid w:val="00F7470E"/>
    <w:rsid w:val="00FA5B94"/>
    <w:rsid w:val="00FA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0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75C2D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7947C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">
    <w:name w:val="Заголовок №3_"/>
    <w:basedOn w:val="a0"/>
    <w:link w:val="30"/>
    <w:rsid w:val="007947C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rsid w:val="007947CF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7947C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Заголовок №2"/>
    <w:basedOn w:val="a"/>
    <w:link w:val="2"/>
    <w:rsid w:val="007947CF"/>
    <w:pPr>
      <w:widowControl w:val="0"/>
      <w:shd w:val="clear" w:color="auto" w:fill="FFFFFF"/>
      <w:spacing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Заголовок №3"/>
    <w:basedOn w:val="a"/>
    <w:link w:val="3"/>
    <w:rsid w:val="007947CF"/>
    <w:pPr>
      <w:widowControl w:val="0"/>
      <w:shd w:val="clear" w:color="auto" w:fill="FFFFFF"/>
      <w:spacing w:before="60" w:after="36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0">
    <w:name w:val="Заголовок №5"/>
    <w:basedOn w:val="a"/>
    <w:link w:val="5"/>
    <w:rsid w:val="007947CF"/>
    <w:pPr>
      <w:widowControl w:val="0"/>
      <w:shd w:val="clear" w:color="auto" w:fill="FFFFFF"/>
      <w:spacing w:before="360" w:after="180" w:line="0" w:lineRule="atLeast"/>
      <w:outlineLvl w:val="4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52">
    <w:name w:val="Основной текст (5)"/>
    <w:basedOn w:val="a"/>
    <w:link w:val="51"/>
    <w:rsid w:val="007947CF"/>
    <w:pPr>
      <w:widowControl w:val="0"/>
      <w:shd w:val="clear" w:color="auto" w:fill="FFFFFF"/>
      <w:spacing w:before="180" w:after="360" w:line="312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a5">
    <w:name w:val="Основной текст_"/>
    <w:basedOn w:val="a0"/>
    <w:link w:val="31"/>
    <w:rsid w:val="007947CF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31">
    <w:name w:val="Основной текст3"/>
    <w:basedOn w:val="a"/>
    <w:link w:val="a5"/>
    <w:rsid w:val="007947CF"/>
    <w:pPr>
      <w:widowControl w:val="0"/>
      <w:shd w:val="clear" w:color="auto" w:fill="FFFFFF"/>
      <w:spacing w:after="0" w:line="22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6">
    <w:name w:val="Основной текст + Полужирный"/>
    <w:basedOn w:val="a5"/>
    <w:rsid w:val="007947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en-US" w:eastAsia="en-US" w:bidi="en-US"/>
    </w:rPr>
  </w:style>
  <w:style w:type="character" w:customStyle="1" w:styleId="6">
    <w:name w:val="Основной текст (6)_"/>
    <w:basedOn w:val="a0"/>
    <w:link w:val="60"/>
    <w:rsid w:val="007947CF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4">
    <w:name w:val="Заголовок №4_"/>
    <w:basedOn w:val="a0"/>
    <w:link w:val="40"/>
    <w:rsid w:val="007947CF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947CF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40">
    <w:name w:val="Заголовок №4"/>
    <w:basedOn w:val="a"/>
    <w:link w:val="4"/>
    <w:rsid w:val="007947CF"/>
    <w:pPr>
      <w:widowControl w:val="0"/>
      <w:shd w:val="clear" w:color="auto" w:fill="FFFFFF"/>
      <w:spacing w:after="0" w:line="0" w:lineRule="atLeast"/>
      <w:jc w:val="both"/>
      <w:outlineLvl w:val="3"/>
    </w:pPr>
    <w:rPr>
      <w:rFonts w:ascii="Arial" w:eastAsia="Arial" w:hAnsi="Arial" w:cs="Arial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0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75C2D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7947C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">
    <w:name w:val="Заголовок №3_"/>
    <w:basedOn w:val="a0"/>
    <w:link w:val="30"/>
    <w:rsid w:val="007947C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rsid w:val="007947CF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7947C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Заголовок №2"/>
    <w:basedOn w:val="a"/>
    <w:link w:val="2"/>
    <w:rsid w:val="007947CF"/>
    <w:pPr>
      <w:widowControl w:val="0"/>
      <w:shd w:val="clear" w:color="auto" w:fill="FFFFFF"/>
      <w:spacing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Заголовок №3"/>
    <w:basedOn w:val="a"/>
    <w:link w:val="3"/>
    <w:rsid w:val="007947CF"/>
    <w:pPr>
      <w:widowControl w:val="0"/>
      <w:shd w:val="clear" w:color="auto" w:fill="FFFFFF"/>
      <w:spacing w:before="60" w:after="36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0">
    <w:name w:val="Заголовок №5"/>
    <w:basedOn w:val="a"/>
    <w:link w:val="5"/>
    <w:rsid w:val="007947CF"/>
    <w:pPr>
      <w:widowControl w:val="0"/>
      <w:shd w:val="clear" w:color="auto" w:fill="FFFFFF"/>
      <w:spacing w:before="360" w:after="180" w:line="0" w:lineRule="atLeast"/>
      <w:outlineLvl w:val="4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52">
    <w:name w:val="Основной текст (5)"/>
    <w:basedOn w:val="a"/>
    <w:link w:val="51"/>
    <w:rsid w:val="007947CF"/>
    <w:pPr>
      <w:widowControl w:val="0"/>
      <w:shd w:val="clear" w:color="auto" w:fill="FFFFFF"/>
      <w:spacing w:before="180" w:after="360" w:line="312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a5">
    <w:name w:val="Основной текст_"/>
    <w:basedOn w:val="a0"/>
    <w:link w:val="31"/>
    <w:rsid w:val="007947CF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31">
    <w:name w:val="Основной текст3"/>
    <w:basedOn w:val="a"/>
    <w:link w:val="a5"/>
    <w:rsid w:val="007947CF"/>
    <w:pPr>
      <w:widowControl w:val="0"/>
      <w:shd w:val="clear" w:color="auto" w:fill="FFFFFF"/>
      <w:spacing w:after="0" w:line="22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6">
    <w:name w:val="Основной текст + Полужирный"/>
    <w:basedOn w:val="a5"/>
    <w:rsid w:val="007947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en-US" w:eastAsia="en-US" w:bidi="en-US"/>
    </w:rPr>
  </w:style>
  <w:style w:type="character" w:customStyle="1" w:styleId="6">
    <w:name w:val="Основной текст (6)_"/>
    <w:basedOn w:val="a0"/>
    <w:link w:val="60"/>
    <w:rsid w:val="007947CF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4">
    <w:name w:val="Заголовок №4_"/>
    <w:basedOn w:val="a0"/>
    <w:link w:val="40"/>
    <w:rsid w:val="007947CF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947CF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40">
    <w:name w:val="Заголовок №4"/>
    <w:basedOn w:val="a"/>
    <w:link w:val="4"/>
    <w:rsid w:val="007947CF"/>
    <w:pPr>
      <w:widowControl w:val="0"/>
      <w:shd w:val="clear" w:color="auto" w:fill="FFFFFF"/>
      <w:spacing w:after="0" w:line="0" w:lineRule="atLeast"/>
      <w:jc w:val="both"/>
      <w:outlineLvl w:val="3"/>
    </w:pPr>
    <w:rPr>
      <w:rFonts w:ascii="Arial" w:eastAsia="Arial" w:hAnsi="Arial" w:cs="Arial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5</Pages>
  <Words>797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Власихин Виктор Михайлович</dc:creator>
  <cp:lastModifiedBy>Павлютенков Юрий Владимирович</cp:lastModifiedBy>
  <cp:revision>27</cp:revision>
  <dcterms:created xsi:type="dcterms:W3CDTF">2017-03-17T07:00:00Z</dcterms:created>
  <dcterms:modified xsi:type="dcterms:W3CDTF">2017-03-17T16:42:00Z</dcterms:modified>
</cp:coreProperties>
</file>