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10A25">
        <w:trPr>
          <w:cantSplit/>
          <w:trHeight w:val="716"/>
        </w:trPr>
        <w:tc>
          <w:tcPr>
            <w:tcW w:w="979" w:type="dxa"/>
            <w:vMerge w:val="restart"/>
          </w:tcPr>
          <w:p w:rsidR="00E10A25" w:rsidRDefault="001E0391">
            <w:pPr>
              <w:spacing w:before="180"/>
              <w:ind w:left="17"/>
            </w:pPr>
            <w:r>
              <w:rPr>
                <w:noProof/>
                <w:lang w:eastAsia="en-US"/>
              </w:rPr>
              <w:drawing>
                <wp:inline distT="0" distB="0" distL="0" distR="0">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638" w:type="dxa"/>
            <w:vAlign w:val="bottom"/>
          </w:tcPr>
          <w:p w:rsidR="00E10A25" w:rsidRDefault="001E0391">
            <w:pPr>
              <w:spacing w:after="20"/>
            </w:pPr>
            <w:r>
              <w:rPr>
                <w:noProof/>
                <w:lang w:eastAsia="en-US"/>
              </w:rPr>
              <w:drawing>
                <wp:inline distT="0" distB="0" distL="0" distR="0">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702" w:type="dxa"/>
            <w:vMerge w:val="restart"/>
            <w:tcMar>
              <w:right w:w="193" w:type="dxa"/>
            </w:tcMar>
          </w:tcPr>
          <w:p w:rsidR="00E10A25" w:rsidRDefault="00E10A25">
            <w:pPr>
              <w:spacing w:line="200" w:lineRule="exact"/>
              <w:jc w:val="right"/>
              <w:rPr>
                <w:rFonts w:ascii="Arial" w:hAnsi="Arial" w:cs="Arial"/>
              </w:rPr>
            </w:pPr>
          </w:p>
        </w:tc>
      </w:tr>
      <w:tr w:rsidR="00E10A25">
        <w:trPr>
          <w:cantSplit/>
          <w:trHeight w:val="167"/>
        </w:trPr>
        <w:tc>
          <w:tcPr>
            <w:tcW w:w="979" w:type="dxa"/>
            <w:vMerge/>
          </w:tcPr>
          <w:p w:rsidR="00E10A25" w:rsidRDefault="00E10A25">
            <w:pPr>
              <w:spacing w:before="57"/>
            </w:pPr>
          </w:p>
        </w:tc>
        <w:tc>
          <w:tcPr>
            <w:tcW w:w="3638" w:type="dxa"/>
            <w:vAlign w:val="bottom"/>
          </w:tcPr>
          <w:p w:rsidR="00E10A25" w:rsidRDefault="00E10A25">
            <w:pPr>
              <w:pStyle w:val="zyxLogo"/>
            </w:pPr>
            <w:r>
              <w:t>International Atomic Energy Agency</w:t>
            </w:r>
          </w:p>
        </w:tc>
        <w:tc>
          <w:tcPr>
            <w:tcW w:w="5702" w:type="dxa"/>
            <w:vMerge/>
            <w:vAlign w:val="bottom"/>
          </w:tcPr>
          <w:p w:rsidR="00E10A25" w:rsidRDefault="00E10A25">
            <w:pPr>
              <w:pStyle w:val="Heading9"/>
              <w:spacing w:before="0" w:after="10"/>
            </w:pPr>
          </w:p>
        </w:tc>
      </w:tr>
    </w:tbl>
    <w:tbl>
      <w:tblPr>
        <w:tblW w:w="9789" w:type="dxa"/>
        <w:tblLayout w:type="fixed"/>
        <w:tblCellMar>
          <w:left w:w="0" w:type="dxa"/>
          <w:right w:w="0" w:type="dxa"/>
        </w:tblCellMar>
        <w:tblLook w:val="0000" w:firstRow="0" w:lastRow="0" w:firstColumn="0" w:lastColumn="0" w:noHBand="0" w:noVBand="0"/>
      </w:tblPr>
      <w:tblGrid>
        <w:gridCol w:w="9789"/>
      </w:tblGrid>
      <w:tr w:rsidR="00E10A25">
        <w:trPr>
          <w:cantSplit/>
        </w:trPr>
        <w:tc>
          <w:tcPr>
            <w:tcW w:w="9789" w:type="dxa"/>
            <w:tcMar>
              <w:left w:w="0" w:type="dxa"/>
              <w:right w:w="0" w:type="dxa"/>
            </w:tcMar>
          </w:tcPr>
          <w:p w:rsidR="00E10A25" w:rsidRDefault="00E10A25">
            <w:pPr>
              <w:pStyle w:val="Heading8"/>
              <w:keepNext/>
              <w:overflowPunct w:val="0"/>
              <w:autoSpaceDE w:val="0"/>
              <w:autoSpaceDN w:val="0"/>
              <w:adjustRightInd w:val="0"/>
              <w:spacing w:before="0" w:after="0" w:line="420" w:lineRule="exact"/>
              <w:textAlignment w:val="baseline"/>
              <w:rPr>
                <w:rFonts w:ascii="Arial" w:hAnsi="Arial" w:cs="Arial"/>
                <w:i w:val="0"/>
                <w:iCs w:val="0"/>
                <w:sz w:val="40"/>
                <w:szCs w:val="20"/>
                <w:lang w:val="en-GB"/>
              </w:rPr>
            </w:pPr>
            <w:r>
              <w:rPr>
                <w:rFonts w:ascii="Arial" w:hAnsi="Arial" w:cs="Arial"/>
                <w:i w:val="0"/>
                <w:iCs w:val="0"/>
                <w:sz w:val="40"/>
                <w:szCs w:val="20"/>
                <w:lang w:val="en-GB"/>
              </w:rPr>
              <w:lastRenderedPageBreak/>
              <w:t>Department of Technical Cooperation (TC)</w:t>
            </w:r>
          </w:p>
          <w:p w:rsidR="00E10A25" w:rsidRDefault="00E10A25">
            <w:pPr>
              <w:pStyle w:val="Heading1"/>
              <w:numPr>
                <w:ilvl w:val="0"/>
                <w:numId w:val="0"/>
              </w:numPr>
              <w:spacing w:before="120" w:after="120"/>
            </w:pPr>
            <w:r>
              <w:rPr>
                <w:rFonts w:ascii="Arial" w:hAnsi="Arial" w:cs="Arial"/>
                <w:b w:val="0"/>
                <w:sz w:val="28"/>
              </w:rPr>
              <w:t>End-of-Mission Report</w:t>
            </w:r>
          </w:p>
        </w:tc>
      </w:tr>
    </w:tbl>
    <w:p w:rsidR="00E10A25" w:rsidRDefault="00E10A25">
      <w:pPr>
        <w:pStyle w:val="Header"/>
        <w:rPr>
          <w:sz w:val="16"/>
        </w:rPr>
        <w:sectPr w:rsidR="00E10A25">
          <w:headerReference w:type="even" r:id="rId11"/>
          <w:headerReference w:type="default" r:id="rId12"/>
          <w:footerReference w:type="even" r:id="rId13"/>
          <w:footerReference w:type="default" r:id="rId14"/>
          <w:footerReference w:type="first" r:id="rId15"/>
          <w:type w:val="continuous"/>
          <w:pgSz w:w="11907" w:h="16840" w:code="9"/>
          <w:pgMar w:top="1418" w:right="1134" w:bottom="1134" w:left="1134" w:header="539" w:footer="964" w:gutter="0"/>
          <w:pgNumType w:start="1"/>
          <w:cols w:space="720"/>
          <w:titlePg/>
        </w:sectPr>
      </w:pPr>
    </w:p>
    <w:p w:rsidR="00E10A25" w:rsidRDefault="00E10A25">
      <w:pPr>
        <w:pStyle w:val="Header"/>
        <w:rPr>
          <w:sz w:val="16"/>
        </w:rPr>
      </w:pPr>
    </w:p>
    <w:p w:rsidR="00E10A25" w:rsidRDefault="00E10A2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83"/>
      </w:tblGrid>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Report Title:</w:t>
            </w:r>
          </w:p>
        </w:tc>
        <w:bookmarkStart w:id="0" w:name="txtTitle"/>
        <w:tc>
          <w:tcPr>
            <w:tcW w:w="7083" w:type="dxa"/>
          </w:tcPr>
          <w:p w:rsidR="00E10A25" w:rsidRDefault="00E10A25" w:rsidP="007B39D1">
            <w:pPr>
              <w:spacing w:before="60" w:after="60"/>
              <w:rPr>
                <w:rFonts w:ascii="Arial" w:hAnsi="Arial"/>
                <w:b/>
                <w:sz w:val="22"/>
                <w:szCs w:val="22"/>
                <w:lang w:val="en-GB"/>
              </w:rPr>
            </w:pPr>
            <w:r>
              <w:rPr>
                <w:rFonts w:ascii="Arial" w:hAnsi="Arial"/>
                <w:b/>
                <w:sz w:val="22"/>
                <w:szCs w:val="22"/>
                <w:lang w:val="en-GB"/>
              </w:rPr>
              <w:fldChar w:fldCharType="begin">
                <w:ffData>
                  <w:name w:val="txtTitl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B39D1">
              <w:rPr>
                <w:rFonts w:ascii="Arial" w:hAnsi="Arial"/>
                <w:b/>
                <w:sz w:val="22"/>
                <w:szCs w:val="22"/>
                <w:lang w:val="en-GB"/>
              </w:rPr>
              <w:t>Root Cause Analysis Training Course, Task Number 3.10.2</w:t>
            </w:r>
            <w:r>
              <w:rPr>
                <w:rFonts w:ascii="Arial" w:hAnsi="Arial"/>
                <w:b/>
                <w:sz w:val="22"/>
                <w:szCs w:val="22"/>
                <w:lang w:val="en-GB"/>
              </w:rPr>
              <w:fldChar w:fldCharType="end"/>
            </w:r>
            <w:bookmarkEnd w:id="0"/>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Number:</w:t>
            </w:r>
          </w:p>
        </w:tc>
        <w:bookmarkStart w:id="1" w:name="txtProjectNumber"/>
        <w:tc>
          <w:tcPr>
            <w:tcW w:w="7083" w:type="dxa"/>
          </w:tcPr>
          <w:p w:rsidR="00E10A25" w:rsidRDefault="00E10A25" w:rsidP="007B39D1">
            <w:pPr>
              <w:spacing w:before="60" w:after="60"/>
              <w:rPr>
                <w:rFonts w:ascii="Arial" w:hAnsi="Arial"/>
                <w:b/>
                <w:sz w:val="22"/>
                <w:szCs w:val="22"/>
                <w:lang w:val="en-GB"/>
              </w:rPr>
            </w:pPr>
            <w:r>
              <w:rPr>
                <w:rFonts w:ascii="Arial" w:hAnsi="Arial"/>
                <w:b/>
                <w:sz w:val="22"/>
                <w:szCs w:val="22"/>
                <w:lang w:val="en-GB"/>
              </w:rPr>
              <w:fldChar w:fldCharType="begin">
                <w:ffData>
                  <w:name w:val="txtProjectNumber"/>
                  <w:enabled/>
                  <w:calcOnExit w:val="0"/>
                  <w:textInput>
                    <w:maxLength w:val="20"/>
                    <w:format w:val="UPPERCASE"/>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B39D1">
              <w:rPr>
                <w:rFonts w:ascii="Arial" w:hAnsi="Arial"/>
                <w:b/>
                <w:sz w:val="22"/>
                <w:szCs w:val="22"/>
                <w:lang w:val="en-GB"/>
              </w:rPr>
              <w:t>IRA 2013</w:t>
            </w:r>
            <w:r>
              <w:rPr>
                <w:rFonts w:ascii="Arial" w:hAnsi="Arial"/>
                <w:b/>
                <w:sz w:val="22"/>
                <w:szCs w:val="22"/>
                <w:lang w:val="en-GB"/>
              </w:rPr>
              <w:fldChar w:fldCharType="end"/>
            </w:r>
            <w:bookmarkEnd w:id="1"/>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Title:</w:t>
            </w:r>
          </w:p>
        </w:tc>
        <w:bookmarkStart w:id="2" w:name="txtProjectTitle"/>
        <w:tc>
          <w:tcPr>
            <w:tcW w:w="7083" w:type="dxa"/>
          </w:tcPr>
          <w:p w:rsidR="00E10A25" w:rsidRDefault="00A247C5" w:rsidP="007B39D1">
            <w:pPr>
              <w:spacing w:before="60" w:after="60"/>
              <w:rPr>
                <w:rFonts w:ascii="Arial" w:hAnsi="Arial"/>
                <w:b/>
                <w:sz w:val="22"/>
                <w:szCs w:val="22"/>
                <w:lang w:val="en-GB"/>
              </w:rPr>
            </w:pPr>
            <w:r>
              <w:rPr>
                <w:rFonts w:ascii="Arial" w:hAnsi="Arial"/>
                <w:b/>
                <w:sz w:val="22"/>
                <w:szCs w:val="22"/>
                <w:lang w:val="en-GB"/>
              </w:rPr>
              <w:fldChar w:fldCharType="begin">
                <w:ffData>
                  <w:name w:val="txtProjectTitle"/>
                  <w:enabled/>
                  <w:calcOnExit w:val="0"/>
                  <w:textInput>
                    <w:maxLength w:val="50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B39D1">
              <w:rPr>
                <w:rFonts w:ascii="Arial" w:hAnsi="Arial"/>
                <w:b/>
                <w:sz w:val="22"/>
                <w:szCs w:val="22"/>
                <w:lang w:val="en-GB"/>
              </w:rPr>
              <w:t> </w:t>
            </w:r>
            <w:r w:rsidR="007B39D1">
              <w:rPr>
                <w:rFonts w:ascii="Arial" w:hAnsi="Arial"/>
                <w:b/>
                <w:sz w:val="22"/>
                <w:szCs w:val="22"/>
                <w:lang w:val="en-GB"/>
              </w:rPr>
              <w:t> </w:t>
            </w:r>
            <w:r w:rsidR="007B39D1">
              <w:rPr>
                <w:rFonts w:ascii="Arial" w:hAnsi="Arial"/>
                <w:b/>
                <w:sz w:val="22"/>
                <w:szCs w:val="22"/>
                <w:lang w:val="en-GB"/>
              </w:rPr>
              <w:t> </w:t>
            </w:r>
            <w:r w:rsidR="007B39D1">
              <w:rPr>
                <w:rFonts w:ascii="Arial" w:hAnsi="Arial"/>
                <w:b/>
                <w:sz w:val="22"/>
                <w:szCs w:val="22"/>
                <w:lang w:val="en-GB"/>
              </w:rPr>
              <w:t> </w:t>
            </w:r>
            <w:r w:rsidR="007B39D1">
              <w:rPr>
                <w:rFonts w:ascii="Arial" w:hAnsi="Arial"/>
                <w:b/>
                <w:sz w:val="22"/>
                <w:szCs w:val="22"/>
                <w:lang w:val="en-GB"/>
              </w:rPr>
              <w:t> </w:t>
            </w:r>
            <w:r>
              <w:rPr>
                <w:rFonts w:ascii="Arial" w:hAnsi="Arial"/>
                <w:b/>
                <w:sz w:val="22"/>
                <w:szCs w:val="22"/>
                <w:lang w:val="en-GB"/>
              </w:rPr>
              <w:fldChar w:fldCharType="end"/>
            </w:r>
            <w:bookmarkEnd w:id="2"/>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Name of Expert:</w:t>
            </w:r>
          </w:p>
        </w:tc>
        <w:bookmarkStart w:id="3" w:name="txtExpertName"/>
        <w:tc>
          <w:tcPr>
            <w:tcW w:w="7083" w:type="dxa"/>
          </w:tcPr>
          <w:p w:rsidR="00533D58" w:rsidRDefault="00E10A25" w:rsidP="00533D58">
            <w:pPr>
              <w:spacing w:before="60" w:after="60"/>
              <w:rPr>
                <w:rFonts w:ascii="Arial" w:hAnsi="Arial"/>
                <w:b/>
                <w:noProof/>
                <w:sz w:val="22"/>
                <w:szCs w:val="22"/>
                <w:lang w:val="en-GB"/>
              </w:rPr>
            </w:pPr>
            <w:r>
              <w:rPr>
                <w:rFonts w:ascii="Arial" w:hAnsi="Arial"/>
                <w:b/>
                <w:sz w:val="22"/>
                <w:szCs w:val="22"/>
                <w:lang w:val="en-GB"/>
              </w:rPr>
              <w:fldChar w:fldCharType="begin">
                <w:ffData>
                  <w:name w:val="txtExpertNam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B39D1">
              <w:rPr>
                <w:rFonts w:ascii="Arial" w:hAnsi="Arial"/>
                <w:b/>
                <w:noProof/>
                <w:sz w:val="22"/>
                <w:szCs w:val="22"/>
                <w:lang w:val="en-GB"/>
              </w:rPr>
              <w:t>Ms. Marija Josefa Esteban</w:t>
            </w:r>
          </w:p>
          <w:p w:rsidR="00533D58" w:rsidRDefault="00533D58" w:rsidP="00533D58">
            <w:pPr>
              <w:spacing w:before="60" w:after="60"/>
              <w:rPr>
                <w:rFonts w:ascii="Arial" w:hAnsi="Arial"/>
                <w:b/>
                <w:noProof/>
                <w:sz w:val="22"/>
                <w:szCs w:val="22"/>
                <w:lang w:val="en-GB"/>
              </w:rPr>
            </w:pPr>
            <w:r>
              <w:rPr>
                <w:rFonts w:ascii="Arial" w:hAnsi="Arial"/>
                <w:b/>
                <w:noProof/>
                <w:sz w:val="22"/>
                <w:szCs w:val="22"/>
                <w:lang w:val="en-GB"/>
              </w:rPr>
              <w:t xml:space="preserve">Mr. </w:t>
            </w:r>
            <w:r w:rsidR="007B39D1">
              <w:rPr>
                <w:rFonts w:ascii="Arial" w:hAnsi="Arial"/>
                <w:b/>
                <w:noProof/>
                <w:sz w:val="22"/>
                <w:szCs w:val="22"/>
                <w:lang w:val="en-GB"/>
              </w:rPr>
              <w:t>Ladislav Kiss</w:t>
            </w:r>
          </w:p>
          <w:p w:rsidR="00E10A25" w:rsidRDefault="00533D58" w:rsidP="00533D58">
            <w:pPr>
              <w:spacing w:before="60" w:after="60"/>
              <w:rPr>
                <w:rFonts w:ascii="Arial" w:hAnsi="Arial"/>
                <w:b/>
                <w:sz w:val="22"/>
                <w:szCs w:val="22"/>
                <w:lang w:val="en-GB"/>
              </w:rPr>
            </w:pPr>
            <w:r>
              <w:rPr>
                <w:rFonts w:ascii="Arial" w:hAnsi="Arial"/>
                <w:b/>
                <w:noProof/>
                <w:sz w:val="22"/>
                <w:szCs w:val="22"/>
                <w:lang w:val="en-GB"/>
              </w:rPr>
              <w:t>Mr. Milorad Dusic</w:t>
            </w:r>
            <w:r w:rsidR="00E10A25">
              <w:rPr>
                <w:rFonts w:ascii="Arial" w:hAnsi="Arial"/>
                <w:b/>
                <w:sz w:val="22"/>
                <w:szCs w:val="22"/>
                <w:lang w:val="en-GB"/>
              </w:rPr>
              <w:fldChar w:fldCharType="end"/>
            </w:r>
            <w:bookmarkEnd w:id="3"/>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Dates of Mission:</w:t>
            </w:r>
          </w:p>
        </w:tc>
        <w:bookmarkStart w:id="4" w:name="txtMissionDates"/>
        <w:tc>
          <w:tcPr>
            <w:tcW w:w="7083" w:type="dxa"/>
          </w:tcPr>
          <w:p w:rsidR="00E10A25" w:rsidRDefault="00E10A25" w:rsidP="007B39D1">
            <w:pPr>
              <w:spacing w:before="60" w:after="60"/>
              <w:rPr>
                <w:rFonts w:ascii="Arial" w:hAnsi="Arial"/>
                <w:b/>
                <w:sz w:val="22"/>
                <w:szCs w:val="22"/>
                <w:lang w:val="en-GB"/>
              </w:rPr>
            </w:pPr>
            <w:r>
              <w:rPr>
                <w:rFonts w:ascii="Arial" w:hAnsi="Arial"/>
                <w:b/>
                <w:sz w:val="22"/>
                <w:szCs w:val="22"/>
                <w:lang w:val="en-GB"/>
              </w:rPr>
              <w:fldChar w:fldCharType="begin">
                <w:ffData>
                  <w:name w:val="txtMissionDates"/>
                  <w:enabled/>
                  <w:calcOnExit w:val="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B39D1">
              <w:rPr>
                <w:rFonts w:ascii="Arial" w:hAnsi="Arial"/>
                <w:b/>
                <w:sz w:val="22"/>
                <w:szCs w:val="22"/>
                <w:lang w:val="en-GB"/>
              </w:rPr>
              <w:t>7 - 11 October</w:t>
            </w:r>
            <w:r w:rsidR="00533D58">
              <w:rPr>
                <w:rFonts w:ascii="Arial" w:hAnsi="Arial"/>
                <w:b/>
                <w:noProof/>
                <w:sz w:val="22"/>
                <w:szCs w:val="22"/>
                <w:lang w:val="en-GB"/>
              </w:rPr>
              <w:t xml:space="preserve"> 2017</w:t>
            </w:r>
            <w:r>
              <w:rPr>
                <w:rFonts w:ascii="Arial" w:hAnsi="Arial"/>
                <w:b/>
                <w:sz w:val="22"/>
                <w:szCs w:val="22"/>
                <w:lang w:val="en-GB"/>
              </w:rPr>
              <w:fldChar w:fldCharType="end"/>
            </w:r>
            <w:bookmarkEnd w:id="4"/>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Counterpart:</w:t>
            </w:r>
          </w:p>
          <w:p w:rsidR="00E10A25" w:rsidRDefault="00E10A25">
            <w:pPr>
              <w:spacing w:before="60" w:after="60"/>
              <w:rPr>
                <w:rFonts w:ascii="Arial" w:hAnsi="Arial"/>
                <w:i/>
                <w:sz w:val="22"/>
                <w:szCs w:val="22"/>
                <w:lang w:val="en-GB"/>
              </w:rPr>
            </w:pPr>
            <w:r>
              <w:rPr>
                <w:rFonts w:ascii="Arial" w:hAnsi="Arial"/>
                <w:i/>
                <w:sz w:val="20"/>
                <w:szCs w:val="22"/>
                <w:lang w:val="en-GB"/>
              </w:rPr>
              <w:t>Please provide full contact details for the Institute and main counterpart</w:t>
            </w:r>
          </w:p>
        </w:tc>
        <w:bookmarkStart w:id="5" w:name="txtCounterpart"/>
        <w:tc>
          <w:tcPr>
            <w:tcW w:w="7083" w:type="dxa"/>
          </w:tcPr>
          <w:p w:rsidR="007B39D1" w:rsidRDefault="00E10A25" w:rsidP="007B39D1">
            <w:pPr>
              <w:spacing w:before="60" w:after="60"/>
              <w:rPr>
                <w:rFonts w:ascii="Arial" w:hAnsi="Arial"/>
                <w:b/>
                <w:sz w:val="22"/>
                <w:szCs w:val="22"/>
                <w:lang w:val="en-GB"/>
              </w:rPr>
            </w:pPr>
            <w:r>
              <w:rPr>
                <w:rFonts w:ascii="Arial" w:hAnsi="Arial"/>
                <w:b/>
                <w:sz w:val="22"/>
                <w:szCs w:val="22"/>
                <w:lang w:val="en-GB"/>
              </w:rPr>
              <w:fldChar w:fldCharType="begin">
                <w:ffData>
                  <w:name w:val="txtCounterpart"/>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B39D1">
              <w:rPr>
                <w:rFonts w:ascii="Arial" w:hAnsi="Arial"/>
                <w:b/>
                <w:sz w:val="22"/>
                <w:szCs w:val="22"/>
                <w:lang w:val="en-GB"/>
              </w:rPr>
              <w:t>Mr. M. H. Raji</w:t>
            </w:r>
          </w:p>
          <w:p w:rsidR="00E10A25" w:rsidRDefault="007B39D1" w:rsidP="007B39D1">
            <w:pPr>
              <w:spacing w:before="60" w:after="60"/>
              <w:rPr>
                <w:rFonts w:ascii="Arial" w:hAnsi="Arial"/>
                <w:b/>
                <w:sz w:val="22"/>
                <w:szCs w:val="22"/>
                <w:lang w:val="en-GB"/>
              </w:rPr>
            </w:pPr>
            <w:r>
              <w:rPr>
                <w:rFonts w:ascii="Arial" w:hAnsi="Arial"/>
                <w:b/>
                <w:sz w:val="22"/>
                <w:szCs w:val="22"/>
                <w:lang w:val="en-GB"/>
              </w:rPr>
              <w:t>TAVANA Head of Nuclear Engineering Department</w:t>
            </w:r>
            <w:r w:rsidR="00533D58" w:rsidRPr="00533D58">
              <w:rPr>
                <w:rFonts w:ascii="Arial" w:hAnsi="Arial"/>
                <w:b/>
                <w:noProof/>
                <w:sz w:val="22"/>
                <w:szCs w:val="22"/>
                <w:lang w:val="en-GB"/>
              </w:rPr>
              <w:t xml:space="preserve"> </w:t>
            </w:r>
            <w:r w:rsidR="00E10A25">
              <w:rPr>
                <w:rFonts w:ascii="Arial" w:hAnsi="Arial"/>
                <w:b/>
                <w:sz w:val="22"/>
                <w:szCs w:val="22"/>
                <w:lang w:val="en-GB"/>
              </w:rPr>
              <w:fldChar w:fldCharType="end"/>
            </w:r>
            <w:bookmarkEnd w:id="5"/>
          </w:p>
        </w:tc>
      </w:tr>
    </w:tbl>
    <w:p w:rsidR="00E10A25" w:rsidRDefault="00E10A25">
      <w:pPr>
        <w:rPr>
          <w:b/>
          <w:lang w:val="en-GB"/>
        </w:rPr>
      </w:pPr>
    </w:p>
    <w:p w:rsidR="00E10A25" w:rsidRDefault="00E10A25">
      <w:pPr>
        <w:rPr>
          <w:b/>
          <w:lang w:val="en-GB"/>
        </w:r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t>Terms of reference:</w:t>
      </w:r>
    </w:p>
    <w:p w:rsidR="00E10A25" w:rsidRDefault="00E10A25">
      <w:pPr>
        <w:tabs>
          <w:tab w:val="left" w:pos="567"/>
        </w:tabs>
        <w:spacing w:after="120" w:line="240" w:lineRule="atLeast"/>
        <w:jc w:val="both"/>
        <w:rPr>
          <w:sz w:val="22"/>
        </w:rPr>
      </w:pPr>
      <w:r>
        <w:rPr>
          <w:i/>
          <w:sz w:val="22"/>
        </w:rPr>
        <w:t>Describe the specific objectives of the assignment and the duties to be performed by the expert as they relate to the objectives.</w:t>
      </w:r>
    </w:p>
    <w:p w:rsidR="00E10A25" w:rsidRDefault="00E10A25"/>
    <w:p w:rsidR="00E10A25" w:rsidRDefault="00E10A25">
      <w:pPr>
        <w:sectPr w:rsidR="00E10A25">
          <w:footerReference w:type="default" r:id="rId16"/>
          <w:type w:val="continuous"/>
          <w:pgSz w:w="11907" w:h="16840" w:code="9"/>
          <w:pgMar w:top="1440" w:right="1440" w:bottom="1440" w:left="1440" w:header="720" w:footer="720" w:gutter="0"/>
          <w:cols w:space="720"/>
          <w:docGrid w:linePitch="360"/>
        </w:sectPr>
      </w:pPr>
    </w:p>
    <w:p w:rsidR="009D22F5" w:rsidRDefault="007B39D1">
      <w:pPr>
        <w:rPr>
          <w:lang w:val="en-GB"/>
        </w:rPr>
      </w:pPr>
      <w:r>
        <w:lastRenderedPageBreak/>
        <w:t>The objective of the Training Course was to enhance the Fee</w:t>
      </w:r>
      <w:r w:rsidR="009D22F5">
        <w:t>dback of Operating Experience in</w:t>
      </w:r>
      <w:r>
        <w:t xml:space="preserve"> Bushehr Nuclear Power Plant by providing training in the performance of Root Cause Analysis </w:t>
      </w:r>
      <w:r w:rsidR="009D22F5">
        <w:t xml:space="preserve">(RCA) </w:t>
      </w:r>
      <w:r>
        <w:t>of Incidents.</w:t>
      </w:r>
      <w:r w:rsidR="002506B3">
        <w:rPr>
          <w:lang w:val="en-GB"/>
        </w:rPr>
        <w:t xml:space="preserve"> </w:t>
      </w:r>
      <w:r w:rsidR="009D22F5">
        <w:rPr>
          <w:lang w:val="en-GB"/>
        </w:rPr>
        <w:t>Items to be covered by the training course included:</w:t>
      </w:r>
    </w:p>
    <w:p w:rsidR="009D22F5" w:rsidRDefault="009D22F5" w:rsidP="009D22F5">
      <w:pPr>
        <w:pStyle w:val="ListParagraph"/>
        <w:numPr>
          <w:ilvl w:val="0"/>
          <w:numId w:val="7"/>
        </w:numPr>
        <w:rPr>
          <w:lang w:val="en-GB"/>
        </w:rPr>
      </w:pPr>
      <w:r>
        <w:rPr>
          <w:lang w:val="en-GB"/>
        </w:rPr>
        <w:t>Introduction to RCA methods</w:t>
      </w:r>
    </w:p>
    <w:p w:rsidR="009D22F5" w:rsidRDefault="009D22F5" w:rsidP="009D22F5">
      <w:pPr>
        <w:pStyle w:val="ListParagraph"/>
        <w:numPr>
          <w:ilvl w:val="0"/>
          <w:numId w:val="7"/>
        </w:numPr>
        <w:rPr>
          <w:lang w:val="en-GB"/>
        </w:rPr>
      </w:pPr>
      <w:r>
        <w:rPr>
          <w:lang w:val="en-GB"/>
        </w:rPr>
        <w:t>Introduction to RCA analysis techniques, practical examples and exercises for each tool</w:t>
      </w:r>
    </w:p>
    <w:p w:rsidR="009D22F5" w:rsidRDefault="009D22F5" w:rsidP="009D22F5">
      <w:pPr>
        <w:pStyle w:val="ListParagraph"/>
        <w:numPr>
          <w:ilvl w:val="0"/>
          <w:numId w:val="7"/>
        </w:numPr>
        <w:rPr>
          <w:lang w:val="en-GB"/>
        </w:rPr>
      </w:pPr>
      <w:r>
        <w:rPr>
          <w:lang w:val="en-GB"/>
        </w:rPr>
        <w:t>Typical in-house RCA process (resources, staff training, skills and experience, committees, typical model/workflow, management review…)</w:t>
      </w:r>
    </w:p>
    <w:p w:rsidR="009D22F5" w:rsidRDefault="009D22F5" w:rsidP="009D22F5">
      <w:pPr>
        <w:pStyle w:val="ListParagraph"/>
        <w:numPr>
          <w:ilvl w:val="0"/>
          <w:numId w:val="7"/>
        </w:numPr>
        <w:rPr>
          <w:lang w:val="en-GB"/>
        </w:rPr>
      </w:pPr>
      <w:r>
        <w:rPr>
          <w:lang w:val="en-GB"/>
        </w:rPr>
        <w:t>Assessment of RCA report by independent organization; Independent RCA process (RCA performed by independent organization)</w:t>
      </w:r>
    </w:p>
    <w:p w:rsidR="009D22F5" w:rsidRPr="009D22F5" w:rsidRDefault="009D22F5" w:rsidP="009D22F5">
      <w:pPr>
        <w:pStyle w:val="ListParagraph"/>
        <w:numPr>
          <w:ilvl w:val="0"/>
          <w:numId w:val="7"/>
        </w:numPr>
        <w:rPr>
          <w:lang w:val="en-GB"/>
        </w:rPr>
      </w:pPr>
      <w:r>
        <w:rPr>
          <w:lang w:val="en-GB"/>
        </w:rPr>
        <w:t>Software for RCA</w:t>
      </w:r>
    </w:p>
    <w:p w:rsidR="002506B3" w:rsidRDefault="002506B3">
      <w:pPr>
        <w:rPr>
          <w:lang w:val="en-GB"/>
        </w:rPr>
      </w:pPr>
    </w:p>
    <w:p w:rsidR="002506B3" w:rsidRPr="002506B3" w:rsidRDefault="002506B3">
      <w:pPr>
        <w:rPr>
          <w:lang w:val="en-GB"/>
        </w:rPr>
        <w:sectPr w:rsidR="002506B3" w:rsidRPr="002506B3">
          <w:type w:val="continuous"/>
          <w:pgSz w:w="11907" w:h="16840" w:code="9"/>
          <w:pgMar w:top="1440" w:right="1440" w:bottom="1440" w:left="1440" w:header="720" w:footer="720" w:gutter="0"/>
          <w:cols w:space="720"/>
          <w:formProt w:val="0"/>
          <w:docGrid w:linePitch="360"/>
        </w:sect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lastRenderedPageBreak/>
        <w:t>Duties performed by the expert:</w:t>
      </w:r>
    </w:p>
    <w:p w:rsidR="00E10A25" w:rsidRDefault="00E10A25">
      <w:pPr>
        <w:tabs>
          <w:tab w:val="left" w:pos="567"/>
        </w:tabs>
        <w:spacing w:after="120" w:line="240" w:lineRule="atLeast"/>
        <w:jc w:val="both"/>
        <w:rPr>
          <w:i/>
          <w:sz w:val="22"/>
        </w:rPr>
      </w:pPr>
      <w:r>
        <w:rPr>
          <w:i/>
          <w:sz w:val="22"/>
        </w:rPr>
        <w:t>Describe the work carried out to meet the terms of reference as set out above. Please include any technical, logistical, administrative and other problems encountered, and any other considerations of importance. Please include also the Agenda and List of persons met.</w:t>
      </w:r>
    </w:p>
    <w:p w:rsidR="00E10A25" w:rsidRDefault="00E10A25">
      <w:pPr>
        <w:tabs>
          <w:tab w:val="left" w:pos="567"/>
        </w:tabs>
        <w:spacing w:after="120" w:line="240" w:lineRule="atLeast"/>
        <w:jc w:val="both"/>
        <w:rPr>
          <w:i/>
          <w:sz w:val="22"/>
        </w:rPr>
      </w:pPr>
      <w:r>
        <w:rPr>
          <w:i/>
          <w:sz w:val="22"/>
        </w:rPr>
        <w:t>NOTE: Figures, tables and annexes should be mentioned in the body of the text and should be numbered in the order in which reference is made to them (e.g. Fig.1, Fig. 2, Table 1, Table 2, Annex 1, Annex 2, etc.).  All attachments should be clearly labeled.</w:t>
      </w:r>
    </w:p>
    <w:p w:rsidR="00E10A25" w:rsidRDefault="00E10A25"/>
    <w:p w:rsidR="00E10A25" w:rsidRDefault="00E10A25">
      <w:pPr>
        <w:sectPr w:rsidR="00E10A25">
          <w:type w:val="continuous"/>
          <w:pgSz w:w="11907" w:h="16840" w:code="9"/>
          <w:pgMar w:top="1440" w:right="1440" w:bottom="1440" w:left="1440" w:header="720" w:footer="720" w:gutter="0"/>
          <w:cols w:space="720"/>
          <w:docGrid w:linePitch="360"/>
        </w:sectPr>
      </w:pPr>
    </w:p>
    <w:p w:rsidR="00E10A25" w:rsidRDefault="00E64BBD">
      <w:pPr>
        <w:rPr>
          <w:lang w:val="en-GB"/>
        </w:rPr>
      </w:pPr>
      <w:r>
        <w:rPr>
          <w:lang w:val="en-GB"/>
        </w:rPr>
        <w:lastRenderedPageBreak/>
        <w:t>The Expert Mission was conducted in accordance with the Agenda prepared jointly by the IAEA and the counterpart before the mission. In accordance with the Agenda, the following presentations were made by the external experts:</w:t>
      </w:r>
    </w:p>
    <w:p w:rsidR="00E64BBD" w:rsidRDefault="00E64BBD" w:rsidP="00E64BBD">
      <w:pPr>
        <w:pStyle w:val="ListParagraph"/>
        <w:numPr>
          <w:ilvl w:val="0"/>
          <w:numId w:val="6"/>
        </w:numPr>
        <w:rPr>
          <w:lang w:val="en-GB"/>
        </w:rPr>
      </w:pPr>
      <w:r>
        <w:rPr>
          <w:lang w:val="en-GB"/>
        </w:rPr>
        <w:t>Mr. Milora</w:t>
      </w:r>
      <w:r w:rsidR="002506B3">
        <w:rPr>
          <w:lang w:val="en-GB"/>
        </w:rPr>
        <w:t>d Dusic;</w:t>
      </w:r>
    </w:p>
    <w:p w:rsidR="002506B3" w:rsidRDefault="00F65102" w:rsidP="002506B3">
      <w:pPr>
        <w:pStyle w:val="ListParagraph"/>
        <w:numPr>
          <w:ilvl w:val="1"/>
          <w:numId w:val="6"/>
        </w:numPr>
        <w:rPr>
          <w:lang w:val="en-GB"/>
        </w:rPr>
      </w:pPr>
      <w:r>
        <w:rPr>
          <w:lang w:val="en-GB"/>
        </w:rPr>
        <w:t>Case Study – setting the scene</w:t>
      </w:r>
    </w:p>
    <w:p w:rsidR="00F65102" w:rsidRDefault="00F65102" w:rsidP="002506B3">
      <w:pPr>
        <w:pStyle w:val="ListParagraph"/>
        <w:numPr>
          <w:ilvl w:val="1"/>
          <w:numId w:val="6"/>
        </w:numPr>
        <w:rPr>
          <w:lang w:val="en-GB"/>
        </w:rPr>
      </w:pPr>
      <w:r>
        <w:rPr>
          <w:lang w:val="en-GB"/>
        </w:rPr>
        <w:t>Basic Concepts and Benefits of Root cause Investigation</w:t>
      </w:r>
    </w:p>
    <w:p w:rsidR="00F65102" w:rsidRDefault="00F65102" w:rsidP="002506B3">
      <w:pPr>
        <w:pStyle w:val="ListParagraph"/>
        <w:numPr>
          <w:ilvl w:val="1"/>
          <w:numId w:val="6"/>
        </w:numPr>
        <w:rPr>
          <w:lang w:val="en-GB"/>
        </w:rPr>
      </w:pPr>
      <w:r>
        <w:rPr>
          <w:lang w:val="en-GB"/>
        </w:rPr>
        <w:t>Overview of  RCA Methods and Tools</w:t>
      </w:r>
    </w:p>
    <w:p w:rsidR="00F65102" w:rsidRDefault="00F65102" w:rsidP="002506B3">
      <w:pPr>
        <w:pStyle w:val="ListParagraph"/>
        <w:numPr>
          <w:ilvl w:val="1"/>
          <w:numId w:val="6"/>
        </w:numPr>
        <w:rPr>
          <w:lang w:val="en-GB"/>
        </w:rPr>
      </w:pPr>
      <w:r>
        <w:rPr>
          <w:lang w:val="en-GB"/>
        </w:rPr>
        <w:t>Overview of Precursor Analysis</w:t>
      </w:r>
    </w:p>
    <w:p w:rsidR="00F65102" w:rsidRDefault="00F65102" w:rsidP="002506B3">
      <w:pPr>
        <w:pStyle w:val="ListParagraph"/>
        <w:numPr>
          <w:ilvl w:val="1"/>
          <w:numId w:val="6"/>
        </w:numPr>
        <w:rPr>
          <w:lang w:val="en-GB"/>
        </w:rPr>
      </w:pPr>
      <w:r>
        <w:rPr>
          <w:lang w:val="en-GB"/>
        </w:rPr>
        <w:t>Overview of Transient Analysis</w:t>
      </w:r>
    </w:p>
    <w:p w:rsidR="00F65102" w:rsidRDefault="00F65102" w:rsidP="002506B3">
      <w:pPr>
        <w:pStyle w:val="ListParagraph"/>
        <w:numPr>
          <w:ilvl w:val="1"/>
          <w:numId w:val="6"/>
        </w:numPr>
        <w:rPr>
          <w:lang w:val="en-GB"/>
        </w:rPr>
      </w:pPr>
      <w:r>
        <w:rPr>
          <w:lang w:val="en-GB"/>
        </w:rPr>
        <w:t>Latent Weaknesses and Root Causes</w:t>
      </w:r>
    </w:p>
    <w:p w:rsidR="00F65102" w:rsidRDefault="00F65102" w:rsidP="00E64BBD">
      <w:pPr>
        <w:pStyle w:val="ListParagraph"/>
        <w:numPr>
          <w:ilvl w:val="0"/>
          <w:numId w:val="6"/>
        </w:numPr>
        <w:rPr>
          <w:lang w:val="en-GB"/>
        </w:rPr>
      </w:pPr>
      <w:r>
        <w:rPr>
          <w:lang w:val="en-GB"/>
        </w:rPr>
        <w:t>Ms. Maria Josefa Esteban</w:t>
      </w:r>
      <w:r w:rsidR="00E64BBD">
        <w:rPr>
          <w:lang w:val="en-GB"/>
        </w:rPr>
        <w:t>;</w:t>
      </w:r>
    </w:p>
    <w:p w:rsidR="00E64BBD" w:rsidRDefault="00F65102" w:rsidP="00F65102">
      <w:pPr>
        <w:pStyle w:val="ListParagraph"/>
        <w:numPr>
          <w:ilvl w:val="1"/>
          <w:numId w:val="6"/>
        </w:numPr>
        <w:rPr>
          <w:lang w:val="en-GB"/>
        </w:rPr>
      </w:pPr>
      <w:r>
        <w:rPr>
          <w:lang w:val="en-GB"/>
        </w:rPr>
        <w:t>Detailed Analytical Techniques</w:t>
      </w:r>
    </w:p>
    <w:p w:rsidR="00F65102" w:rsidRDefault="00F65102" w:rsidP="00F65102">
      <w:pPr>
        <w:pStyle w:val="ListParagraph"/>
        <w:numPr>
          <w:ilvl w:val="1"/>
          <w:numId w:val="6"/>
        </w:numPr>
        <w:rPr>
          <w:lang w:val="en-GB"/>
        </w:rPr>
      </w:pPr>
      <w:r>
        <w:rPr>
          <w:lang w:val="en-GB"/>
        </w:rPr>
        <w:t>Event and Causal Factor Chart</w:t>
      </w:r>
    </w:p>
    <w:p w:rsidR="00F65102" w:rsidRDefault="00337C0E" w:rsidP="00F65102">
      <w:pPr>
        <w:pStyle w:val="ListParagraph"/>
        <w:numPr>
          <w:ilvl w:val="1"/>
          <w:numId w:val="6"/>
        </w:numPr>
        <w:rPr>
          <w:lang w:val="en-GB"/>
        </w:rPr>
      </w:pPr>
      <w:r>
        <w:rPr>
          <w:lang w:val="en-GB"/>
        </w:rPr>
        <w:t>Change Analysis, Barrier Analysis, Hazard barrier Target Analysis, Fault Tree Analysis</w:t>
      </w:r>
    </w:p>
    <w:p w:rsidR="00337C0E" w:rsidRDefault="00337C0E" w:rsidP="00F65102">
      <w:pPr>
        <w:pStyle w:val="ListParagraph"/>
        <w:numPr>
          <w:ilvl w:val="1"/>
          <w:numId w:val="6"/>
        </w:numPr>
        <w:rPr>
          <w:lang w:val="en-GB"/>
        </w:rPr>
      </w:pPr>
      <w:r>
        <w:rPr>
          <w:lang w:val="en-GB"/>
        </w:rPr>
        <w:t>Interview Techniques</w:t>
      </w:r>
    </w:p>
    <w:p w:rsidR="00337C0E" w:rsidRDefault="00337C0E" w:rsidP="00F65102">
      <w:pPr>
        <w:pStyle w:val="ListParagraph"/>
        <w:numPr>
          <w:ilvl w:val="1"/>
          <w:numId w:val="6"/>
        </w:numPr>
        <w:rPr>
          <w:lang w:val="en-GB"/>
        </w:rPr>
      </w:pPr>
      <w:r>
        <w:rPr>
          <w:lang w:val="en-GB"/>
        </w:rPr>
        <w:t>Role and Qualification of RCA Investigator</w:t>
      </w:r>
    </w:p>
    <w:p w:rsidR="00337C0E" w:rsidRDefault="00337C0E" w:rsidP="00F65102">
      <w:pPr>
        <w:pStyle w:val="ListParagraph"/>
        <w:numPr>
          <w:ilvl w:val="1"/>
          <w:numId w:val="6"/>
        </w:numPr>
        <w:rPr>
          <w:lang w:val="en-GB"/>
        </w:rPr>
      </w:pPr>
      <w:r>
        <w:rPr>
          <w:lang w:val="en-GB"/>
        </w:rPr>
        <w:t>Management Oversight and Risk Tree Overview</w:t>
      </w:r>
    </w:p>
    <w:p w:rsidR="00337C0E" w:rsidRDefault="00337C0E" w:rsidP="00F65102">
      <w:pPr>
        <w:pStyle w:val="ListParagraph"/>
        <w:numPr>
          <w:ilvl w:val="1"/>
          <w:numId w:val="6"/>
        </w:numPr>
        <w:rPr>
          <w:lang w:val="en-GB"/>
        </w:rPr>
      </w:pPr>
      <w:r>
        <w:rPr>
          <w:lang w:val="en-GB"/>
        </w:rPr>
        <w:t>Safety Culture, Leadership and Good Management Practices</w:t>
      </w:r>
    </w:p>
    <w:p w:rsidR="00337C0E" w:rsidRDefault="00337C0E" w:rsidP="00F65102">
      <w:pPr>
        <w:pStyle w:val="ListParagraph"/>
        <w:numPr>
          <w:ilvl w:val="1"/>
          <w:numId w:val="6"/>
        </w:numPr>
        <w:rPr>
          <w:lang w:val="en-GB"/>
        </w:rPr>
      </w:pPr>
      <w:r>
        <w:rPr>
          <w:lang w:val="en-GB"/>
        </w:rPr>
        <w:t>Corrective Action Programme</w:t>
      </w:r>
    </w:p>
    <w:p w:rsidR="00337C0E" w:rsidRDefault="00337C0E" w:rsidP="00F65102">
      <w:pPr>
        <w:pStyle w:val="ListParagraph"/>
        <w:numPr>
          <w:ilvl w:val="1"/>
          <w:numId w:val="6"/>
        </w:numPr>
        <w:rPr>
          <w:lang w:val="en-GB"/>
        </w:rPr>
      </w:pPr>
      <w:r>
        <w:rPr>
          <w:lang w:val="en-GB"/>
        </w:rPr>
        <w:t>Reactor Oversight Process</w:t>
      </w:r>
    </w:p>
    <w:p w:rsidR="00E64BBD" w:rsidRDefault="00337C0E" w:rsidP="00E64BBD">
      <w:pPr>
        <w:pStyle w:val="ListParagraph"/>
        <w:numPr>
          <w:ilvl w:val="0"/>
          <w:numId w:val="6"/>
        </w:numPr>
        <w:rPr>
          <w:lang w:val="en-GB"/>
        </w:rPr>
      </w:pPr>
      <w:r>
        <w:rPr>
          <w:lang w:val="en-GB"/>
        </w:rPr>
        <w:t>Mr. Ladislav Kiss;</w:t>
      </w:r>
    </w:p>
    <w:p w:rsidR="00337C0E" w:rsidRDefault="00337C0E" w:rsidP="00337C0E">
      <w:pPr>
        <w:pStyle w:val="ListParagraph"/>
        <w:numPr>
          <w:ilvl w:val="1"/>
          <w:numId w:val="6"/>
        </w:numPr>
        <w:rPr>
          <w:lang w:val="en-GB"/>
        </w:rPr>
      </w:pPr>
      <w:r>
        <w:rPr>
          <w:lang w:val="en-GB"/>
        </w:rPr>
        <w:t>Corrective Action Program in Slovakia</w:t>
      </w:r>
    </w:p>
    <w:p w:rsidR="00337C0E" w:rsidRDefault="00337C0E" w:rsidP="00337C0E">
      <w:pPr>
        <w:pStyle w:val="ListParagraph"/>
        <w:numPr>
          <w:ilvl w:val="1"/>
          <w:numId w:val="6"/>
        </w:numPr>
        <w:rPr>
          <w:lang w:val="en-GB"/>
        </w:rPr>
      </w:pPr>
      <w:r>
        <w:rPr>
          <w:lang w:val="en-GB"/>
        </w:rPr>
        <w:t>RCA Quality Assessment</w:t>
      </w:r>
    </w:p>
    <w:p w:rsidR="00337C0E" w:rsidRDefault="00337C0E" w:rsidP="00337C0E">
      <w:pPr>
        <w:pStyle w:val="ListParagraph"/>
        <w:numPr>
          <w:ilvl w:val="1"/>
          <w:numId w:val="6"/>
        </w:numPr>
        <w:rPr>
          <w:lang w:val="en-GB"/>
        </w:rPr>
      </w:pPr>
      <w:r>
        <w:rPr>
          <w:lang w:val="en-GB"/>
        </w:rPr>
        <w:t>Assessment of Corrective Action Programme Process Effectiveness</w:t>
      </w:r>
    </w:p>
    <w:p w:rsidR="00337C0E" w:rsidRDefault="00337C0E" w:rsidP="00337C0E">
      <w:pPr>
        <w:pStyle w:val="ListParagraph"/>
        <w:numPr>
          <w:ilvl w:val="1"/>
          <w:numId w:val="6"/>
        </w:numPr>
        <w:rPr>
          <w:lang w:val="en-GB"/>
        </w:rPr>
      </w:pPr>
      <w:r>
        <w:rPr>
          <w:lang w:val="en-GB"/>
        </w:rPr>
        <w:t>RCA Report Example</w:t>
      </w:r>
    </w:p>
    <w:p w:rsidR="00337C0E" w:rsidRDefault="00337C0E" w:rsidP="00337C0E">
      <w:pPr>
        <w:pStyle w:val="ListParagraph"/>
        <w:numPr>
          <w:ilvl w:val="1"/>
          <w:numId w:val="6"/>
        </w:numPr>
        <w:rPr>
          <w:lang w:val="en-GB"/>
        </w:rPr>
      </w:pPr>
      <w:r>
        <w:rPr>
          <w:lang w:val="en-GB"/>
        </w:rPr>
        <w:t>Equipment Investigation Techniques</w:t>
      </w:r>
    </w:p>
    <w:p w:rsidR="00337C0E" w:rsidRDefault="00337C0E" w:rsidP="00337C0E">
      <w:pPr>
        <w:pStyle w:val="ListParagraph"/>
        <w:numPr>
          <w:ilvl w:val="1"/>
          <w:numId w:val="6"/>
        </w:numPr>
        <w:rPr>
          <w:lang w:val="en-GB"/>
        </w:rPr>
      </w:pPr>
      <w:r>
        <w:rPr>
          <w:lang w:val="en-GB"/>
        </w:rPr>
        <w:t>Apparent cause Evaluation</w:t>
      </w:r>
    </w:p>
    <w:p w:rsidR="00337C0E" w:rsidRDefault="00337C0E" w:rsidP="00337C0E">
      <w:pPr>
        <w:pStyle w:val="ListParagraph"/>
        <w:numPr>
          <w:ilvl w:val="1"/>
          <w:numId w:val="6"/>
        </w:numPr>
        <w:rPr>
          <w:lang w:val="en-GB"/>
        </w:rPr>
      </w:pPr>
      <w:r>
        <w:rPr>
          <w:lang w:val="en-GB"/>
        </w:rPr>
        <w:t>Other Investigation Methods</w:t>
      </w:r>
    </w:p>
    <w:p w:rsidR="00337C0E" w:rsidRDefault="00337C0E" w:rsidP="00337C0E">
      <w:pPr>
        <w:pStyle w:val="ListParagraph"/>
        <w:numPr>
          <w:ilvl w:val="1"/>
          <w:numId w:val="6"/>
        </w:numPr>
        <w:rPr>
          <w:lang w:val="en-GB"/>
        </w:rPr>
      </w:pPr>
      <w:r>
        <w:rPr>
          <w:lang w:val="en-GB"/>
        </w:rPr>
        <w:t>Practical Check-lists</w:t>
      </w:r>
    </w:p>
    <w:p w:rsidR="009D22F5" w:rsidRDefault="009D22F5" w:rsidP="00337C0E">
      <w:pPr>
        <w:rPr>
          <w:lang w:val="en-GB"/>
        </w:rPr>
      </w:pPr>
    </w:p>
    <w:p w:rsidR="00337C0E" w:rsidRPr="00337C0E" w:rsidRDefault="009D22F5" w:rsidP="00337C0E">
      <w:pPr>
        <w:rPr>
          <w:lang w:val="en-GB"/>
        </w:rPr>
      </w:pPr>
      <w:r w:rsidRPr="009D22F5">
        <w:rPr>
          <w:lang w:val="en-GB"/>
        </w:rPr>
        <w:t>Several Root Cause Analysis techniques were presented as well as international experience in event investigation and implementation of corrective action programmes.</w:t>
      </w:r>
      <w:r>
        <w:rPr>
          <w:lang w:val="en-GB"/>
        </w:rPr>
        <w:t xml:space="preserve"> </w:t>
      </w:r>
      <w:r w:rsidR="00337C0E">
        <w:rPr>
          <w:lang w:val="en-GB"/>
        </w:rPr>
        <w:t xml:space="preserve">Each lecture was followed by </w:t>
      </w:r>
      <w:r w:rsidR="00DC4F51">
        <w:rPr>
          <w:lang w:val="en-GB"/>
        </w:rPr>
        <w:t>extensive discussions. Apart from presentations by lecturers, a number of case studies were performed with active participation of all participants.</w:t>
      </w:r>
      <w:r>
        <w:rPr>
          <w:lang w:val="en-GB"/>
        </w:rPr>
        <w:t xml:space="preserve"> As for the software for RCA it has been emphasised that most software which is commercially available is only a tool to help you in writing the final report and making sure that all elements of an investigation have been covered. Determination of the root cause is always within the domain of an analyst. </w:t>
      </w: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rFonts w:ascii="Arial" w:hAnsi="Arial"/>
          <w:sz w:val="22"/>
          <w:szCs w:val="22"/>
          <w:lang w:val="en-GB"/>
        </w:rPr>
      </w:pPr>
      <w:r>
        <w:rPr>
          <w:rFonts w:ascii="Arial" w:hAnsi="Arial"/>
          <w:b/>
          <w:sz w:val="22"/>
          <w:szCs w:val="22"/>
          <w:lang w:val="en-GB"/>
        </w:rPr>
        <w:lastRenderedPageBreak/>
        <w:t>Conclusions</w:t>
      </w:r>
      <w:r>
        <w:rPr>
          <w:rFonts w:ascii="Arial" w:hAnsi="Arial"/>
          <w:sz w:val="22"/>
          <w:szCs w:val="22"/>
          <w:lang w:val="en-GB"/>
        </w:rPr>
        <w:t>:</w:t>
      </w:r>
    </w:p>
    <w:p w:rsidR="00E10A25" w:rsidRDefault="00E10A25">
      <w:pPr>
        <w:rPr>
          <w:lang w:val="en-GB"/>
        </w:rPr>
      </w:pPr>
    </w:p>
    <w:p w:rsidR="00E10A25" w:rsidRDefault="00E10A25">
      <w:pPr>
        <w:rPr>
          <w:i/>
          <w:sz w:val="22"/>
        </w:rPr>
      </w:pPr>
      <w:r>
        <w:rPr>
          <w:i/>
          <w:sz w:val="22"/>
        </w:rPr>
        <w:t>An assessment of the results and impact of the expert’s mission, relevant conclusions, including an evaluation of the degree of success in solving the problems encountered.  Provide an analysis and description of any additional training, expert services and equipment that are considered to be necessary if the project’s objectives are to be met.  Suggestions or recommendations made concerning future work should take into account the advisory role of the IAEA and the limitation on funds that may exist.</w:t>
      </w:r>
    </w:p>
    <w:p w:rsidR="00E10A25" w:rsidRDefault="00E10A25">
      <w:pPr>
        <w:rPr>
          <w:i/>
          <w:lang w:val="en-GB"/>
        </w:rPr>
      </w:pPr>
    </w:p>
    <w:p w:rsidR="00E10A25" w:rsidRDefault="00E10A25">
      <w:pPr>
        <w:rPr>
          <w:i/>
          <w:lang w:val="en-GB"/>
        </w:rPr>
        <w:sectPr w:rsidR="00E10A25">
          <w:type w:val="continuous"/>
          <w:pgSz w:w="11907" w:h="16840" w:code="9"/>
          <w:pgMar w:top="1440" w:right="1440" w:bottom="1440" w:left="1440" w:header="720" w:footer="720" w:gutter="0"/>
          <w:cols w:space="720"/>
          <w:docGrid w:linePitch="360"/>
        </w:sectPr>
      </w:pPr>
    </w:p>
    <w:p w:rsidR="00DC4F51" w:rsidRDefault="00DC4F51" w:rsidP="00DC4F51">
      <w:pPr>
        <w:rPr>
          <w:lang w:val="en-GB"/>
        </w:rPr>
      </w:pPr>
      <w:r>
        <w:rPr>
          <w:lang w:val="en-GB"/>
        </w:rPr>
        <w:lastRenderedPageBreak/>
        <w:t xml:space="preserve">The participants were from the Bushehr Nuclear Power Plant and from the Technical and Scientific Support Organization TAVAN. All together there were more than 30 participants; </w:t>
      </w:r>
      <w:r>
        <w:rPr>
          <w:lang w:val="en-GB"/>
        </w:rPr>
        <w:lastRenderedPageBreak/>
        <w:t>all of them very actively participated in the training course discussions. Due to the limited knowledge of English of some participants, a translation from English into Farsi and vice versa was conducted throughout duration of the training course. The training course was well received by all participants as was evident from their active participation and expression of satisfaction after the course.</w:t>
      </w:r>
    </w:p>
    <w:p w:rsidR="009D22F5" w:rsidRPr="00337C0E" w:rsidRDefault="009D22F5" w:rsidP="00DC4F51">
      <w:pPr>
        <w:rPr>
          <w:lang w:val="en-GB"/>
        </w:rPr>
      </w:pPr>
      <w:r>
        <w:rPr>
          <w:lang w:val="en-GB"/>
        </w:rPr>
        <w:t xml:space="preserve">During the course it has been emphasised that for successful event investigation process a full management support is essential and that </w:t>
      </w:r>
      <w:r w:rsidR="005A4435">
        <w:rPr>
          <w:lang w:val="en-GB"/>
        </w:rPr>
        <w:t>some, can also be limited training, in RCA methods is necessary also for the high level management in order for them to better understand the RCA process.</w:t>
      </w:r>
    </w:p>
    <w:p w:rsidR="00E10A25" w:rsidRDefault="00E10A25">
      <w:pPr>
        <w:rPr>
          <w:rFonts w:ascii="Arial" w:hAnsi="Arial"/>
          <w:b/>
          <w:sz w:val="22"/>
          <w:szCs w:val="22"/>
          <w:lang w:val="en-GB"/>
        </w:rPr>
      </w:pPr>
    </w:p>
    <w:p w:rsidR="00DC4F51" w:rsidRDefault="00DC4F51">
      <w:pPr>
        <w:rPr>
          <w:rFonts w:ascii="Arial" w:hAnsi="Arial"/>
          <w:b/>
          <w:sz w:val="22"/>
          <w:szCs w:val="22"/>
          <w:lang w:val="en-GB"/>
        </w:rPr>
        <w:sectPr w:rsidR="00DC4F51">
          <w:type w:val="continuous"/>
          <w:pgSz w:w="11907" w:h="16840" w:code="9"/>
          <w:pgMar w:top="1440" w:right="1440" w:bottom="1440" w:left="1440" w:header="720" w:footer="720" w:gutter="0"/>
          <w:cols w:space="720"/>
          <w:formProt w:val="0"/>
          <w:docGrid w:linePitch="360"/>
        </w:sectPr>
      </w:pPr>
    </w:p>
    <w:p w:rsidR="00E10A25" w:rsidRDefault="00E10A25">
      <w:pPr>
        <w:rPr>
          <w:lang w:val="en-GB"/>
        </w:rPr>
      </w:pPr>
      <w:r>
        <w:rPr>
          <w:rFonts w:ascii="Arial" w:hAnsi="Arial"/>
          <w:b/>
          <w:sz w:val="22"/>
          <w:szCs w:val="22"/>
          <w:lang w:val="en-GB"/>
        </w:rPr>
        <w:lastRenderedPageBreak/>
        <w:br w:type="page"/>
      </w:r>
      <w:r>
        <w:rPr>
          <w:rFonts w:ascii="Arial" w:hAnsi="Arial"/>
          <w:b/>
          <w:sz w:val="22"/>
          <w:szCs w:val="22"/>
          <w:lang w:val="en-GB"/>
        </w:rPr>
        <w:lastRenderedPageBreak/>
        <w:t>Recommendations</w:t>
      </w:r>
      <w:r>
        <w:rPr>
          <w:rFonts w:ascii="Arial" w:hAnsi="Arial"/>
          <w:sz w:val="22"/>
          <w:szCs w:val="22"/>
          <w:lang w:val="en-GB"/>
        </w:rPr>
        <w:t>:</w:t>
      </w:r>
    </w:p>
    <w:p w:rsidR="00E10A25" w:rsidRDefault="00E10A25">
      <w:pPr>
        <w:rPr>
          <w:i/>
          <w:sz w:val="20"/>
          <w:lang w:val="en-GB"/>
        </w:rPr>
      </w:pPr>
    </w:p>
    <w:p w:rsidR="00E10A25" w:rsidRDefault="00E10A25">
      <w:pPr>
        <w:rPr>
          <w:lang w:val="en-GB"/>
        </w:rPr>
      </w:pPr>
      <w:r>
        <w:rPr>
          <w:sz w:val="22"/>
          <w:lang w:val="en-GB"/>
        </w:rPr>
        <w:t>NOTE</w:t>
      </w:r>
      <w:r>
        <w:rPr>
          <w:i/>
          <w:sz w:val="22"/>
          <w:lang w:val="en-GB"/>
        </w:rPr>
        <w:t>: Each group of recommendations is a separate table. Please enter each recommendation in a separate row in the table. To enter a new row within each table, press the "TAB" key.</w:t>
      </w:r>
    </w:p>
    <w:p w:rsidR="00E10A25" w:rsidRDefault="00E10A2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t>Recommendations to the Counterpart Institution and National Counterpart: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Default="00DC4F51">
            <w:pPr>
              <w:rPr>
                <w:lang w:val="en-GB"/>
              </w:rPr>
            </w:pPr>
            <w:r>
              <w:rPr>
                <w:lang w:val="en-GB"/>
              </w:rPr>
              <w:lastRenderedPageBreak/>
              <w:t xml:space="preserve">Feedback of Operating Experience is a crucial element </w:t>
            </w:r>
            <w:r w:rsidR="000E2549">
              <w:rPr>
                <w:lang w:val="en-GB"/>
              </w:rPr>
              <w:t xml:space="preserve">of safe </w:t>
            </w:r>
            <w:r>
              <w:rPr>
                <w:lang w:val="en-GB"/>
              </w:rPr>
              <w:t>operation of nuclear power plants and therefore it is highly recommended to continue building a dedicated team in the utility as well as in the technical support organization</w:t>
            </w:r>
            <w:r w:rsidR="005A4435">
              <w:rPr>
                <w:lang w:val="en-GB"/>
              </w:rPr>
              <w:t xml:space="preserve"> for RCA. Management should also be given a limited training in order to better understand the importance of RCA in order to provide support for those efforts when necessary</w:t>
            </w:r>
            <w:r>
              <w:rPr>
                <w:lang w:val="en-GB"/>
              </w:rPr>
              <w:t>.</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Government: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Default="000E2549">
            <w:pPr>
              <w:rPr>
                <w:lang w:val="en-GB"/>
              </w:rPr>
            </w:pPr>
            <w:r>
              <w:rPr>
                <w:lang w:val="en-GB"/>
              </w:rPr>
              <w:lastRenderedPageBreak/>
              <w:t>The Government should continue to support efforts in Bushehr Nuclear Power Plant and in the technical support organizatio</w:t>
            </w:r>
            <w:r w:rsidR="006320CB">
              <w:rPr>
                <w:lang w:val="en-GB"/>
              </w:rPr>
              <w:t>n TAVANA in building</w:t>
            </w:r>
            <w:bookmarkStart w:id="6" w:name="_GoBack"/>
            <w:bookmarkEnd w:id="6"/>
            <w:r>
              <w:rPr>
                <w:lang w:val="en-GB"/>
              </w:rPr>
              <w:t xml:space="preserve"> effective teams for the analysis of the Feedback of Operation Experience.</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Agency:</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Default="000E2549">
            <w:pPr>
              <w:rPr>
                <w:lang w:val="en-GB"/>
              </w:rPr>
            </w:pPr>
            <w:r>
              <w:rPr>
                <w:lang w:val="en-GB"/>
              </w:rPr>
              <w:lastRenderedPageBreak/>
              <w:t>The IAEA should continue to support Iran in nuclear power plant safety activities through the established, dedicated TC projects.</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sectPr w:rsidR="00E10A25">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20" w:rsidRDefault="00F64520">
      <w:r>
        <w:separator/>
      </w:r>
    </w:p>
  </w:endnote>
  <w:endnote w:type="continuationSeparator" w:id="0">
    <w:p w:rsidR="00F64520" w:rsidRDefault="00F6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zyxClassification1"/>
    </w:pPr>
    <w:r>
      <w:fldChar w:fldCharType="begin"/>
    </w:r>
    <w:r>
      <w:instrText xml:space="preserve"> DOCPROPERTY "IaeaClassification"  \* MERGEFORMAT </w:instrText>
    </w:r>
    <w:r>
      <w:fldChar w:fldCharType="separate"/>
    </w:r>
    <w:r w:rsidR="007457B1">
      <w:rPr>
        <w:b w:val="0"/>
        <w:bCs w:val="0"/>
        <w:lang w:val="en-US"/>
      </w:rPr>
      <w:t>Error! Unknown document property name.</w:t>
    </w:r>
    <w:r>
      <w:fldChar w:fldCharType="end"/>
    </w:r>
  </w:p>
  <w:p w:rsidR="00E10A25" w:rsidRDefault="00E10A25">
    <w:pPr>
      <w:pStyle w:val="zyxClassification2"/>
    </w:pPr>
    <w:r>
      <w:fldChar w:fldCharType="begin"/>
    </w:r>
    <w:r>
      <w:instrText>DOCPROPERTY "IaeaClassification2"  \* MERGEFORMAT</w:instrText>
    </w:r>
    <w:r>
      <w:fldChar w:fldCharType="separate"/>
    </w:r>
    <w:r w:rsidR="007457B1">
      <w:rPr>
        <w:b/>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zyxClassification1"/>
    </w:pPr>
    <w:r>
      <w:fldChar w:fldCharType="begin"/>
    </w:r>
    <w:r>
      <w:instrText xml:space="preserve"> DOCPROPERTY "IaeaClassification"  \* MERGEFORMAT </w:instrText>
    </w:r>
    <w:r>
      <w:fldChar w:fldCharType="separate"/>
    </w:r>
    <w:r w:rsidR="007457B1">
      <w:rPr>
        <w:b w:val="0"/>
        <w:bCs w:val="0"/>
        <w:lang w:val="en-US"/>
      </w:rPr>
      <w:t>Error! Unknown document property name.</w:t>
    </w:r>
    <w:r>
      <w:fldChar w:fldCharType="end"/>
    </w:r>
  </w:p>
  <w:p w:rsidR="00E10A25" w:rsidRDefault="00E10A25">
    <w:pPr>
      <w:pStyle w:val="zyxClassification2"/>
    </w:pPr>
    <w:r>
      <w:fldChar w:fldCharType="begin"/>
    </w:r>
    <w:r>
      <w:instrText>DOCPROPERTY "IaeaClassification2"  \* MERGEFORMAT</w:instrText>
    </w:r>
    <w:r>
      <w:fldChar w:fldCharType="separate"/>
    </w:r>
    <w:r w:rsidR="007457B1">
      <w:rPr>
        <w:b/>
        <w:bCs/>
        <w:lang w:val="en-US"/>
      </w:rPr>
      <w:t>Error! Unknown document property name.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spacing w:before="240"/>
      <w:jc w:val="center"/>
      <w:rPr>
        <w:rFonts w:ascii="Arial" w:hAnsi="Arial" w:cs="Arial"/>
        <w:bCs/>
        <w:sz w:val="18"/>
      </w:rPr>
    </w:pPr>
    <w:r>
      <w:rPr>
        <w:rFonts w:ascii="Arial" w:hAnsi="Arial" w:cs="Arial"/>
        <w:bCs/>
        <w:sz w:val="18"/>
      </w:rPr>
      <w:t>Wagramerstrasse 5, P.O. Box 100, A-1400 Vienna (Austria)</w:t>
    </w:r>
  </w:p>
  <w:p w:rsidR="00E10A25" w:rsidRDefault="00E10A25">
    <w:pPr>
      <w:jc w:val="center"/>
      <w:rPr>
        <w:rFonts w:ascii="Arial" w:hAnsi="Arial" w:cs="Arial"/>
        <w:bCs/>
        <w:sz w:val="18"/>
      </w:rPr>
    </w:pPr>
    <w:r>
      <w:rPr>
        <w:rFonts w:ascii="Arial" w:hAnsi="Arial" w:cs="Arial"/>
        <w:bCs/>
        <w:sz w:val="18"/>
      </w:rPr>
      <w:t xml:space="preserve">Tel: (+43 1) 2600,  Fax: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xml:space="preserve">,  TC Web site: </w:t>
    </w:r>
    <w:hyperlink r:id="rId1" w:history="1">
      <w:r>
        <w:rPr>
          <w:rStyle w:val="Hyperlink"/>
          <w:rFonts w:ascii="Arial" w:hAnsi="Arial" w:cs="Arial"/>
          <w:bCs/>
          <w:sz w:val="18"/>
        </w:rPr>
        <w:t>http://www-tc.iaea.org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20" w:rsidRDefault="00F64520">
      <w:r>
        <w:separator/>
      </w:r>
    </w:p>
  </w:footnote>
  <w:footnote w:type="continuationSeparator" w:id="0">
    <w:p w:rsidR="00F64520" w:rsidRDefault="00F6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Header"/>
    </w:pPr>
    <w:r>
      <w:t>TC Regional Project concept</w:t>
    </w:r>
    <w:r>
      <w:tab/>
    </w:r>
    <w:r>
      <w:tab/>
    </w:r>
    <w:r>
      <w:tab/>
    </w:r>
    <w:r>
      <w:tab/>
    </w:r>
    <w:r>
      <w:tab/>
    </w:r>
    <w:r>
      <w:tab/>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5" w:rsidRDefault="00E10A25">
    <w:pPr>
      <w:pStyle w:val="Header"/>
      <w:rPr>
        <w:sz w:val="8"/>
      </w:rPr>
    </w:pPr>
    <w:r>
      <w:t xml:space="preserve">Page </w:t>
    </w:r>
    <w:r>
      <w:fldChar w:fldCharType="begin"/>
    </w:r>
    <w:r>
      <w:instrText xml:space="preserve"> PAGE </w:instrText>
    </w:r>
    <w:r>
      <w:fldChar w:fldCharType="separate"/>
    </w:r>
    <w:r w:rsidR="006320CB">
      <w:rPr>
        <w:noProof/>
      </w:rPr>
      <w:t>5</w:t>
    </w:r>
    <w:r>
      <w:fldChar w:fldCharType="end"/>
    </w:r>
  </w:p>
  <w:p w:rsidR="00E10A25" w:rsidRDefault="00E10A25">
    <w:pPr>
      <w:jc w:val="right"/>
      <w:rPr>
        <w:sz w:val="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D63DFA"/>
    <w:lvl w:ilvl="0">
      <w:numFmt w:val="bullet"/>
      <w:lvlText w:val="*"/>
      <w:lvlJc w:val="left"/>
    </w:lvl>
  </w:abstractNum>
  <w:abstractNum w:abstractNumId="1">
    <w:nsid w:val="08E4496E"/>
    <w:multiLevelType w:val="hybridMultilevel"/>
    <w:tmpl w:val="6592F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3">
    <w:nsid w:val="72E16932"/>
    <w:multiLevelType w:val="hybridMultilevel"/>
    <w:tmpl w:val="84424AD8"/>
    <w:lvl w:ilvl="0" w:tplc="B32C215E">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7Exy0W8MEiBNUQcfkTHIz6bmHI=" w:salt="WLuRI/UggoT/c4VUZp6Jzw=="/>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CEOMRpt" w:val="TCEOMRptOK"/>
  </w:docVars>
  <w:rsids>
    <w:rsidRoot w:val="007457B1"/>
    <w:rsid w:val="000070DC"/>
    <w:rsid w:val="000E2549"/>
    <w:rsid w:val="001E0391"/>
    <w:rsid w:val="002506B3"/>
    <w:rsid w:val="00337C0E"/>
    <w:rsid w:val="00341534"/>
    <w:rsid w:val="00533D58"/>
    <w:rsid w:val="005A4435"/>
    <w:rsid w:val="006262C1"/>
    <w:rsid w:val="006320CB"/>
    <w:rsid w:val="007457B1"/>
    <w:rsid w:val="007B39D1"/>
    <w:rsid w:val="009D22F5"/>
    <w:rsid w:val="00A247C5"/>
    <w:rsid w:val="00DC4F51"/>
    <w:rsid w:val="00DF5FA2"/>
    <w:rsid w:val="00E10A25"/>
    <w:rsid w:val="00E64BBD"/>
    <w:rsid w:val="00EB2D50"/>
    <w:rsid w:val="00F64520"/>
    <w:rsid w:val="00F6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next w:val="Normal"/>
    <w:qFormat/>
    <w:pPr>
      <w:widowControl w:val="0"/>
      <w:numPr>
        <w:numId w:val="1"/>
      </w:numPr>
      <w:spacing w:before="851" w:after="390" w:line="360" w:lineRule="exact"/>
      <w:outlineLvl w:val="0"/>
    </w:pPr>
    <w:rPr>
      <w:rFonts w:eastAsia="Times New Roman"/>
      <w:b/>
      <w:sz w:val="32"/>
      <w:lang w:val="en-GB"/>
    </w:rPr>
  </w:style>
  <w:style w:type="paragraph" w:styleId="Heading2">
    <w:name w:val="heading 2"/>
    <w:next w:val="Normal"/>
    <w:qFormat/>
    <w:pPr>
      <w:widowControl w:val="0"/>
      <w:numPr>
        <w:ilvl w:val="1"/>
        <w:numId w:val="1"/>
      </w:numPr>
      <w:spacing w:after="200" w:line="320" w:lineRule="exact"/>
      <w:outlineLvl w:val="1"/>
    </w:pPr>
    <w:rPr>
      <w:rFonts w:eastAsia="Times New Roman"/>
      <w:b/>
      <w:sz w:val="28"/>
      <w:lang w:val="en-GB"/>
    </w:rPr>
  </w:style>
  <w:style w:type="paragraph" w:styleId="Heading3">
    <w:name w:val="heading 3"/>
    <w:next w:val="Normal"/>
    <w:qFormat/>
    <w:pPr>
      <w:widowControl w:val="0"/>
      <w:numPr>
        <w:ilvl w:val="2"/>
        <w:numId w:val="1"/>
      </w:numPr>
      <w:spacing w:after="200" w:line="320" w:lineRule="exact"/>
      <w:outlineLvl w:val="2"/>
    </w:pPr>
    <w:rPr>
      <w:rFonts w:eastAsia="Times New Roman"/>
      <w:b/>
      <w:sz w:val="24"/>
      <w:lang w:val="en-GB"/>
    </w:rPr>
  </w:style>
  <w:style w:type="paragraph" w:styleId="Heading8">
    <w:name w:val="heading 8"/>
    <w:basedOn w:val="Normal"/>
    <w:next w:val="Normal"/>
    <w:qFormat/>
    <w:pPr>
      <w:spacing w:before="240" w:after="60"/>
      <w:outlineLvl w:val="7"/>
    </w:pPr>
    <w:rPr>
      <w:rFonts w:eastAsia="Times New Roman"/>
      <w:i/>
      <w:iCs/>
      <w:sz w:val="22"/>
      <w:lang w:eastAsia="en-US"/>
    </w:rPr>
  </w:style>
  <w:style w:type="paragraph" w:styleId="Heading9">
    <w:name w:val="heading 9"/>
    <w:basedOn w:val="Normal"/>
    <w:next w:val="Normal"/>
    <w:qFormat/>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zyxConfidBlack">
    <w:name w:val="zyxConfidBlack"/>
    <w:basedOn w:val="Normal"/>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Normal"/>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BodyText"/>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Footer"/>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Hyperlink">
    <w:name w:val="Hyperlink"/>
    <w:basedOn w:val="DefaultParagraphFont"/>
    <w:rPr>
      <w:color w:val="auto"/>
      <w:u w:val="none"/>
    </w:rPr>
  </w:style>
  <w:style w:type="paragraph" w:styleId="BodyText">
    <w:name w:val="Body Text"/>
    <w:basedOn w:val="Normal"/>
    <w:pPr>
      <w:spacing w:after="120"/>
    </w:pPr>
  </w:style>
  <w:style w:type="paragraph" w:customStyle="1" w:styleId="Label2">
    <w:name w:val="Label 2"/>
    <w:basedOn w:val="Normal"/>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BalloonText">
    <w:name w:val="Balloon Text"/>
    <w:basedOn w:val="Normal"/>
    <w:link w:val="BalloonTextChar"/>
    <w:rsid w:val="007457B1"/>
    <w:rPr>
      <w:rFonts w:ascii="Tahoma" w:hAnsi="Tahoma" w:cs="Tahoma"/>
      <w:sz w:val="16"/>
      <w:szCs w:val="16"/>
    </w:rPr>
  </w:style>
  <w:style w:type="character" w:customStyle="1" w:styleId="BalloonTextChar">
    <w:name w:val="Balloon Text Char"/>
    <w:basedOn w:val="DefaultParagraphFont"/>
    <w:link w:val="BalloonText"/>
    <w:rsid w:val="007457B1"/>
    <w:rPr>
      <w:rFonts w:ascii="Tahoma" w:hAnsi="Tahoma" w:cs="Tahoma"/>
      <w:sz w:val="16"/>
      <w:szCs w:val="16"/>
      <w:lang w:eastAsia="zh-CN"/>
    </w:rPr>
  </w:style>
  <w:style w:type="paragraph" w:styleId="ListParagraph">
    <w:name w:val="List Paragraph"/>
    <w:basedOn w:val="Normal"/>
    <w:uiPriority w:val="34"/>
    <w:qFormat/>
    <w:rsid w:val="00E64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next w:val="Normal"/>
    <w:qFormat/>
    <w:pPr>
      <w:widowControl w:val="0"/>
      <w:numPr>
        <w:numId w:val="1"/>
      </w:numPr>
      <w:spacing w:before="851" w:after="390" w:line="360" w:lineRule="exact"/>
      <w:outlineLvl w:val="0"/>
    </w:pPr>
    <w:rPr>
      <w:rFonts w:eastAsia="Times New Roman"/>
      <w:b/>
      <w:sz w:val="32"/>
      <w:lang w:val="en-GB"/>
    </w:rPr>
  </w:style>
  <w:style w:type="paragraph" w:styleId="Heading2">
    <w:name w:val="heading 2"/>
    <w:next w:val="Normal"/>
    <w:qFormat/>
    <w:pPr>
      <w:widowControl w:val="0"/>
      <w:numPr>
        <w:ilvl w:val="1"/>
        <w:numId w:val="1"/>
      </w:numPr>
      <w:spacing w:after="200" w:line="320" w:lineRule="exact"/>
      <w:outlineLvl w:val="1"/>
    </w:pPr>
    <w:rPr>
      <w:rFonts w:eastAsia="Times New Roman"/>
      <w:b/>
      <w:sz w:val="28"/>
      <w:lang w:val="en-GB"/>
    </w:rPr>
  </w:style>
  <w:style w:type="paragraph" w:styleId="Heading3">
    <w:name w:val="heading 3"/>
    <w:next w:val="Normal"/>
    <w:qFormat/>
    <w:pPr>
      <w:widowControl w:val="0"/>
      <w:numPr>
        <w:ilvl w:val="2"/>
        <w:numId w:val="1"/>
      </w:numPr>
      <w:spacing w:after="200" w:line="320" w:lineRule="exact"/>
      <w:outlineLvl w:val="2"/>
    </w:pPr>
    <w:rPr>
      <w:rFonts w:eastAsia="Times New Roman"/>
      <w:b/>
      <w:sz w:val="24"/>
      <w:lang w:val="en-GB"/>
    </w:rPr>
  </w:style>
  <w:style w:type="paragraph" w:styleId="Heading8">
    <w:name w:val="heading 8"/>
    <w:basedOn w:val="Normal"/>
    <w:next w:val="Normal"/>
    <w:qFormat/>
    <w:pPr>
      <w:spacing w:before="240" w:after="60"/>
      <w:outlineLvl w:val="7"/>
    </w:pPr>
    <w:rPr>
      <w:rFonts w:eastAsia="Times New Roman"/>
      <w:i/>
      <w:iCs/>
      <w:sz w:val="22"/>
      <w:lang w:eastAsia="en-US"/>
    </w:rPr>
  </w:style>
  <w:style w:type="paragraph" w:styleId="Heading9">
    <w:name w:val="heading 9"/>
    <w:basedOn w:val="Normal"/>
    <w:next w:val="Normal"/>
    <w:qFormat/>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zyxConfidBlack">
    <w:name w:val="zyxConfidBlack"/>
    <w:basedOn w:val="Normal"/>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Normal"/>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BodyText"/>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Footer"/>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Hyperlink">
    <w:name w:val="Hyperlink"/>
    <w:basedOn w:val="DefaultParagraphFont"/>
    <w:rPr>
      <w:color w:val="auto"/>
      <w:u w:val="none"/>
    </w:rPr>
  </w:style>
  <w:style w:type="paragraph" w:styleId="BodyText">
    <w:name w:val="Body Text"/>
    <w:basedOn w:val="Normal"/>
    <w:pPr>
      <w:spacing w:after="120"/>
    </w:pPr>
  </w:style>
  <w:style w:type="paragraph" w:customStyle="1" w:styleId="Label2">
    <w:name w:val="Label 2"/>
    <w:basedOn w:val="Normal"/>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BalloonText">
    <w:name w:val="Balloon Text"/>
    <w:basedOn w:val="Normal"/>
    <w:link w:val="BalloonTextChar"/>
    <w:rsid w:val="007457B1"/>
    <w:rPr>
      <w:rFonts w:ascii="Tahoma" w:hAnsi="Tahoma" w:cs="Tahoma"/>
      <w:sz w:val="16"/>
      <w:szCs w:val="16"/>
    </w:rPr>
  </w:style>
  <w:style w:type="character" w:customStyle="1" w:styleId="BalloonTextChar">
    <w:name w:val="Balloon Text Char"/>
    <w:basedOn w:val="DefaultParagraphFont"/>
    <w:link w:val="BalloonText"/>
    <w:rsid w:val="007457B1"/>
    <w:rPr>
      <w:rFonts w:ascii="Tahoma" w:hAnsi="Tahoma" w:cs="Tahoma"/>
      <w:sz w:val="16"/>
      <w:szCs w:val="16"/>
      <w:lang w:eastAsia="zh-CN"/>
    </w:rPr>
  </w:style>
  <w:style w:type="paragraph" w:styleId="ListParagraph">
    <w:name w:val="List Paragraph"/>
    <w:basedOn w:val="Normal"/>
    <w:uiPriority w:val="34"/>
    <w:qFormat/>
    <w:rsid w:val="00E64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tc.ia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End%20of%20Mission%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389D-B0CD-4C3C-B9E2-6DF017C7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 of Mission Report</Template>
  <TotalTime>59</TotalTime>
  <Pages>6</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End of Mission Report</vt:lpstr>
    </vt:vector>
  </TitlesOfParts>
  <Company>IAEA</Company>
  <LinksUpToDate>false</LinksUpToDate>
  <CharactersWithSpaces>6226</CharactersWithSpaces>
  <SharedDoc>false</SharedDoc>
  <HLinks>
    <vt:vector size="6" baseType="variant">
      <vt:variant>
        <vt:i4>7929952</vt:i4>
      </vt:variant>
      <vt:variant>
        <vt:i4>18</vt:i4>
      </vt:variant>
      <vt:variant>
        <vt:i4>0</vt:i4>
      </vt:variant>
      <vt:variant>
        <vt:i4>5</vt:i4>
      </vt:variant>
      <vt:variant>
        <vt:lpwstr>http://www-tc.iaea.org/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Mission Report</dc:title>
  <dc:creator>WALLECZEK, Susanne</dc:creator>
  <cp:lastModifiedBy>MD</cp:lastModifiedBy>
  <cp:revision>5</cp:revision>
  <cp:lastPrinted>2007-03-29T15:08:00Z</cp:lastPrinted>
  <dcterms:created xsi:type="dcterms:W3CDTF">2017-10-08T11:29:00Z</dcterms:created>
  <dcterms:modified xsi:type="dcterms:W3CDTF">2017-10-09T11:24:00Z</dcterms:modified>
</cp:coreProperties>
</file>