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34F97" w14:textId="25E8E9C5" w:rsidR="00604D6D" w:rsidRDefault="005A4F43">
      <w:r>
        <w:t xml:space="preserve">The below table comprises </w:t>
      </w:r>
      <w:r w:rsidR="00E96908">
        <w:t>the observations and recommendations</w:t>
      </w:r>
      <w:r w:rsidR="00BD7003">
        <w:t xml:space="preserve"> made by </w:t>
      </w:r>
      <w:r w:rsidR="00E96908">
        <w:t>the IAEA Technical Working Group on Nuclear Power Plant Operat</w:t>
      </w:r>
      <w:r w:rsidR="0012499F">
        <w:t>ions (TWG-NPPOPS)</w:t>
      </w:r>
      <w:r w:rsidR="00BD7003">
        <w:t xml:space="preserve"> during its third meeting, conducted 11-12 May 2021</w:t>
      </w:r>
      <w:r w:rsidR="0012499F">
        <w:t>.</w:t>
      </w:r>
    </w:p>
    <w:tbl>
      <w:tblPr>
        <w:tblStyle w:val="TableGrid"/>
        <w:tblW w:w="15454" w:type="dxa"/>
        <w:tblLook w:val="04A0" w:firstRow="1" w:lastRow="0" w:firstColumn="1" w:lastColumn="0" w:noHBand="0" w:noVBand="1"/>
      </w:tblPr>
      <w:tblGrid>
        <w:gridCol w:w="846"/>
        <w:gridCol w:w="7087"/>
        <w:gridCol w:w="6096"/>
        <w:gridCol w:w="1425"/>
      </w:tblGrid>
      <w:tr w:rsidR="00E42164" w14:paraId="4939CF3E" w14:textId="77777777" w:rsidTr="00392817">
        <w:trPr>
          <w:cantSplit/>
          <w:trHeight w:val="20"/>
          <w:tblHeader/>
        </w:trPr>
        <w:tc>
          <w:tcPr>
            <w:tcW w:w="846" w:type="dxa"/>
            <w:shd w:val="clear" w:color="auto" w:fill="4472C4" w:themeFill="accent1"/>
          </w:tcPr>
          <w:p w14:paraId="4EC1AD21" w14:textId="77777777" w:rsidR="00E42164" w:rsidRPr="00E42164" w:rsidRDefault="00E42164">
            <w:pPr>
              <w:rPr>
                <w:color w:val="FFFFFF" w:themeColor="background1"/>
              </w:rPr>
            </w:pPr>
          </w:p>
        </w:tc>
        <w:tc>
          <w:tcPr>
            <w:tcW w:w="7087" w:type="dxa"/>
            <w:shd w:val="clear" w:color="auto" w:fill="4472C4" w:themeFill="accent1"/>
          </w:tcPr>
          <w:p w14:paraId="771BA918" w14:textId="64581918" w:rsidR="00E42164" w:rsidRPr="00EC395C" w:rsidRDefault="00E42164" w:rsidP="00E42164">
            <w:pPr>
              <w:jc w:val="center"/>
              <w:rPr>
                <w:color w:val="FFFFFF" w:themeColor="background1"/>
                <w:sz w:val="32"/>
                <w:szCs w:val="32"/>
              </w:rPr>
            </w:pPr>
            <w:r w:rsidRPr="00EC395C">
              <w:rPr>
                <w:color w:val="FFFFFF" w:themeColor="background1"/>
                <w:sz w:val="32"/>
                <w:szCs w:val="32"/>
              </w:rPr>
              <w:t>Observation</w:t>
            </w:r>
            <w:r w:rsidR="0019472A" w:rsidRPr="00EC395C">
              <w:rPr>
                <w:color w:val="FFFFFF" w:themeColor="background1"/>
                <w:sz w:val="32"/>
                <w:szCs w:val="32"/>
              </w:rPr>
              <w:t>s</w:t>
            </w:r>
          </w:p>
        </w:tc>
        <w:tc>
          <w:tcPr>
            <w:tcW w:w="6096" w:type="dxa"/>
            <w:shd w:val="clear" w:color="auto" w:fill="4472C4" w:themeFill="accent1"/>
          </w:tcPr>
          <w:p w14:paraId="7B330350" w14:textId="22C7AB00" w:rsidR="00E42164" w:rsidRPr="00EC395C" w:rsidRDefault="00E42164" w:rsidP="00E42164">
            <w:pPr>
              <w:jc w:val="center"/>
              <w:rPr>
                <w:color w:val="FFFFFF" w:themeColor="background1"/>
                <w:sz w:val="32"/>
                <w:szCs w:val="32"/>
              </w:rPr>
            </w:pPr>
            <w:r w:rsidRPr="00EC395C">
              <w:rPr>
                <w:color w:val="FFFFFF" w:themeColor="background1"/>
                <w:sz w:val="32"/>
                <w:szCs w:val="32"/>
              </w:rPr>
              <w:t>Recommendation</w:t>
            </w:r>
            <w:r w:rsidR="0019472A" w:rsidRPr="00EC395C">
              <w:rPr>
                <w:color w:val="FFFFFF" w:themeColor="background1"/>
                <w:sz w:val="32"/>
                <w:szCs w:val="32"/>
              </w:rPr>
              <w:t>s</w:t>
            </w:r>
          </w:p>
        </w:tc>
        <w:tc>
          <w:tcPr>
            <w:tcW w:w="1425" w:type="dxa"/>
            <w:shd w:val="clear" w:color="auto" w:fill="4472C4" w:themeFill="accent1"/>
          </w:tcPr>
          <w:p w14:paraId="6F130F2B" w14:textId="4008DD2B" w:rsidR="00E42164" w:rsidRPr="00EC395C" w:rsidRDefault="00DB52E1" w:rsidP="00E42164">
            <w:pPr>
              <w:jc w:val="center"/>
              <w:rPr>
                <w:color w:val="FFFFFF" w:themeColor="background1"/>
                <w:sz w:val="32"/>
                <w:szCs w:val="32"/>
              </w:rPr>
            </w:pPr>
            <w:r>
              <w:rPr>
                <w:color w:val="FFFFFF" w:themeColor="background1"/>
                <w:sz w:val="32"/>
                <w:szCs w:val="32"/>
              </w:rPr>
              <w:t>Sections</w:t>
            </w:r>
          </w:p>
        </w:tc>
      </w:tr>
      <w:tr w:rsidR="00E42164" w14:paraId="59FF52A8" w14:textId="77777777" w:rsidTr="00AC37BE">
        <w:trPr>
          <w:cantSplit/>
          <w:trHeight w:val="20"/>
        </w:trPr>
        <w:tc>
          <w:tcPr>
            <w:tcW w:w="15454" w:type="dxa"/>
            <w:gridSpan w:val="4"/>
            <w:shd w:val="clear" w:color="auto" w:fill="000000" w:themeFill="text1"/>
          </w:tcPr>
          <w:p w14:paraId="0DE309E5" w14:textId="0C3ACE83" w:rsidR="00E42164" w:rsidRPr="00EC395C" w:rsidRDefault="00E42164" w:rsidP="0019472A">
            <w:pPr>
              <w:pStyle w:val="ListParagraph"/>
              <w:numPr>
                <w:ilvl w:val="0"/>
                <w:numId w:val="2"/>
              </w:numPr>
              <w:rPr>
                <w:b/>
                <w:bCs/>
                <w:sz w:val="24"/>
                <w:szCs w:val="24"/>
              </w:rPr>
            </w:pPr>
            <w:r w:rsidRPr="00EC395C">
              <w:rPr>
                <w:b/>
                <w:bCs/>
                <w:sz w:val="24"/>
                <w:szCs w:val="24"/>
              </w:rPr>
              <w:t>Operational Excellence</w:t>
            </w:r>
          </w:p>
        </w:tc>
      </w:tr>
      <w:tr w:rsidR="00507164" w14:paraId="15F61917" w14:textId="77777777" w:rsidTr="00392817">
        <w:trPr>
          <w:cantSplit/>
          <w:trHeight w:val="20"/>
        </w:trPr>
        <w:tc>
          <w:tcPr>
            <w:tcW w:w="846" w:type="dxa"/>
          </w:tcPr>
          <w:p w14:paraId="3312E746" w14:textId="77777777" w:rsidR="00507164" w:rsidRDefault="00507164" w:rsidP="0019472A">
            <w:pPr>
              <w:pStyle w:val="ListParagraph"/>
              <w:numPr>
                <w:ilvl w:val="1"/>
                <w:numId w:val="1"/>
              </w:numPr>
              <w:ind w:left="458"/>
            </w:pPr>
          </w:p>
        </w:tc>
        <w:tc>
          <w:tcPr>
            <w:tcW w:w="7087" w:type="dxa"/>
          </w:tcPr>
          <w:p w14:paraId="1D5EC0AF" w14:textId="5EC4BD1F" w:rsidR="00507164" w:rsidRDefault="00507164">
            <w:r>
              <w:t xml:space="preserve">There are </w:t>
            </w:r>
            <w:r w:rsidR="00023933">
              <w:t>several</w:t>
            </w:r>
            <w:r>
              <w:t xml:space="preserve"> approaches to </w:t>
            </w:r>
            <w:r w:rsidR="006838D3">
              <w:t>excellence</w:t>
            </w:r>
            <w:r w:rsidR="001F1E5E">
              <w:t xml:space="preserve"> in the nuclear industry</w:t>
            </w:r>
            <w:r w:rsidR="006838D3">
              <w:t>—</w:t>
            </w:r>
            <w:r>
              <w:t xml:space="preserve">operational </w:t>
            </w:r>
            <w:r w:rsidR="006838D3">
              <w:t>or othe</w:t>
            </w:r>
            <w:r w:rsidR="00E8567C">
              <w:t>r. On</w:t>
            </w:r>
            <w:r w:rsidR="00845A71">
              <w:t>e</w:t>
            </w:r>
            <w:r w:rsidR="00E8567C">
              <w:t xml:space="preserve"> example is nuclear safety culture. </w:t>
            </w:r>
            <w:r w:rsidR="00F52355">
              <w:t>Considered as a whole, t</w:t>
            </w:r>
            <w:r w:rsidR="00E8567C">
              <w:t xml:space="preserve">hese </w:t>
            </w:r>
            <w:r w:rsidR="00F52355">
              <w:t xml:space="preserve">approaches </w:t>
            </w:r>
            <w:r>
              <w:t>differ in many aspects.</w:t>
            </w:r>
          </w:p>
          <w:p w14:paraId="059C19D5" w14:textId="77777777" w:rsidR="00507164" w:rsidRDefault="00507164"/>
          <w:p w14:paraId="696DEC9D" w14:textId="7A66B1BE" w:rsidR="00507164" w:rsidRDefault="00507164">
            <w:r w:rsidRPr="00507164">
              <w:t>The IAEA and WANO have unique, but related mandates.</w:t>
            </w:r>
          </w:p>
          <w:p w14:paraId="626B954F" w14:textId="77777777" w:rsidR="00507164" w:rsidRDefault="00507164"/>
          <w:p w14:paraId="65EB4541" w14:textId="77777777" w:rsidR="00507164" w:rsidRDefault="00507164" w:rsidP="009B498F">
            <w:r>
              <w:t>The IAEA is an inter-governmental organization, accountable to it</w:t>
            </w:r>
            <w:r w:rsidR="3C62E687">
              <w:t>s</w:t>
            </w:r>
            <w:r>
              <w:t xml:space="preserve"> Member States.</w:t>
            </w:r>
            <w:r w:rsidR="009B498F">
              <w:t xml:space="preserve"> </w:t>
            </w:r>
            <w:r>
              <w:t>WANO is an industry-based organization, accountable to its member organizations.</w:t>
            </w:r>
          </w:p>
          <w:p w14:paraId="008F4E7F" w14:textId="77777777" w:rsidR="00332E2B" w:rsidRDefault="00332E2B" w:rsidP="009B498F"/>
          <w:p w14:paraId="14C30EB1" w14:textId="77777777" w:rsidR="00332E2B" w:rsidRPr="00332E2B" w:rsidRDefault="00332E2B" w:rsidP="00332E2B">
            <w:r w:rsidRPr="00332E2B">
              <w:t>There are discussions in the industry on how business (financial) success is achieved through operational excellence and how excellence in safety supports this success.</w:t>
            </w:r>
          </w:p>
          <w:p w14:paraId="1A176AC1" w14:textId="77777777" w:rsidR="00332E2B" w:rsidRPr="00332E2B" w:rsidRDefault="00332E2B" w:rsidP="00332E2B"/>
          <w:p w14:paraId="773F4603" w14:textId="1C10DA21" w:rsidR="00332E2B" w:rsidRDefault="00332E2B" w:rsidP="00332E2B">
            <w:r w:rsidRPr="00332E2B">
              <w:t xml:space="preserve">Risk informed decision making is accepted generally in the nuclear industry. However, there are countries where regulatory bodies are reluctant to accept justifications based on risk informed </w:t>
            </w:r>
            <w:r w:rsidR="00062A26" w:rsidRPr="00332E2B">
              <w:t>decision-making</w:t>
            </w:r>
            <w:r w:rsidRPr="00332E2B">
              <w:t xml:space="preserve"> process.</w:t>
            </w:r>
          </w:p>
        </w:tc>
        <w:tc>
          <w:tcPr>
            <w:tcW w:w="6096" w:type="dxa"/>
          </w:tcPr>
          <w:p w14:paraId="365CA914" w14:textId="4A7D17FE" w:rsidR="00507164" w:rsidRDefault="00507164">
            <w:r>
              <w:t>Invite WANO and other international stakeholder</w:t>
            </w:r>
            <w:r w:rsidR="4C349D4B">
              <w:t>(s)</w:t>
            </w:r>
            <w:r>
              <w:t xml:space="preserve"> as appropriate to collaborate on a white paper communicating a common understanding of excellence, including, for example who ‘owns’ excellence; the utility?, the plant?, suppliers?, the individual?</w:t>
            </w:r>
            <w:r w:rsidR="00170B61">
              <w:t xml:space="preserve">. </w:t>
            </w:r>
            <w:r w:rsidR="0008091B">
              <w:t>Also include business excellence</w:t>
            </w:r>
            <w:r w:rsidR="00FE7622">
              <w:t xml:space="preserve"> and risk informed decision making.</w:t>
            </w:r>
          </w:p>
          <w:p w14:paraId="761255E1" w14:textId="346F4415" w:rsidR="00507164" w:rsidRDefault="00507164"/>
          <w:p w14:paraId="2B93AA67" w14:textId="5DBF397A" w:rsidR="00507164" w:rsidRPr="00266AA0" w:rsidRDefault="00507164">
            <w:pPr>
              <w:rPr>
                <w:b/>
                <w:bCs/>
                <w:i/>
                <w:iCs/>
              </w:rPr>
            </w:pPr>
            <w:r>
              <w:rPr>
                <w:b/>
                <w:bCs/>
                <w:i/>
                <w:iCs/>
              </w:rPr>
              <w:t xml:space="preserve">TWG </w:t>
            </w:r>
            <w:r w:rsidRPr="00266AA0">
              <w:rPr>
                <w:b/>
                <w:bCs/>
                <w:i/>
                <w:iCs/>
              </w:rPr>
              <w:t>Comment</w:t>
            </w:r>
          </w:p>
          <w:p w14:paraId="6AF77902" w14:textId="77777777" w:rsidR="00507164" w:rsidRDefault="00507164" w:rsidP="00730FB5">
            <w:pPr>
              <w:pStyle w:val="ListParagraph"/>
              <w:numPr>
                <w:ilvl w:val="0"/>
                <w:numId w:val="6"/>
              </w:numPr>
              <w:rPr>
                <w:i/>
                <w:iCs/>
              </w:rPr>
            </w:pPr>
            <w:r w:rsidRPr="00730FB5">
              <w:rPr>
                <w:i/>
                <w:iCs/>
              </w:rPr>
              <w:t>By applying their unique operational mandates and each tapping their stakeholder communities, collaboration to seek operational excellence might be more effective.</w:t>
            </w:r>
          </w:p>
          <w:p w14:paraId="516DDC45" w14:textId="32EA236F" w:rsidR="00294876" w:rsidRPr="00730FB5" w:rsidRDefault="00294876" w:rsidP="00730FB5">
            <w:pPr>
              <w:pStyle w:val="ListParagraph"/>
              <w:numPr>
                <w:ilvl w:val="0"/>
                <w:numId w:val="6"/>
              </w:numPr>
              <w:rPr>
                <w:i/>
                <w:iCs/>
              </w:rPr>
            </w:pPr>
            <w:r>
              <w:t>Consider beginning the discussion by describing the gap to be closed by the IAEA’s work.</w:t>
            </w:r>
          </w:p>
        </w:tc>
        <w:tc>
          <w:tcPr>
            <w:tcW w:w="1425" w:type="dxa"/>
          </w:tcPr>
          <w:p w14:paraId="7C775350" w14:textId="77777777" w:rsidR="00507164" w:rsidRPr="00AE0F14" w:rsidRDefault="00507164">
            <w:r w:rsidRPr="00AE0F14">
              <w:t>NPES</w:t>
            </w:r>
          </w:p>
          <w:p w14:paraId="7EA83494" w14:textId="225F3E89" w:rsidR="001636BE" w:rsidRPr="00E6090E" w:rsidRDefault="00903175" w:rsidP="00AE0F14">
            <w:r w:rsidRPr="00AE0F14">
              <w:t>OSS</w:t>
            </w:r>
          </w:p>
        </w:tc>
      </w:tr>
      <w:tr w:rsidR="00392817" w14:paraId="76B3C742" w14:textId="77777777" w:rsidTr="00392817">
        <w:trPr>
          <w:cantSplit/>
          <w:trHeight w:val="20"/>
        </w:trPr>
        <w:tc>
          <w:tcPr>
            <w:tcW w:w="846" w:type="dxa"/>
          </w:tcPr>
          <w:p w14:paraId="48FD400C" w14:textId="77777777" w:rsidR="00392817" w:rsidRDefault="00392817" w:rsidP="00392817">
            <w:pPr>
              <w:pStyle w:val="ListParagraph"/>
              <w:numPr>
                <w:ilvl w:val="1"/>
                <w:numId w:val="1"/>
              </w:numPr>
              <w:ind w:left="458"/>
            </w:pPr>
          </w:p>
        </w:tc>
        <w:tc>
          <w:tcPr>
            <w:tcW w:w="7087" w:type="dxa"/>
          </w:tcPr>
          <w:p w14:paraId="027DE07C" w14:textId="77777777" w:rsidR="00392817" w:rsidRDefault="00392817" w:rsidP="00392817">
            <w:r w:rsidRPr="006A0585">
              <w:t>WANO and the IAEA improved their cooperation in the last decade.</w:t>
            </w:r>
          </w:p>
          <w:p w14:paraId="32199A36" w14:textId="77777777" w:rsidR="00392817" w:rsidRDefault="00392817" w:rsidP="00392817"/>
          <w:p w14:paraId="368EE7EC" w14:textId="1B3DE70F" w:rsidR="00392817" w:rsidRDefault="00392817" w:rsidP="00392817">
            <w:r>
              <w:t>There are projects where WANO and IAEA work directly together to support operating NPPs and new NPP projects. Examples include operational readiness, new unit assistance, ageing management, equipment reliability, the transition from operation to decommissioning and internal safety oversight. However, there are areas where collaboration can be further harmonized.</w:t>
            </w:r>
          </w:p>
        </w:tc>
        <w:tc>
          <w:tcPr>
            <w:tcW w:w="6096" w:type="dxa"/>
          </w:tcPr>
          <w:p w14:paraId="30D5E1F9" w14:textId="77777777" w:rsidR="00392817" w:rsidRDefault="00392817" w:rsidP="00392817">
            <w:r>
              <w:t xml:space="preserve">Invite </w:t>
            </w:r>
            <w:r w:rsidRPr="00041A40">
              <w:t xml:space="preserve">WANO </w:t>
            </w:r>
            <w:r>
              <w:t>collaboration to</w:t>
            </w:r>
            <w:r w:rsidRPr="00041A40">
              <w:t xml:space="preserve"> identify and communicate areas for cooperation through mapping their activities to identify potential new synergies</w:t>
            </w:r>
            <w:r>
              <w:t>. Consider including other peer international organization if / when appropriate.</w:t>
            </w:r>
          </w:p>
          <w:p w14:paraId="184AD7CA" w14:textId="77777777" w:rsidR="00392817" w:rsidRDefault="00392817" w:rsidP="00392817"/>
          <w:p w14:paraId="0A451B0E" w14:textId="77777777" w:rsidR="00392817" w:rsidRDefault="00392817" w:rsidP="00392817">
            <w:r>
              <w:rPr>
                <w:b/>
                <w:bCs/>
                <w:i/>
                <w:iCs/>
              </w:rPr>
              <w:t>TWG Comment</w:t>
            </w:r>
          </w:p>
          <w:p w14:paraId="2364213A" w14:textId="182BA42E" w:rsidR="00392817" w:rsidRDefault="00392817" w:rsidP="00392817">
            <w:r w:rsidRPr="00730FB5">
              <w:rPr>
                <w:i/>
                <w:iCs/>
              </w:rPr>
              <w:t>Consider the utility’s perspective and associated burden on them.</w:t>
            </w:r>
          </w:p>
        </w:tc>
        <w:tc>
          <w:tcPr>
            <w:tcW w:w="1425" w:type="dxa"/>
          </w:tcPr>
          <w:p w14:paraId="5D46461C" w14:textId="77777777" w:rsidR="00392817" w:rsidRPr="00AC37BE" w:rsidRDefault="00392817" w:rsidP="00392817">
            <w:r w:rsidRPr="00AC37BE">
              <w:t>NPES</w:t>
            </w:r>
          </w:p>
          <w:p w14:paraId="6BFC925C" w14:textId="77777777" w:rsidR="00392817" w:rsidRPr="00AC37BE" w:rsidRDefault="00392817" w:rsidP="00392817">
            <w:r w:rsidRPr="00AC37BE">
              <w:t>OSS</w:t>
            </w:r>
          </w:p>
          <w:p w14:paraId="5387CCBB" w14:textId="77777777" w:rsidR="00392817" w:rsidRPr="00AC37BE" w:rsidRDefault="00392817" w:rsidP="00392817">
            <w:r w:rsidRPr="00AC37BE">
              <w:t>NIDS</w:t>
            </w:r>
          </w:p>
          <w:p w14:paraId="535B7567" w14:textId="1BC5FEC6" w:rsidR="00392817" w:rsidRPr="00AE0F14" w:rsidRDefault="00392817" w:rsidP="00392817">
            <w:r w:rsidRPr="00AC37BE">
              <w:t>DERS</w:t>
            </w:r>
          </w:p>
        </w:tc>
      </w:tr>
      <w:tr w:rsidR="00392817" w14:paraId="623D744B" w14:textId="77777777" w:rsidTr="00392817">
        <w:trPr>
          <w:cantSplit/>
          <w:trHeight w:val="20"/>
        </w:trPr>
        <w:tc>
          <w:tcPr>
            <w:tcW w:w="846" w:type="dxa"/>
            <w:shd w:val="clear" w:color="auto" w:fill="D9E2F3" w:themeFill="accent1" w:themeFillTint="33"/>
          </w:tcPr>
          <w:p w14:paraId="6D394EFD" w14:textId="77777777" w:rsidR="00392817" w:rsidRDefault="00392817" w:rsidP="00392817">
            <w:pPr>
              <w:pStyle w:val="ListParagraph"/>
              <w:numPr>
                <w:ilvl w:val="1"/>
                <w:numId w:val="1"/>
              </w:numPr>
              <w:ind w:left="458"/>
            </w:pPr>
          </w:p>
        </w:tc>
        <w:tc>
          <w:tcPr>
            <w:tcW w:w="7087" w:type="dxa"/>
            <w:shd w:val="clear" w:color="auto" w:fill="D9E2F3" w:themeFill="accent1" w:themeFillTint="33"/>
          </w:tcPr>
          <w:p w14:paraId="1EB23669" w14:textId="77777777" w:rsidR="00392817" w:rsidRDefault="00392817" w:rsidP="00392817">
            <w:r>
              <w:t>Effective l</w:t>
            </w:r>
            <w:r w:rsidRPr="004C6900">
              <w:t xml:space="preserve">eadership </w:t>
            </w:r>
            <w:r>
              <w:t xml:space="preserve">and </w:t>
            </w:r>
            <w:r w:rsidRPr="004C6900">
              <w:t xml:space="preserve">organizational culture </w:t>
            </w:r>
            <w:r>
              <w:t xml:space="preserve">contribute significantly to Operational Excellence as manifested, for example, </w:t>
            </w:r>
            <w:r w:rsidRPr="004C6900">
              <w:t>in human performance.</w:t>
            </w:r>
          </w:p>
          <w:p w14:paraId="244FCC54" w14:textId="77777777" w:rsidR="00392817" w:rsidRDefault="00392817" w:rsidP="00392817"/>
          <w:p w14:paraId="4A982882" w14:textId="245E8A69" w:rsidR="00392817" w:rsidRDefault="00392817" w:rsidP="00392817">
            <w:r>
              <w:t>Operational performance monitoring and corrective action programmes are examples of metrics indicative of leadership effectiveness. However, both are lagging indicators.</w:t>
            </w:r>
          </w:p>
        </w:tc>
        <w:tc>
          <w:tcPr>
            <w:tcW w:w="6096" w:type="dxa"/>
            <w:shd w:val="clear" w:color="auto" w:fill="D9E2F3" w:themeFill="accent1" w:themeFillTint="33"/>
          </w:tcPr>
          <w:p w14:paraId="589F0893" w14:textId="4F811350" w:rsidR="00392817" w:rsidRDefault="00392817" w:rsidP="00392817">
            <w:r>
              <w:t>The TWG supports ongoing work to define</w:t>
            </w:r>
            <w:r w:rsidRPr="00F7387C">
              <w:t xml:space="preserve"> leading indicators of </w:t>
            </w:r>
            <w:r>
              <w:t xml:space="preserve">effective </w:t>
            </w:r>
            <w:r w:rsidRPr="00F7387C">
              <w:t>leadership</w:t>
            </w:r>
            <w:r>
              <w:t xml:space="preserve"> and would welcome an update as well as how it is engaging WANO. At least two activities are currently underway:</w:t>
            </w:r>
          </w:p>
          <w:p w14:paraId="523C7C5E" w14:textId="0CEB76A7" w:rsidR="00392817" w:rsidRDefault="00392817" w:rsidP="00392817">
            <w:pPr>
              <w:pStyle w:val="ListParagraph"/>
              <w:numPr>
                <w:ilvl w:val="0"/>
                <w:numId w:val="18"/>
              </w:numPr>
            </w:pPr>
            <w:r>
              <w:t xml:space="preserve">New NES publication on </w:t>
            </w:r>
            <w:r w:rsidRPr="00B628E9">
              <w:t>Leadership in Nuclear Organizations</w:t>
            </w:r>
          </w:p>
          <w:p w14:paraId="4A56F2F2" w14:textId="27AB17D1" w:rsidR="00392817" w:rsidRDefault="00392817" w:rsidP="00392817">
            <w:pPr>
              <w:pStyle w:val="ListParagraph"/>
              <w:numPr>
                <w:ilvl w:val="0"/>
                <w:numId w:val="18"/>
              </w:numPr>
            </w:pPr>
            <w:r>
              <w:t>NSNI/OSS planned revision of TECDOC 1141 how that work incorporates this recommendation.</w:t>
            </w:r>
          </w:p>
        </w:tc>
        <w:tc>
          <w:tcPr>
            <w:tcW w:w="1425" w:type="dxa"/>
            <w:shd w:val="clear" w:color="auto" w:fill="D9E2F3" w:themeFill="accent1" w:themeFillTint="33"/>
          </w:tcPr>
          <w:p w14:paraId="05D34C8C" w14:textId="242CFFD4" w:rsidR="00392817" w:rsidRPr="00E475B5" w:rsidRDefault="00392817" w:rsidP="00392817">
            <w:r>
              <w:t>NPES</w:t>
            </w:r>
          </w:p>
          <w:p w14:paraId="04B30117" w14:textId="7D2B42D3" w:rsidR="00392817" w:rsidRDefault="00392817" w:rsidP="00392817">
            <w:pPr>
              <w:rPr>
                <w:i/>
                <w:iCs/>
              </w:rPr>
            </w:pPr>
            <w:r>
              <w:t>OSS</w:t>
            </w:r>
          </w:p>
        </w:tc>
      </w:tr>
      <w:tr w:rsidR="00392817" w14:paraId="1F83C571" w14:textId="77777777" w:rsidTr="00392817">
        <w:trPr>
          <w:cantSplit/>
          <w:trHeight w:val="20"/>
        </w:trPr>
        <w:tc>
          <w:tcPr>
            <w:tcW w:w="846" w:type="dxa"/>
            <w:shd w:val="clear" w:color="auto" w:fill="D9E2F3" w:themeFill="accent1" w:themeFillTint="33"/>
          </w:tcPr>
          <w:p w14:paraId="0422890C" w14:textId="77777777" w:rsidR="00392817" w:rsidRDefault="00392817" w:rsidP="00392817">
            <w:pPr>
              <w:pStyle w:val="ListParagraph"/>
              <w:numPr>
                <w:ilvl w:val="1"/>
                <w:numId w:val="1"/>
              </w:numPr>
              <w:ind w:left="458"/>
            </w:pPr>
          </w:p>
        </w:tc>
        <w:tc>
          <w:tcPr>
            <w:tcW w:w="7087" w:type="dxa"/>
            <w:shd w:val="clear" w:color="auto" w:fill="D9E2F3" w:themeFill="accent1" w:themeFillTint="33"/>
          </w:tcPr>
          <w:p w14:paraId="0C452769" w14:textId="1D3B3B77" w:rsidR="00392817" w:rsidRDefault="00392817" w:rsidP="00392817">
            <w:r>
              <w:t>There are a number of reactors transitioning from operation to decommissioning.</w:t>
            </w:r>
          </w:p>
          <w:p w14:paraId="76E6ED79" w14:textId="77777777" w:rsidR="00392817" w:rsidRDefault="00392817" w:rsidP="00392817"/>
          <w:p w14:paraId="6C789672" w14:textId="77777777" w:rsidR="00392817" w:rsidRDefault="00392817" w:rsidP="00392817">
            <w:r w:rsidRPr="00271474">
              <w:t>There is a need to help operators of these reactors to organize the transition in effective way, considering safety, human resources, regulatory requirements, etc.</w:t>
            </w:r>
          </w:p>
          <w:p w14:paraId="03FB6FD9" w14:textId="77777777" w:rsidR="00392817" w:rsidRDefault="00392817" w:rsidP="00392817"/>
          <w:p w14:paraId="3BF05146" w14:textId="4A7C7EB0" w:rsidR="00392817" w:rsidRDefault="00392817" w:rsidP="00392817">
            <w:r>
              <w:t>The IAEA and WANO currently collaborate on support related to the transition to decommissioning.</w:t>
            </w:r>
          </w:p>
        </w:tc>
        <w:tc>
          <w:tcPr>
            <w:tcW w:w="6096" w:type="dxa"/>
            <w:shd w:val="clear" w:color="auto" w:fill="D9E2F3" w:themeFill="accent1" w:themeFillTint="33"/>
          </w:tcPr>
          <w:p w14:paraId="0D6AC1F3" w14:textId="7381CDCB" w:rsidR="00392817" w:rsidRDefault="00392817" w:rsidP="00392817">
            <w:r>
              <w:t xml:space="preserve">The TWG supports current and new </w:t>
            </w:r>
            <w:r w:rsidRPr="00A5368C">
              <w:t>activities related to operational excellence on Back-End of the fuel cycle</w:t>
            </w:r>
            <w:r>
              <w:t xml:space="preserve"> and would welcome an update from the DIR-NEFW or NFCMS &amp; DERS Heads during a future meeting.</w:t>
            </w:r>
          </w:p>
        </w:tc>
        <w:tc>
          <w:tcPr>
            <w:tcW w:w="1425" w:type="dxa"/>
            <w:shd w:val="clear" w:color="auto" w:fill="D9E2F3" w:themeFill="accent1" w:themeFillTint="33"/>
          </w:tcPr>
          <w:p w14:paraId="3A144337" w14:textId="77777777" w:rsidR="00392817" w:rsidRPr="00AC37BE" w:rsidRDefault="00392817" w:rsidP="00392817">
            <w:r w:rsidRPr="00AC37BE">
              <w:t>NPES</w:t>
            </w:r>
          </w:p>
          <w:p w14:paraId="539F40BF" w14:textId="10414968" w:rsidR="00392817" w:rsidRPr="00AC37BE" w:rsidRDefault="00392817" w:rsidP="00392817">
            <w:r w:rsidRPr="00AC37BE">
              <w:t>OSS</w:t>
            </w:r>
          </w:p>
        </w:tc>
      </w:tr>
      <w:tr w:rsidR="00392817" w14:paraId="6C19B5DD" w14:textId="77777777" w:rsidTr="00392817">
        <w:trPr>
          <w:cantSplit/>
          <w:trHeight w:val="20"/>
        </w:trPr>
        <w:tc>
          <w:tcPr>
            <w:tcW w:w="846" w:type="dxa"/>
            <w:shd w:val="clear" w:color="auto" w:fill="D9E2F3" w:themeFill="accent1" w:themeFillTint="33"/>
          </w:tcPr>
          <w:p w14:paraId="2A2D0446" w14:textId="77777777" w:rsidR="00392817" w:rsidRDefault="00392817" w:rsidP="00392817">
            <w:pPr>
              <w:pStyle w:val="ListParagraph"/>
              <w:numPr>
                <w:ilvl w:val="1"/>
                <w:numId w:val="1"/>
              </w:numPr>
              <w:ind w:left="458"/>
            </w:pPr>
          </w:p>
        </w:tc>
        <w:tc>
          <w:tcPr>
            <w:tcW w:w="7087" w:type="dxa"/>
            <w:shd w:val="clear" w:color="auto" w:fill="D9E2F3" w:themeFill="accent1" w:themeFillTint="33"/>
          </w:tcPr>
          <w:p w14:paraId="6BA7727D" w14:textId="77777777" w:rsidR="00392817" w:rsidRDefault="00392817" w:rsidP="00392817">
            <w:r>
              <w:t>M</w:t>
            </w:r>
            <w:r w:rsidRPr="00861388">
              <w:t xml:space="preserve">any industry workers with deep expertise and technical knowledge leave the industry or retire. </w:t>
            </w:r>
            <w:r>
              <w:t>The same is</w:t>
            </w:r>
            <w:r w:rsidRPr="00861388">
              <w:t xml:space="preserve"> true for vendors, designers and contractors.</w:t>
            </w:r>
          </w:p>
          <w:p w14:paraId="11E00ACB" w14:textId="77777777" w:rsidR="00392817" w:rsidRDefault="00392817" w:rsidP="00392817"/>
          <w:p w14:paraId="5B0AB814" w14:textId="77777777" w:rsidR="00392817" w:rsidRDefault="00392817" w:rsidP="00392817">
            <w:r w:rsidRPr="00861388">
              <w:t>New knowledge is coming in the nuclear industry,</w:t>
            </w:r>
            <w:r>
              <w:t xml:space="preserve"> such as</w:t>
            </w:r>
            <w:r w:rsidRPr="00861388">
              <w:t xml:space="preserve"> big data</w:t>
            </w:r>
            <w:r>
              <w:t xml:space="preserve"> applications and </w:t>
            </w:r>
            <w:r w:rsidRPr="00861388">
              <w:t>maintenance</w:t>
            </w:r>
            <w:r>
              <w:t xml:space="preserve"> innovation</w:t>
            </w:r>
            <w:r w:rsidRPr="00861388">
              <w:t>.</w:t>
            </w:r>
          </w:p>
          <w:p w14:paraId="4544C928" w14:textId="77777777" w:rsidR="00392817" w:rsidRDefault="00392817" w:rsidP="00392817"/>
          <w:p w14:paraId="7AE5E0F7" w14:textId="77777777" w:rsidR="00392817" w:rsidRDefault="00392817" w:rsidP="00392817">
            <w:r w:rsidRPr="00CD3045">
              <w:t>Governments are wrestling to attract new talent to NPPs.</w:t>
            </w:r>
          </w:p>
          <w:p w14:paraId="5FF450F9" w14:textId="77777777" w:rsidR="00392817" w:rsidRDefault="00392817" w:rsidP="00392817"/>
          <w:p w14:paraId="1C09C906" w14:textId="3AD35A5E" w:rsidR="00392817" w:rsidRPr="00271474" w:rsidRDefault="00392817" w:rsidP="00392817">
            <w:r w:rsidRPr="00CD3045">
              <w:t>Knowledge transfer starts from designers through construction to operators.</w:t>
            </w:r>
          </w:p>
        </w:tc>
        <w:tc>
          <w:tcPr>
            <w:tcW w:w="6096" w:type="dxa"/>
            <w:shd w:val="clear" w:color="auto" w:fill="D9E2F3" w:themeFill="accent1" w:themeFillTint="33"/>
          </w:tcPr>
          <w:p w14:paraId="3E71AB9E" w14:textId="543C7B6D" w:rsidR="00392817" w:rsidRDefault="00392817" w:rsidP="00392817">
            <w:r>
              <w:t xml:space="preserve">The TWG supports ongoing Agency work in this area and would welcome a presentation on </w:t>
            </w:r>
            <w:r w:rsidRPr="00F45DBD">
              <w:t xml:space="preserve">IAEA activities </w:t>
            </w:r>
            <w:r>
              <w:t xml:space="preserve">– including the work and recommendations of other TWGs as appropriate – </w:t>
            </w:r>
            <w:r w:rsidRPr="00F45DBD">
              <w:t xml:space="preserve">in HRD and knowledge transfer to </w:t>
            </w:r>
            <w:r>
              <w:t xml:space="preserve">the </w:t>
            </w:r>
            <w:r w:rsidRPr="00F45DBD">
              <w:t>new generation – tools, mentoring</w:t>
            </w:r>
            <w:r>
              <w:t xml:space="preserve"> and other support mechanism as well as their impact in the MS during a future meeting.</w:t>
            </w:r>
          </w:p>
        </w:tc>
        <w:tc>
          <w:tcPr>
            <w:tcW w:w="1425" w:type="dxa"/>
            <w:shd w:val="clear" w:color="auto" w:fill="D9E2F3" w:themeFill="accent1" w:themeFillTint="33"/>
          </w:tcPr>
          <w:p w14:paraId="352C51D6" w14:textId="5DADAB63" w:rsidR="00392817" w:rsidRPr="00AC37BE" w:rsidRDefault="00392817" w:rsidP="00392817">
            <w:r w:rsidRPr="00AC37BE">
              <w:t>NPES</w:t>
            </w:r>
          </w:p>
          <w:p w14:paraId="29D1AE55" w14:textId="0A78C161" w:rsidR="00392817" w:rsidRPr="00AC37BE" w:rsidRDefault="00392817" w:rsidP="00392817">
            <w:r w:rsidRPr="00AC37BE">
              <w:t>NKM</w:t>
            </w:r>
          </w:p>
        </w:tc>
      </w:tr>
      <w:tr w:rsidR="00392817" w14:paraId="139E150D" w14:textId="77777777" w:rsidTr="00392817">
        <w:trPr>
          <w:cantSplit/>
          <w:trHeight w:val="20"/>
        </w:trPr>
        <w:tc>
          <w:tcPr>
            <w:tcW w:w="846" w:type="dxa"/>
            <w:shd w:val="clear" w:color="auto" w:fill="D9E2F3" w:themeFill="accent1" w:themeFillTint="33"/>
          </w:tcPr>
          <w:p w14:paraId="45D1ED69" w14:textId="77777777" w:rsidR="00392817" w:rsidRDefault="00392817" w:rsidP="00392817">
            <w:pPr>
              <w:pStyle w:val="ListParagraph"/>
              <w:numPr>
                <w:ilvl w:val="1"/>
                <w:numId w:val="1"/>
              </w:numPr>
              <w:ind w:left="458"/>
            </w:pPr>
          </w:p>
        </w:tc>
        <w:tc>
          <w:tcPr>
            <w:tcW w:w="7087" w:type="dxa"/>
            <w:shd w:val="clear" w:color="auto" w:fill="D9E2F3" w:themeFill="accent1" w:themeFillTint="33"/>
          </w:tcPr>
          <w:p w14:paraId="218D9CB4" w14:textId="3D279A4E" w:rsidR="00392817" w:rsidRDefault="00392817" w:rsidP="00392817">
            <w:r w:rsidRPr="00EB1A24">
              <w:t>SMR</w:t>
            </w:r>
            <w:r>
              <w:t xml:space="preserve"> deployment is approaching and limited demonstration is underway in some Member States</w:t>
            </w:r>
            <w:r w:rsidRPr="00EB1A24">
              <w:t xml:space="preserve">. </w:t>
            </w:r>
          </w:p>
        </w:tc>
        <w:tc>
          <w:tcPr>
            <w:tcW w:w="6096" w:type="dxa"/>
            <w:shd w:val="clear" w:color="auto" w:fill="D9E2F3" w:themeFill="accent1" w:themeFillTint="33"/>
          </w:tcPr>
          <w:p w14:paraId="33577E6D" w14:textId="2F57E6C1" w:rsidR="00392817" w:rsidRDefault="00392817" w:rsidP="00392817">
            <w:r w:rsidRPr="00EB1A24">
              <w:t xml:space="preserve">The TWG </w:t>
            </w:r>
            <w:r>
              <w:t xml:space="preserve">supports ongoing Agency work in this area and </w:t>
            </w:r>
            <w:r w:rsidRPr="00EB1A24">
              <w:t xml:space="preserve">would welcome </w:t>
            </w:r>
            <w:r>
              <w:t xml:space="preserve">an update </w:t>
            </w:r>
            <w:r w:rsidRPr="00EB1A24">
              <w:t>on the status of work on</w:t>
            </w:r>
            <w:r>
              <w:t xml:space="preserve"> SMRs, including</w:t>
            </w:r>
            <w:r w:rsidRPr="00EB1A24">
              <w:t xml:space="preserve"> relevant safety levels and related EPZ considerations</w:t>
            </w:r>
            <w:r>
              <w:t xml:space="preserve"> during a future meeting.</w:t>
            </w:r>
          </w:p>
          <w:p w14:paraId="3E99D824" w14:textId="77777777" w:rsidR="00392817" w:rsidRDefault="00392817" w:rsidP="00392817"/>
          <w:p w14:paraId="2F05ADED" w14:textId="77777777" w:rsidR="00392817" w:rsidRDefault="00392817" w:rsidP="00392817">
            <w:pPr>
              <w:rPr>
                <w:i/>
                <w:iCs/>
              </w:rPr>
            </w:pPr>
            <w:r>
              <w:rPr>
                <w:b/>
                <w:bCs/>
                <w:i/>
                <w:iCs/>
              </w:rPr>
              <w:t>TWG Comments</w:t>
            </w:r>
          </w:p>
          <w:p w14:paraId="07EE3691" w14:textId="77777777" w:rsidR="00392817" w:rsidRPr="00730FB5" w:rsidRDefault="00392817" w:rsidP="00392817">
            <w:pPr>
              <w:pStyle w:val="ListParagraph"/>
              <w:numPr>
                <w:ilvl w:val="0"/>
                <w:numId w:val="3"/>
              </w:numPr>
              <w:rPr>
                <w:i/>
                <w:iCs/>
              </w:rPr>
            </w:pPr>
            <w:r w:rsidRPr="00730FB5">
              <w:rPr>
                <w:i/>
                <w:iCs/>
              </w:rPr>
              <w:t>Detailed support efforts to facilitate SMR construction, commissioning, operation, (including maintenance, ISI, organizational arrangements, etc.), physical protection, testing passive systems, etc. may be needed in the near future.</w:t>
            </w:r>
          </w:p>
          <w:p w14:paraId="50C16AC6" w14:textId="58B00781" w:rsidR="00392817" w:rsidRDefault="00392817" w:rsidP="00392817">
            <w:pPr>
              <w:pStyle w:val="ListParagraph"/>
              <w:numPr>
                <w:ilvl w:val="0"/>
                <w:numId w:val="3"/>
              </w:numPr>
            </w:pPr>
            <w:r w:rsidRPr="00730FB5">
              <w:rPr>
                <w:i/>
                <w:iCs/>
              </w:rPr>
              <w:t>The IAEA could investigate the potential options relating to relationships between vendor and operator for standardized SMRs</w:t>
            </w:r>
          </w:p>
        </w:tc>
        <w:tc>
          <w:tcPr>
            <w:tcW w:w="1425" w:type="dxa"/>
            <w:shd w:val="clear" w:color="auto" w:fill="D9E2F3" w:themeFill="accent1" w:themeFillTint="33"/>
          </w:tcPr>
          <w:p w14:paraId="741CCDDB" w14:textId="77777777" w:rsidR="00392817" w:rsidRPr="00AC37BE" w:rsidRDefault="00392817" w:rsidP="00392817">
            <w:r w:rsidRPr="00AC37BE">
              <w:t>NPTDS (lead)</w:t>
            </w:r>
          </w:p>
          <w:p w14:paraId="272A0F6A" w14:textId="12144DA5" w:rsidR="00392817" w:rsidRPr="00AC37BE" w:rsidRDefault="00392817" w:rsidP="00392817">
            <w:r w:rsidRPr="00AC37BE">
              <w:t>Others as appropriate</w:t>
            </w:r>
          </w:p>
        </w:tc>
      </w:tr>
      <w:tr w:rsidR="00392817" w14:paraId="761B2C07" w14:textId="77777777" w:rsidTr="00392817">
        <w:trPr>
          <w:cantSplit/>
          <w:trHeight w:val="20"/>
        </w:trPr>
        <w:tc>
          <w:tcPr>
            <w:tcW w:w="846" w:type="dxa"/>
            <w:shd w:val="clear" w:color="auto" w:fill="D9E2F3" w:themeFill="accent1" w:themeFillTint="33"/>
          </w:tcPr>
          <w:p w14:paraId="35A4EF0D" w14:textId="77777777" w:rsidR="00392817" w:rsidRDefault="00392817" w:rsidP="00392817">
            <w:pPr>
              <w:pStyle w:val="ListParagraph"/>
              <w:numPr>
                <w:ilvl w:val="1"/>
                <w:numId w:val="1"/>
              </w:numPr>
              <w:ind w:left="458"/>
            </w:pPr>
          </w:p>
        </w:tc>
        <w:tc>
          <w:tcPr>
            <w:tcW w:w="7087" w:type="dxa"/>
            <w:shd w:val="clear" w:color="auto" w:fill="D9E2F3" w:themeFill="accent1" w:themeFillTint="33"/>
          </w:tcPr>
          <w:p w14:paraId="5CCCAF9B" w14:textId="77777777" w:rsidR="00392817" w:rsidRDefault="00392817" w:rsidP="00392817">
            <w:r w:rsidRPr="00CC3057">
              <w:t>Other industries apply new digital technologies to support their processes. AI, advanced manufacturing</w:t>
            </w:r>
            <w:r>
              <w:t>, and the</w:t>
            </w:r>
            <w:r w:rsidRPr="00CC3057">
              <w:t xml:space="preserve"> analysis</w:t>
            </w:r>
            <w:r>
              <w:t xml:space="preserve"> and use</w:t>
            </w:r>
            <w:r w:rsidRPr="00CC3057">
              <w:t xml:space="preserve"> of big data </w:t>
            </w:r>
            <w:r>
              <w:t xml:space="preserve">are </w:t>
            </w:r>
            <w:r w:rsidRPr="00CC3057">
              <w:t>becoming more common.</w:t>
            </w:r>
          </w:p>
          <w:p w14:paraId="3379BDDA" w14:textId="77777777" w:rsidR="00392817" w:rsidRDefault="00392817" w:rsidP="00392817"/>
          <w:p w14:paraId="13739A9F" w14:textId="6075274A" w:rsidR="00392817" w:rsidRPr="00EB1A24" w:rsidRDefault="00392817" w:rsidP="00392817">
            <w:r w:rsidRPr="00CC3057">
              <w:t xml:space="preserve">The nuclear industry </w:t>
            </w:r>
            <w:r>
              <w:t xml:space="preserve">has </w:t>
            </w:r>
            <w:r w:rsidRPr="00CC3057">
              <w:t xml:space="preserve">started </w:t>
            </w:r>
            <w:r>
              <w:t xml:space="preserve">to </w:t>
            </w:r>
            <w:r w:rsidRPr="00CC3057">
              <w:t xml:space="preserve">apply these </w:t>
            </w:r>
            <w:r>
              <w:t>solutions</w:t>
            </w:r>
            <w:r w:rsidRPr="00CC3057">
              <w:t xml:space="preserve">, however in </w:t>
            </w:r>
            <w:r>
              <w:t>s</w:t>
            </w:r>
            <w:r w:rsidRPr="00CC3057">
              <w:t>ome countries</w:t>
            </w:r>
            <w:r>
              <w:t>,</w:t>
            </w:r>
            <w:r w:rsidRPr="00CC3057">
              <w:t xml:space="preserve"> regulatory acceptance faces difficulties.</w:t>
            </w:r>
            <w:r>
              <w:t xml:space="preserve"> However, some ch</w:t>
            </w:r>
            <w:r w:rsidRPr="00CC3057">
              <w:t>ang</w:t>
            </w:r>
            <w:r>
              <w:t>es</w:t>
            </w:r>
            <w:r w:rsidRPr="00CC3057">
              <w:t xml:space="preserve"> are</w:t>
            </w:r>
            <w:r>
              <w:t xml:space="preserve"> being</w:t>
            </w:r>
            <w:r w:rsidRPr="00CC3057">
              <w:t xml:space="preserve"> observed e.g. in maintenance applying innovative solutions.</w:t>
            </w:r>
          </w:p>
        </w:tc>
        <w:tc>
          <w:tcPr>
            <w:tcW w:w="6096" w:type="dxa"/>
            <w:shd w:val="clear" w:color="auto" w:fill="D9E2F3" w:themeFill="accent1" w:themeFillTint="33"/>
          </w:tcPr>
          <w:p w14:paraId="54FF7185" w14:textId="5A3C5201" w:rsidR="00392817" w:rsidRPr="00EB1A24" w:rsidRDefault="00392817" w:rsidP="00392817">
            <w:r>
              <w:t>The TWG supports the Agency’s work in this area and would welcome an update on the status of Member State support linked to innovative solutions to support operating NPPs such as AI, advanced manufacturing, supply chain, etc. The update should include work to engage regulatory bodies on the topic of innovation in the context of operating NPPs.</w:t>
            </w:r>
          </w:p>
        </w:tc>
        <w:tc>
          <w:tcPr>
            <w:tcW w:w="1425" w:type="dxa"/>
            <w:shd w:val="clear" w:color="auto" w:fill="D9E2F3" w:themeFill="accent1" w:themeFillTint="33"/>
          </w:tcPr>
          <w:p w14:paraId="55C81CC8" w14:textId="1D31D906" w:rsidR="00392817" w:rsidRPr="00AC37BE" w:rsidRDefault="00392817" w:rsidP="00392817">
            <w:r w:rsidRPr="00AC37BE">
              <w:t>NPES</w:t>
            </w:r>
          </w:p>
          <w:p w14:paraId="66B2D827" w14:textId="6CF1E452" w:rsidR="00392817" w:rsidRPr="00AC37BE" w:rsidRDefault="00392817" w:rsidP="00392817">
            <w:r w:rsidRPr="00AC37BE">
              <w:t>RAS</w:t>
            </w:r>
          </w:p>
        </w:tc>
      </w:tr>
      <w:tr w:rsidR="00392817" w14:paraId="10961AE2" w14:textId="77777777" w:rsidTr="00AC37BE">
        <w:trPr>
          <w:cantSplit/>
          <w:trHeight w:val="20"/>
        </w:trPr>
        <w:tc>
          <w:tcPr>
            <w:tcW w:w="15454" w:type="dxa"/>
            <w:gridSpan w:val="4"/>
            <w:shd w:val="clear" w:color="auto" w:fill="000000" w:themeFill="text1"/>
          </w:tcPr>
          <w:p w14:paraId="6C22DD71" w14:textId="185C0BED" w:rsidR="00392817" w:rsidRPr="00AC37BE" w:rsidRDefault="00392817" w:rsidP="00392817">
            <w:pPr>
              <w:pStyle w:val="ListParagraph"/>
              <w:keepNext/>
              <w:numPr>
                <w:ilvl w:val="0"/>
                <w:numId w:val="2"/>
              </w:numPr>
              <w:ind w:left="357" w:hanging="357"/>
              <w:rPr>
                <w:b/>
                <w:bCs/>
                <w:sz w:val="24"/>
                <w:szCs w:val="24"/>
              </w:rPr>
            </w:pPr>
            <w:r w:rsidRPr="00AC37BE">
              <w:rPr>
                <w:b/>
                <w:bCs/>
                <w:sz w:val="24"/>
                <w:szCs w:val="24"/>
              </w:rPr>
              <w:lastRenderedPageBreak/>
              <w:t>Harmonization</w:t>
            </w:r>
          </w:p>
        </w:tc>
      </w:tr>
      <w:tr w:rsidR="00392817" w14:paraId="61A408C4" w14:textId="77777777" w:rsidTr="00392817">
        <w:trPr>
          <w:cantSplit/>
          <w:trHeight w:val="2867"/>
        </w:trPr>
        <w:tc>
          <w:tcPr>
            <w:tcW w:w="846" w:type="dxa"/>
          </w:tcPr>
          <w:p w14:paraId="03367F87" w14:textId="77777777" w:rsidR="00392817" w:rsidRDefault="00392817" w:rsidP="00392817">
            <w:pPr>
              <w:pStyle w:val="ListParagraph"/>
              <w:keepNext/>
              <w:numPr>
                <w:ilvl w:val="0"/>
                <w:numId w:val="11"/>
              </w:numPr>
              <w:ind w:left="357" w:hanging="357"/>
            </w:pPr>
          </w:p>
        </w:tc>
        <w:tc>
          <w:tcPr>
            <w:tcW w:w="7087" w:type="dxa"/>
            <w:vMerge w:val="restart"/>
          </w:tcPr>
          <w:p w14:paraId="793EE02E" w14:textId="00DECFE0" w:rsidR="00392817" w:rsidRDefault="00392817" w:rsidP="00392817">
            <w:r w:rsidRPr="00DB63FB">
              <w:t>One of the dominant constraints on nuclear power deployment is the limitations on harmonization.</w:t>
            </w:r>
          </w:p>
          <w:p w14:paraId="7ED96C9C" w14:textId="76288B44" w:rsidR="00392817" w:rsidRDefault="00392817" w:rsidP="00392817"/>
          <w:p w14:paraId="0C7398FB" w14:textId="6EA9FE3E" w:rsidR="00392817" w:rsidRDefault="00392817" w:rsidP="00392817">
            <w:r>
              <w:t>Recognized barriers to harmonization include:</w:t>
            </w:r>
          </w:p>
          <w:p w14:paraId="7AD36809" w14:textId="77777777" w:rsidR="00392817" w:rsidRPr="00B4112C" w:rsidRDefault="00392817" w:rsidP="00392817">
            <w:pPr>
              <w:pStyle w:val="ListParagraph"/>
              <w:numPr>
                <w:ilvl w:val="0"/>
                <w:numId w:val="13"/>
              </w:numPr>
            </w:pPr>
            <w:r w:rsidRPr="00B4112C">
              <w:t>Strict Liability &amp; Nuclear Waste Management (i.e. Joint Convention)</w:t>
            </w:r>
          </w:p>
          <w:p w14:paraId="1B4B291E" w14:textId="740F13C8" w:rsidR="00392817" w:rsidRPr="00B4112C" w:rsidRDefault="00392817" w:rsidP="00392817">
            <w:pPr>
              <w:pStyle w:val="ListParagraph"/>
              <w:numPr>
                <w:ilvl w:val="0"/>
                <w:numId w:val="13"/>
              </w:numPr>
            </w:pPr>
            <w:r>
              <w:t xml:space="preserve">Lack of clarity regarding the legal </w:t>
            </w:r>
            <w:r w:rsidRPr="00B4112C">
              <w:t>Design Authority</w:t>
            </w:r>
          </w:p>
          <w:p w14:paraId="2D752384" w14:textId="77777777" w:rsidR="00392817" w:rsidRPr="00B4112C" w:rsidRDefault="00392817" w:rsidP="00392817">
            <w:pPr>
              <w:pStyle w:val="ListParagraph"/>
              <w:numPr>
                <w:ilvl w:val="0"/>
                <w:numId w:val="13"/>
              </w:numPr>
            </w:pPr>
            <w:r w:rsidRPr="00B4112C">
              <w:t>IP Ownership</w:t>
            </w:r>
          </w:p>
          <w:p w14:paraId="0A8B7EF9" w14:textId="1D5CF46F" w:rsidR="00392817" w:rsidRDefault="00392817" w:rsidP="00392817">
            <w:pPr>
              <w:pStyle w:val="ListParagraph"/>
              <w:numPr>
                <w:ilvl w:val="0"/>
                <w:numId w:val="13"/>
              </w:numPr>
            </w:pPr>
            <w:r w:rsidRPr="00B4112C">
              <w:t>Di</w:t>
            </w:r>
            <w:r>
              <w:t>verse</w:t>
            </w:r>
            <w:r w:rsidRPr="00B4112C">
              <w:t xml:space="preserve"> </w:t>
            </w:r>
            <w:r>
              <w:t>l</w:t>
            </w:r>
            <w:r w:rsidRPr="00B4112C">
              <w:t>egal systems in different countries</w:t>
            </w:r>
          </w:p>
          <w:p w14:paraId="121A12D4" w14:textId="4F5125AA" w:rsidR="00392817" w:rsidRDefault="00392817" w:rsidP="00392817">
            <w:pPr>
              <w:pStyle w:val="ListParagraph"/>
              <w:numPr>
                <w:ilvl w:val="0"/>
                <w:numId w:val="13"/>
              </w:numPr>
            </w:pPr>
            <w:r>
              <w:t xml:space="preserve">Absence of ‘forcing function’ </w:t>
            </w:r>
            <w:r w:rsidRPr="00840AE8">
              <w:t>from vendors and operators</w:t>
            </w:r>
            <w:r>
              <w:t xml:space="preserve"> (compared to successes, some of which are listed below)</w:t>
            </w:r>
          </w:p>
          <w:p w14:paraId="10AD9790" w14:textId="77777777" w:rsidR="00392817" w:rsidRDefault="00392817" w:rsidP="00392817"/>
          <w:p w14:paraId="66F11730" w14:textId="77777777" w:rsidR="00392817" w:rsidRDefault="00392817" w:rsidP="00392817">
            <w:r w:rsidRPr="00B63475">
              <w:t>It is recognized that the problems of “backfitting” harmonization on existing facilities is challenging.</w:t>
            </w:r>
          </w:p>
          <w:p w14:paraId="100409C1" w14:textId="77777777" w:rsidR="00392817" w:rsidRDefault="00392817" w:rsidP="00392817"/>
          <w:p w14:paraId="21F5A4BD" w14:textId="77777777" w:rsidR="00392817" w:rsidRDefault="00392817" w:rsidP="00392817">
            <w:r>
              <w:t>Examples of successful harmonization include:</w:t>
            </w:r>
          </w:p>
          <w:p w14:paraId="26F1089F" w14:textId="77777777" w:rsidR="00392817" w:rsidRPr="00977E75" w:rsidRDefault="00392817" w:rsidP="00392817">
            <w:pPr>
              <w:pStyle w:val="ListParagraph"/>
              <w:numPr>
                <w:ilvl w:val="0"/>
                <w:numId w:val="10"/>
              </w:numPr>
            </w:pPr>
            <w:r w:rsidRPr="00977E75">
              <w:t>Owners Groups</w:t>
            </w:r>
          </w:p>
          <w:p w14:paraId="07E47D07" w14:textId="77777777" w:rsidR="00392817" w:rsidRPr="00977E75" w:rsidRDefault="00392817" w:rsidP="00392817">
            <w:pPr>
              <w:pStyle w:val="ListParagraph"/>
              <w:numPr>
                <w:ilvl w:val="0"/>
                <w:numId w:val="10"/>
              </w:numPr>
            </w:pPr>
            <w:r w:rsidRPr="00977E75">
              <w:t>Aviation, Oil &amp; Medical Industry</w:t>
            </w:r>
          </w:p>
          <w:p w14:paraId="639D3109" w14:textId="77777777" w:rsidR="00392817" w:rsidRPr="00977E75" w:rsidRDefault="00392817" w:rsidP="00392817">
            <w:pPr>
              <w:pStyle w:val="ListParagraph"/>
              <w:numPr>
                <w:ilvl w:val="0"/>
                <w:numId w:val="10"/>
              </w:numPr>
            </w:pPr>
            <w:r w:rsidRPr="00977E75">
              <w:t>INPO / WANO</w:t>
            </w:r>
          </w:p>
          <w:p w14:paraId="5CC6FEBF" w14:textId="235DA54F" w:rsidR="00392817" w:rsidRDefault="00392817" w:rsidP="00392817">
            <w:pPr>
              <w:pStyle w:val="ListParagraph"/>
              <w:numPr>
                <w:ilvl w:val="0"/>
                <w:numId w:val="10"/>
              </w:numPr>
            </w:pPr>
            <w:r w:rsidRPr="00977E75">
              <w:t xml:space="preserve">Radioactive Material Transport </w:t>
            </w:r>
            <w:r>
              <w:t>–</w:t>
            </w:r>
            <w:r w:rsidRPr="00977E75">
              <w:t xml:space="preserve"> IAEA</w:t>
            </w:r>
          </w:p>
        </w:tc>
        <w:tc>
          <w:tcPr>
            <w:tcW w:w="6096" w:type="dxa"/>
          </w:tcPr>
          <w:p w14:paraId="5927DD63" w14:textId="6F3522C1" w:rsidR="00392817" w:rsidRDefault="00392817" w:rsidP="00392817">
            <w:r>
              <w:t>Continue to facilitate open discussion and debate between government, regulator and industry—for example, by including as a key topic in relevant conferences and meetings—to focus on harmonization of standards and legal regimes, with particular reference to new build, SMRs and newcomer / developing country approaches.</w:t>
            </w:r>
          </w:p>
        </w:tc>
        <w:tc>
          <w:tcPr>
            <w:tcW w:w="1425" w:type="dxa"/>
          </w:tcPr>
          <w:p w14:paraId="3F8D32D9" w14:textId="77777777" w:rsidR="00392817" w:rsidRPr="00AC37BE" w:rsidRDefault="00392817" w:rsidP="00392817">
            <w:r w:rsidRPr="00AC37BE">
              <w:t>NPTDS</w:t>
            </w:r>
          </w:p>
          <w:p w14:paraId="26E47D0F" w14:textId="77777777" w:rsidR="00392817" w:rsidRPr="00AC37BE" w:rsidRDefault="00392817" w:rsidP="00392817">
            <w:r w:rsidRPr="00AC37BE">
              <w:t>NIDS</w:t>
            </w:r>
          </w:p>
          <w:p w14:paraId="6964F8A7" w14:textId="1AA908F0" w:rsidR="00392817" w:rsidRPr="00AC37BE" w:rsidRDefault="00392817" w:rsidP="00392817">
            <w:r w:rsidRPr="00AC37BE">
              <w:t>OSS</w:t>
            </w:r>
          </w:p>
        </w:tc>
      </w:tr>
      <w:tr w:rsidR="00392817" w14:paraId="625052AD" w14:textId="77777777" w:rsidTr="00392817">
        <w:trPr>
          <w:cantSplit/>
          <w:trHeight w:val="1795"/>
        </w:trPr>
        <w:tc>
          <w:tcPr>
            <w:tcW w:w="846" w:type="dxa"/>
          </w:tcPr>
          <w:p w14:paraId="5242E7B4" w14:textId="77777777" w:rsidR="00392817" w:rsidRDefault="00392817" w:rsidP="00392817">
            <w:pPr>
              <w:pStyle w:val="ListParagraph"/>
              <w:keepNext/>
              <w:numPr>
                <w:ilvl w:val="0"/>
                <w:numId w:val="11"/>
              </w:numPr>
              <w:ind w:left="357" w:hanging="357"/>
            </w:pPr>
          </w:p>
        </w:tc>
        <w:tc>
          <w:tcPr>
            <w:tcW w:w="7087" w:type="dxa"/>
            <w:vMerge/>
          </w:tcPr>
          <w:p w14:paraId="6BBFD8E7" w14:textId="21E023B0" w:rsidR="00392817" w:rsidRDefault="00392817" w:rsidP="00392817"/>
        </w:tc>
        <w:tc>
          <w:tcPr>
            <w:tcW w:w="6096" w:type="dxa"/>
          </w:tcPr>
          <w:p w14:paraId="39F10111" w14:textId="79B43A19" w:rsidR="00392817" w:rsidRDefault="00392817" w:rsidP="00392817">
            <w:r>
              <w:t>Conduct one or more meetings and develop output/s as appropriate to</w:t>
            </w:r>
            <w:r w:rsidRPr="005E7FC5">
              <w:t xml:space="preserve"> compare </w:t>
            </w:r>
            <w:r>
              <w:t xml:space="preserve">relevant </w:t>
            </w:r>
            <w:r w:rsidRPr="005E7FC5">
              <w:t>Codes</w:t>
            </w:r>
            <w:r>
              <w:t xml:space="preserve"> and Standards</w:t>
            </w:r>
            <w:r w:rsidRPr="005E7FC5">
              <w:t xml:space="preserve"> to achieve a common understanding of </w:t>
            </w:r>
            <w:r>
              <w:t>the status of relevant harmonization efforts.</w:t>
            </w:r>
          </w:p>
        </w:tc>
        <w:tc>
          <w:tcPr>
            <w:tcW w:w="1425" w:type="dxa"/>
          </w:tcPr>
          <w:p w14:paraId="61C89390" w14:textId="77777777" w:rsidR="00392817" w:rsidRPr="00AC37BE" w:rsidRDefault="00392817" w:rsidP="00392817">
            <w:r w:rsidRPr="00AC37BE">
              <w:t>NPES</w:t>
            </w:r>
          </w:p>
          <w:p w14:paraId="6DC2B96C" w14:textId="66D1D3E0" w:rsidR="00392817" w:rsidRPr="00AC37BE" w:rsidRDefault="00392817" w:rsidP="00392817">
            <w:r w:rsidRPr="00AC37BE">
              <w:t>OSS</w:t>
            </w:r>
          </w:p>
        </w:tc>
      </w:tr>
      <w:tr w:rsidR="00392817" w14:paraId="4574799A" w14:textId="77777777" w:rsidTr="00392817">
        <w:trPr>
          <w:cantSplit/>
          <w:trHeight w:val="20"/>
        </w:trPr>
        <w:tc>
          <w:tcPr>
            <w:tcW w:w="846" w:type="dxa"/>
          </w:tcPr>
          <w:p w14:paraId="79935862" w14:textId="77777777" w:rsidR="00392817" w:rsidRDefault="00392817" w:rsidP="00392817">
            <w:pPr>
              <w:pStyle w:val="ListParagraph"/>
              <w:numPr>
                <w:ilvl w:val="0"/>
                <w:numId w:val="11"/>
              </w:numPr>
            </w:pPr>
          </w:p>
        </w:tc>
        <w:tc>
          <w:tcPr>
            <w:tcW w:w="7087" w:type="dxa"/>
          </w:tcPr>
          <w:p w14:paraId="3008B0CF" w14:textId="77777777" w:rsidR="00392817" w:rsidRDefault="00392817" w:rsidP="00392817">
            <w:r w:rsidRPr="004A2249">
              <w:t>Given the limited experience base of newcomer countries (or industries) and the significant experience of the vendors the relationship between them is critical to achieve safe</w:t>
            </w:r>
            <w:r>
              <w:t>, efficient</w:t>
            </w:r>
            <w:r w:rsidRPr="004A2249">
              <w:t xml:space="preserve"> construction and operations.</w:t>
            </w:r>
          </w:p>
          <w:p w14:paraId="6CFD2E43" w14:textId="77777777" w:rsidR="00392817" w:rsidRDefault="00392817" w:rsidP="00392817"/>
          <w:p w14:paraId="24B28F14" w14:textId="47E4A425" w:rsidR="00392817" w:rsidRDefault="00392817" w:rsidP="00392817">
            <w:r w:rsidRPr="004A2249">
              <w:t>The modus operandi of th</w:t>
            </w:r>
            <w:r>
              <w:t>ese</w:t>
            </w:r>
            <w:r w:rsidRPr="004A2249">
              <w:t xml:space="preserve"> relationship</w:t>
            </w:r>
            <w:r>
              <w:t>s</w:t>
            </w:r>
            <w:r w:rsidRPr="004A2249">
              <w:t xml:space="preserve"> has varied with different countries over the last 40 years.</w:t>
            </w:r>
          </w:p>
        </w:tc>
        <w:tc>
          <w:tcPr>
            <w:tcW w:w="6096" w:type="dxa"/>
          </w:tcPr>
          <w:p w14:paraId="7127C642" w14:textId="233DCA31" w:rsidR="00392817" w:rsidRDefault="00392817" w:rsidP="00392817">
            <w:r>
              <w:t>Describe possible newcomer / expanding country relationships with vendor countries in an agency publication, with member countries sharing the merits of possible relationships.</w:t>
            </w:r>
          </w:p>
        </w:tc>
        <w:tc>
          <w:tcPr>
            <w:tcW w:w="1425" w:type="dxa"/>
          </w:tcPr>
          <w:p w14:paraId="4D544300" w14:textId="77777777" w:rsidR="00392817" w:rsidRPr="00AC37BE" w:rsidRDefault="00392817" w:rsidP="00392817">
            <w:r w:rsidRPr="00AC37BE">
              <w:t>NIDS</w:t>
            </w:r>
          </w:p>
          <w:p w14:paraId="1DEDC392" w14:textId="56427B63" w:rsidR="00392817" w:rsidRPr="00AC37BE" w:rsidRDefault="00392817" w:rsidP="00392817">
            <w:r w:rsidRPr="00AC37BE">
              <w:t>NPES</w:t>
            </w:r>
          </w:p>
        </w:tc>
      </w:tr>
      <w:tr w:rsidR="00392817" w14:paraId="43CABFEA" w14:textId="77777777" w:rsidTr="00392817">
        <w:trPr>
          <w:cantSplit/>
          <w:trHeight w:val="20"/>
        </w:trPr>
        <w:tc>
          <w:tcPr>
            <w:tcW w:w="846" w:type="dxa"/>
          </w:tcPr>
          <w:p w14:paraId="2D19F4AC" w14:textId="77777777" w:rsidR="00392817" w:rsidRDefault="00392817" w:rsidP="00392817">
            <w:pPr>
              <w:pStyle w:val="ListParagraph"/>
              <w:numPr>
                <w:ilvl w:val="0"/>
                <w:numId w:val="11"/>
              </w:numPr>
            </w:pPr>
          </w:p>
        </w:tc>
        <w:tc>
          <w:tcPr>
            <w:tcW w:w="7087" w:type="dxa"/>
          </w:tcPr>
          <w:p w14:paraId="57CC46CB" w14:textId="079C832D" w:rsidR="00392817" w:rsidRDefault="00392817" w:rsidP="00392817">
            <w:r w:rsidRPr="005B7A89">
              <w:t>Many countries are using the concept of a “Reference Machine” as the basis for contracting for EPC NPP. There is however no clear definition of what could constitute a Reference Machine.</w:t>
            </w:r>
          </w:p>
        </w:tc>
        <w:tc>
          <w:tcPr>
            <w:tcW w:w="6096" w:type="dxa"/>
          </w:tcPr>
          <w:p w14:paraId="52C4D18E" w14:textId="5E57D211" w:rsidR="00392817" w:rsidRDefault="00392817" w:rsidP="00392817">
            <w:r w:rsidRPr="00CD684C">
              <w:t xml:space="preserve">Conduct one or more meetings and </w:t>
            </w:r>
            <w:r>
              <w:t>develop output/s</w:t>
            </w:r>
            <w:r w:rsidRPr="00CD684C">
              <w:t xml:space="preserve"> as appropriate t</w:t>
            </w:r>
            <w:r>
              <w:t>o identify and close any ‘gap’ in a common / standard definition of a “Reference Machine” (or Reference Plant).</w:t>
            </w:r>
          </w:p>
        </w:tc>
        <w:tc>
          <w:tcPr>
            <w:tcW w:w="1425" w:type="dxa"/>
          </w:tcPr>
          <w:p w14:paraId="63A81F6F" w14:textId="17DEA28E" w:rsidR="00392817" w:rsidRPr="00AC37BE" w:rsidRDefault="00392817" w:rsidP="00392817">
            <w:r w:rsidRPr="00AC37BE">
              <w:t>NPES</w:t>
            </w:r>
          </w:p>
        </w:tc>
      </w:tr>
      <w:tr w:rsidR="00392817" w14:paraId="7FCF7754" w14:textId="77777777" w:rsidTr="00392817">
        <w:trPr>
          <w:cantSplit/>
          <w:trHeight w:val="20"/>
        </w:trPr>
        <w:tc>
          <w:tcPr>
            <w:tcW w:w="846" w:type="dxa"/>
          </w:tcPr>
          <w:p w14:paraId="6D50961F" w14:textId="77777777" w:rsidR="00392817" w:rsidRDefault="00392817" w:rsidP="00392817">
            <w:pPr>
              <w:pStyle w:val="ListParagraph"/>
              <w:numPr>
                <w:ilvl w:val="0"/>
                <w:numId w:val="11"/>
              </w:numPr>
            </w:pPr>
          </w:p>
        </w:tc>
        <w:tc>
          <w:tcPr>
            <w:tcW w:w="7087" w:type="dxa"/>
          </w:tcPr>
          <w:p w14:paraId="479C269C" w14:textId="2CF77217" w:rsidR="00392817" w:rsidRDefault="00392817" w:rsidP="00392817">
            <w:r w:rsidRPr="00B26B70">
              <w:t>Given the need for countries to have common basis for the documentation submitted for the licensing of imported</w:t>
            </w:r>
            <w:r>
              <w:t xml:space="preserve"> </w:t>
            </w:r>
            <w:r w:rsidRPr="00B26B70">
              <w:t>/</w:t>
            </w:r>
            <w:r>
              <w:t xml:space="preserve"> </w:t>
            </w:r>
            <w:r w:rsidRPr="00B26B70">
              <w:t>exported NPPs</w:t>
            </w:r>
            <w:r>
              <w:t>…</w:t>
            </w:r>
          </w:p>
        </w:tc>
        <w:tc>
          <w:tcPr>
            <w:tcW w:w="6096" w:type="dxa"/>
          </w:tcPr>
          <w:p w14:paraId="4C82188C" w14:textId="53CC6CD3" w:rsidR="00392817" w:rsidRDefault="00392817" w:rsidP="00392817">
            <w:r>
              <w:t>Conduct one or more meetings and develop output/s as appropriate to explore format and content of engineering documentation that support, for example, licensing applications. Pursue standardization opportunities as appropriate.</w:t>
            </w:r>
          </w:p>
        </w:tc>
        <w:tc>
          <w:tcPr>
            <w:tcW w:w="1425" w:type="dxa"/>
          </w:tcPr>
          <w:p w14:paraId="11B047EF" w14:textId="0BD11391" w:rsidR="00392817" w:rsidRPr="00AC37BE" w:rsidRDefault="00392817" w:rsidP="00392817">
            <w:r w:rsidRPr="00AC37BE">
              <w:t>NPES</w:t>
            </w:r>
          </w:p>
          <w:p w14:paraId="35F47F96" w14:textId="36F06651" w:rsidR="00392817" w:rsidRPr="00AC37BE" w:rsidRDefault="00392817" w:rsidP="00392817">
            <w:r w:rsidRPr="00AC37BE">
              <w:t>RAS</w:t>
            </w:r>
          </w:p>
        </w:tc>
      </w:tr>
      <w:tr w:rsidR="00392817" w14:paraId="17C7B9D6" w14:textId="77777777" w:rsidTr="00392817">
        <w:trPr>
          <w:cantSplit/>
          <w:trHeight w:val="20"/>
        </w:trPr>
        <w:tc>
          <w:tcPr>
            <w:tcW w:w="846" w:type="dxa"/>
            <w:shd w:val="clear" w:color="auto" w:fill="D9E2F3" w:themeFill="accent1" w:themeFillTint="33"/>
          </w:tcPr>
          <w:p w14:paraId="0BDA6E57" w14:textId="77777777" w:rsidR="00392817" w:rsidRDefault="00392817" w:rsidP="00392817">
            <w:pPr>
              <w:pStyle w:val="ListParagraph"/>
              <w:numPr>
                <w:ilvl w:val="0"/>
                <w:numId w:val="11"/>
              </w:numPr>
            </w:pPr>
          </w:p>
        </w:tc>
        <w:tc>
          <w:tcPr>
            <w:tcW w:w="7087" w:type="dxa"/>
            <w:shd w:val="clear" w:color="auto" w:fill="D9E2F3" w:themeFill="accent1" w:themeFillTint="33"/>
          </w:tcPr>
          <w:p w14:paraId="55C7C750" w14:textId="6837FAE0" w:rsidR="00392817" w:rsidRPr="00B26B70" w:rsidRDefault="00392817" w:rsidP="00392817">
            <w:r w:rsidRPr="002B63E4">
              <w:t>There is a view in certain countries</w:t>
            </w:r>
            <w:r>
              <w:t xml:space="preserve"> and/or by certain stakeholders</w:t>
            </w:r>
            <w:r w:rsidRPr="002B63E4">
              <w:t xml:space="preserve"> that the IAEA Milestone approach is well applied for large reactor deployment and theoretically excellent, </w:t>
            </w:r>
            <w:r>
              <w:t xml:space="preserve">but </w:t>
            </w:r>
            <w:r w:rsidRPr="002B63E4">
              <w:t xml:space="preserve">adaptation of this approach might be needed to support the future roll out of standardized SMRs </w:t>
            </w:r>
            <w:r>
              <w:t>in</w:t>
            </w:r>
            <w:r w:rsidRPr="002B63E4">
              <w:t xml:space="preserve"> developing countries.</w:t>
            </w:r>
          </w:p>
        </w:tc>
        <w:tc>
          <w:tcPr>
            <w:tcW w:w="6096" w:type="dxa"/>
            <w:shd w:val="clear" w:color="auto" w:fill="D9E2F3" w:themeFill="accent1" w:themeFillTint="33"/>
          </w:tcPr>
          <w:p w14:paraId="6C361B61" w14:textId="46A0509F" w:rsidR="00392817" w:rsidRDefault="00392817" w:rsidP="00392817">
            <w:r w:rsidRPr="0053255A">
              <w:t xml:space="preserve">The TWG supports the Agency’s work in this area and would welcome an update on the status of Member State support linked to </w:t>
            </w:r>
            <w:r>
              <w:t>the optimization of the IAEA Milestones Approach, including the means and methods of implementation, in the context of standardized SMR deployment in developing Member States.</w:t>
            </w:r>
          </w:p>
        </w:tc>
        <w:tc>
          <w:tcPr>
            <w:tcW w:w="1425" w:type="dxa"/>
            <w:shd w:val="clear" w:color="auto" w:fill="D9E2F3" w:themeFill="accent1" w:themeFillTint="33"/>
          </w:tcPr>
          <w:p w14:paraId="0F41B729" w14:textId="77777777" w:rsidR="00392817" w:rsidRPr="00AC37BE" w:rsidRDefault="00392817" w:rsidP="00392817">
            <w:r w:rsidRPr="00AC37BE">
              <w:t>NIDS</w:t>
            </w:r>
          </w:p>
          <w:p w14:paraId="671C59BD" w14:textId="77777777" w:rsidR="00392817" w:rsidRPr="00AC37BE" w:rsidRDefault="00392817" w:rsidP="00392817">
            <w:r w:rsidRPr="00AC37BE">
              <w:t>NPTDS</w:t>
            </w:r>
          </w:p>
          <w:p w14:paraId="72C557D7" w14:textId="45AB8A31" w:rsidR="00392817" w:rsidRPr="00AC37BE" w:rsidRDefault="00392817" w:rsidP="00392817">
            <w:r w:rsidRPr="00AC37BE">
              <w:t>NSNI</w:t>
            </w:r>
          </w:p>
        </w:tc>
      </w:tr>
      <w:tr w:rsidR="00392817" w14:paraId="797F5BD5" w14:textId="77777777" w:rsidTr="00392817">
        <w:trPr>
          <w:cantSplit/>
          <w:trHeight w:val="20"/>
        </w:trPr>
        <w:tc>
          <w:tcPr>
            <w:tcW w:w="846" w:type="dxa"/>
            <w:shd w:val="clear" w:color="auto" w:fill="D9E2F3" w:themeFill="accent1" w:themeFillTint="33"/>
          </w:tcPr>
          <w:p w14:paraId="4C9B037C" w14:textId="77777777" w:rsidR="00392817" w:rsidRDefault="00392817" w:rsidP="00392817">
            <w:pPr>
              <w:pStyle w:val="ListParagraph"/>
              <w:numPr>
                <w:ilvl w:val="0"/>
                <w:numId w:val="11"/>
              </w:numPr>
            </w:pPr>
          </w:p>
        </w:tc>
        <w:tc>
          <w:tcPr>
            <w:tcW w:w="7087" w:type="dxa"/>
            <w:shd w:val="clear" w:color="auto" w:fill="D9E2F3" w:themeFill="accent1" w:themeFillTint="33"/>
          </w:tcPr>
          <w:p w14:paraId="4AF4B161" w14:textId="77777777" w:rsidR="00392817" w:rsidRDefault="00392817" w:rsidP="00392817">
            <w:r w:rsidRPr="005E7FC5">
              <w:t>Access to international suppliers and goods (including software applications) a</w:t>
            </w:r>
            <w:r>
              <w:t>s well as</w:t>
            </w:r>
            <w:r w:rsidRPr="005E7FC5">
              <w:t xml:space="preserve"> supply chain</w:t>
            </w:r>
            <w:r>
              <w:t xml:space="preserve"> health and effectiveness</w:t>
            </w:r>
            <w:r w:rsidRPr="005E7FC5">
              <w:t xml:space="preserve"> remain a serious</w:t>
            </w:r>
            <w:r>
              <w:t xml:space="preserve"> challenge to</w:t>
            </w:r>
            <w:r w:rsidRPr="005E7FC5">
              <w:t xml:space="preserve"> the nuclear industry.</w:t>
            </w:r>
          </w:p>
          <w:p w14:paraId="2845B5A0" w14:textId="77777777" w:rsidR="00392817" w:rsidRDefault="00392817" w:rsidP="00392817"/>
          <w:p w14:paraId="71E195C5" w14:textId="1555775F" w:rsidR="00392817" w:rsidRPr="00B26B70" w:rsidRDefault="00392817" w:rsidP="00392817">
            <w:r>
              <w:t>Continued</w:t>
            </w:r>
            <w:r w:rsidRPr="005E7FC5">
              <w:t xml:space="preserve"> discussions on supply chain could reinforce harmonization of design and regulatory requirements, market rules, etc. across reactor types and countries.</w:t>
            </w:r>
          </w:p>
        </w:tc>
        <w:tc>
          <w:tcPr>
            <w:tcW w:w="6096" w:type="dxa"/>
            <w:shd w:val="clear" w:color="auto" w:fill="D9E2F3" w:themeFill="accent1" w:themeFillTint="33"/>
          </w:tcPr>
          <w:p w14:paraId="763B8BB7" w14:textId="6050F1B8" w:rsidR="00392817" w:rsidRDefault="00392817" w:rsidP="00392817">
            <w:r>
              <w:t xml:space="preserve">The TWG supports the Agency’s work on Member State support linked to supply chain health, effectiveness and sustainability and would welcome an update on </w:t>
            </w:r>
            <w:r w:rsidRPr="00E71FAB">
              <w:t xml:space="preserve">the status </w:t>
            </w:r>
            <w:r>
              <w:t>during a future meeting.</w:t>
            </w:r>
          </w:p>
        </w:tc>
        <w:tc>
          <w:tcPr>
            <w:tcW w:w="1425" w:type="dxa"/>
            <w:shd w:val="clear" w:color="auto" w:fill="D9E2F3" w:themeFill="accent1" w:themeFillTint="33"/>
          </w:tcPr>
          <w:p w14:paraId="656BF413" w14:textId="0A2E99AA" w:rsidR="00392817" w:rsidRPr="00AC37BE" w:rsidRDefault="00392817" w:rsidP="00392817">
            <w:r w:rsidRPr="00AC37BE">
              <w:t>NPES</w:t>
            </w:r>
          </w:p>
        </w:tc>
      </w:tr>
      <w:tr w:rsidR="00392817" w14:paraId="482FC681" w14:textId="77777777" w:rsidTr="00AC37BE">
        <w:trPr>
          <w:cantSplit/>
          <w:trHeight w:val="20"/>
        </w:trPr>
        <w:tc>
          <w:tcPr>
            <w:tcW w:w="15454" w:type="dxa"/>
            <w:gridSpan w:val="4"/>
            <w:shd w:val="clear" w:color="auto" w:fill="000000" w:themeFill="text1"/>
          </w:tcPr>
          <w:p w14:paraId="0EBEC8F3" w14:textId="4F3FAEA5" w:rsidR="00392817" w:rsidRPr="00AC37BE" w:rsidRDefault="00392817" w:rsidP="00392817">
            <w:pPr>
              <w:pStyle w:val="ListParagraph"/>
              <w:keepNext/>
              <w:numPr>
                <w:ilvl w:val="0"/>
                <w:numId w:val="2"/>
              </w:numPr>
              <w:ind w:left="357" w:hanging="357"/>
              <w:rPr>
                <w:b/>
                <w:bCs/>
                <w:sz w:val="24"/>
                <w:szCs w:val="24"/>
              </w:rPr>
            </w:pPr>
            <w:r w:rsidRPr="00AC37BE">
              <w:rPr>
                <w:b/>
                <w:bCs/>
                <w:sz w:val="24"/>
                <w:szCs w:val="24"/>
              </w:rPr>
              <w:t>Stakeholder Engagement</w:t>
            </w:r>
          </w:p>
        </w:tc>
      </w:tr>
      <w:tr w:rsidR="00392817" w14:paraId="759238D2" w14:textId="77777777" w:rsidTr="00392817">
        <w:trPr>
          <w:cantSplit/>
          <w:trHeight w:val="20"/>
        </w:trPr>
        <w:tc>
          <w:tcPr>
            <w:tcW w:w="846" w:type="dxa"/>
          </w:tcPr>
          <w:p w14:paraId="7342CBA2" w14:textId="77777777" w:rsidR="00392817" w:rsidRDefault="00392817" w:rsidP="00392817">
            <w:pPr>
              <w:pStyle w:val="ListParagraph"/>
              <w:numPr>
                <w:ilvl w:val="0"/>
                <w:numId w:val="12"/>
              </w:numPr>
            </w:pPr>
          </w:p>
        </w:tc>
        <w:tc>
          <w:tcPr>
            <w:tcW w:w="7087" w:type="dxa"/>
            <w:vMerge w:val="restart"/>
          </w:tcPr>
          <w:p w14:paraId="1C55D9AF" w14:textId="77777777" w:rsidR="00392817" w:rsidRDefault="00392817" w:rsidP="00392817">
            <w:r>
              <w:t xml:space="preserve">A </w:t>
            </w:r>
            <w:r w:rsidRPr="00444142">
              <w:t>trilemma</w:t>
            </w:r>
            <w:r>
              <w:t xml:space="preserve"> exists</w:t>
            </w:r>
            <w:r w:rsidRPr="00444142">
              <w:t xml:space="preserve"> in the energy sector namely: affordab</w:t>
            </w:r>
            <w:r>
              <w:t>ility</w:t>
            </w:r>
            <w:r w:rsidRPr="00444142">
              <w:t>, carbon friendly and supply</w:t>
            </w:r>
            <w:r>
              <w:t xml:space="preserve"> security / reliability.</w:t>
            </w:r>
          </w:p>
          <w:p w14:paraId="46FD3E65" w14:textId="77777777" w:rsidR="00392817" w:rsidRDefault="00392817" w:rsidP="00392817"/>
          <w:p w14:paraId="3B1C0179" w14:textId="77777777" w:rsidR="00392817" w:rsidRDefault="00392817" w:rsidP="00392817">
            <w:r>
              <w:t>Meanwhile, public perception of nuclear power is not currently data or science driven.</w:t>
            </w:r>
          </w:p>
          <w:p w14:paraId="638ADA3A" w14:textId="77777777" w:rsidR="00392817" w:rsidRDefault="00392817" w:rsidP="00392817"/>
          <w:p w14:paraId="530D0160" w14:textId="77777777" w:rsidR="00392817" w:rsidRDefault="00392817" w:rsidP="00392817">
            <w:r>
              <w:t>From Operational Excellence Breakout</w:t>
            </w:r>
          </w:p>
          <w:p w14:paraId="34FAA75A" w14:textId="77777777" w:rsidR="00392817" w:rsidRDefault="00392817" w:rsidP="00392817">
            <w:r w:rsidRPr="00011518">
              <w:t>The IAEA operates several forums for regulatory bodies and also for the nuclear industry.</w:t>
            </w:r>
          </w:p>
          <w:p w14:paraId="0EF2FB9E" w14:textId="77777777" w:rsidR="00392817" w:rsidRDefault="00392817" w:rsidP="00392817"/>
          <w:p w14:paraId="1AABA0A9" w14:textId="77777777" w:rsidR="00392817" w:rsidRDefault="00392817" w:rsidP="00392817">
            <w:r w:rsidRPr="00011518">
              <w:t>There are no joint regulatory-industry forums which would enable open discussions between all stakeholders.</w:t>
            </w:r>
          </w:p>
          <w:p w14:paraId="453F3914" w14:textId="77777777" w:rsidR="00392817" w:rsidRDefault="00392817" w:rsidP="00392817"/>
          <w:p w14:paraId="648AF9D7" w14:textId="257D8B42" w:rsidR="00392817" w:rsidRDefault="00392817" w:rsidP="00392817">
            <w:r>
              <w:t>R</w:t>
            </w:r>
            <w:r w:rsidRPr="00011518">
              <w:t>egulator</w:t>
            </w:r>
            <w:r>
              <w:t>s</w:t>
            </w:r>
            <w:r w:rsidRPr="00011518">
              <w:t xml:space="preserve"> and industry share common goal</w:t>
            </w:r>
            <w:r>
              <w:t>s including the</w:t>
            </w:r>
            <w:r w:rsidRPr="00011518">
              <w:t xml:space="preserve"> safe,</w:t>
            </w:r>
            <w:r>
              <w:t xml:space="preserve"> secure,</w:t>
            </w:r>
            <w:r w:rsidRPr="00011518">
              <w:t xml:space="preserve"> reliable and efficient operation of NPPs.</w:t>
            </w:r>
          </w:p>
        </w:tc>
        <w:tc>
          <w:tcPr>
            <w:tcW w:w="6096" w:type="dxa"/>
          </w:tcPr>
          <w:p w14:paraId="3C3F3D07" w14:textId="07F7AA84" w:rsidR="00392817" w:rsidRDefault="00392817" w:rsidP="00392817">
            <w:r>
              <w:t>Establish an international w</w:t>
            </w:r>
            <w:r w:rsidRPr="001A4A09">
              <w:t xml:space="preserve">orking group to </w:t>
            </w:r>
            <w:r>
              <w:t xml:space="preserve">address stakeholder engagement challenges, including public perception. </w:t>
            </w:r>
          </w:p>
          <w:p w14:paraId="7CCB9900" w14:textId="77777777" w:rsidR="00392817" w:rsidRDefault="00392817" w:rsidP="00392817"/>
          <w:p w14:paraId="4D83638B" w14:textId="77777777" w:rsidR="00392817" w:rsidRDefault="00392817" w:rsidP="00392817">
            <w:pPr>
              <w:rPr>
                <w:i/>
                <w:iCs/>
              </w:rPr>
            </w:pPr>
            <w:r>
              <w:rPr>
                <w:b/>
                <w:bCs/>
                <w:i/>
                <w:iCs/>
              </w:rPr>
              <w:t>TWG Comments</w:t>
            </w:r>
          </w:p>
          <w:p w14:paraId="0F5E2653" w14:textId="77777777" w:rsidR="00392817" w:rsidRDefault="00392817" w:rsidP="00392817">
            <w:pPr>
              <w:pStyle w:val="ListParagraph"/>
              <w:numPr>
                <w:ilvl w:val="0"/>
                <w:numId w:val="7"/>
              </w:numPr>
              <w:rPr>
                <w:i/>
                <w:iCs/>
              </w:rPr>
            </w:pPr>
            <w:r w:rsidRPr="004A56A9">
              <w:rPr>
                <w:i/>
                <w:iCs/>
              </w:rPr>
              <w:t>Social media can be a means to deliver quick and effective explanations and responses to comments</w:t>
            </w:r>
          </w:p>
          <w:p w14:paraId="429F8DD7" w14:textId="6CA53146" w:rsidR="00392817" w:rsidRPr="004A56A9" w:rsidRDefault="00392817" w:rsidP="00392817">
            <w:pPr>
              <w:pStyle w:val="ListParagraph"/>
              <w:numPr>
                <w:ilvl w:val="0"/>
                <w:numId w:val="7"/>
              </w:numPr>
              <w:rPr>
                <w:i/>
                <w:iCs/>
              </w:rPr>
            </w:pPr>
            <w:r w:rsidRPr="00FD7B12">
              <w:rPr>
                <w:i/>
                <w:iCs/>
              </w:rPr>
              <w:t>Videos, i.e. delivered via YouTube and integrated into a Social Media campaign, can explain nuclear power in plain language to a wide variety of audiences including youth.</w:t>
            </w:r>
          </w:p>
        </w:tc>
        <w:tc>
          <w:tcPr>
            <w:tcW w:w="1425" w:type="dxa"/>
          </w:tcPr>
          <w:p w14:paraId="7E1137AF" w14:textId="1C9D6E97" w:rsidR="00392817" w:rsidRPr="00AC37BE" w:rsidRDefault="00392817" w:rsidP="00392817">
            <w:r w:rsidRPr="00AC37BE">
              <w:t>NPES</w:t>
            </w:r>
          </w:p>
        </w:tc>
      </w:tr>
      <w:tr w:rsidR="00392817" w14:paraId="6667E3CE" w14:textId="77777777" w:rsidTr="00392817">
        <w:trPr>
          <w:cantSplit/>
          <w:trHeight w:val="20"/>
        </w:trPr>
        <w:tc>
          <w:tcPr>
            <w:tcW w:w="846" w:type="dxa"/>
          </w:tcPr>
          <w:p w14:paraId="47444CB1" w14:textId="77777777" w:rsidR="00392817" w:rsidRDefault="00392817" w:rsidP="00392817">
            <w:pPr>
              <w:pStyle w:val="ListParagraph"/>
              <w:numPr>
                <w:ilvl w:val="0"/>
                <w:numId w:val="12"/>
              </w:numPr>
            </w:pPr>
          </w:p>
        </w:tc>
        <w:tc>
          <w:tcPr>
            <w:tcW w:w="7087" w:type="dxa"/>
            <w:vMerge/>
          </w:tcPr>
          <w:p w14:paraId="223EEEA8" w14:textId="77777777" w:rsidR="00392817" w:rsidRDefault="00392817" w:rsidP="00392817"/>
        </w:tc>
        <w:tc>
          <w:tcPr>
            <w:tcW w:w="6096" w:type="dxa"/>
          </w:tcPr>
          <w:p w14:paraId="3EEA8F5A" w14:textId="77777777" w:rsidR="00392817" w:rsidRDefault="00392817" w:rsidP="00392817">
            <w:r w:rsidRPr="001A4A09">
              <w:t xml:space="preserve">Establish </w:t>
            </w:r>
            <w:r>
              <w:t>a p</w:t>
            </w:r>
            <w:r w:rsidRPr="001A4A09">
              <w:t>latform for MS to provide information and data from utilities (e.g. carbon saved)</w:t>
            </w:r>
          </w:p>
          <w:p w14:paraId="203C528C" w14:textId="77777777" w:rsidR="00392817" w:rsidRDefault="00392817" w:rsidP="00392817"/>
          <w:p w14:paraId="790FDF73" w14:textId="5B11021B" w:rsidR="00392817" w:rsidRDefault="00392817" w:rsidP="00392817">
            <w:r>
              <w:t>[</w:t>
            </w:r>
            <w:r w:rsidRPr="00C2360F">
              <w:rPr>
                <w:b/>
                <w:bCs/>
              </w:rPr>
              <w:t>From the Operational Excellence Breakout]</w:t>
            </w:r>
          </w:p>
          <w:p w14:paraId="7877D34A" w14:textId="77777777" w:rsidR="00392817" w:rsidRDefault="00392817" w:rsidP="00392817">
            <w:r>
              <w:t>Launch</w:t>
            </w:r>
            <w:r w:rsidRPr="000B37A3">
              <w:t xml:space="preserve"> a high-level Interface Platform</w:t>
            </w:r>
            <w:r>
              <w:t xml:space="preserve"> that fosters engagement between diverse stakeholders, including r</w:t>
            </w:r>
            <w:r w:rsidRPr="000B37A3">
              <w:t xml:space="preserve">egulatory </w:t>
            </w:r>
            <w:r>
              <w:t>b</w:t>
            </w:r>
            <w:r w:rsidRPr="000B37A3">
              <w:t xml:space="preserve">odies and </w:t>
            </w:r>
            <w:r>
              <w:t>o</w:t>
            </w:r>
            <w:r w:rsidRPr="000B37A3">
              <w:t>perators to discuss important topics for the future</w:t>
            </w:r>
            <w:r>
              <w:t>.</w:t>
            </w:r>
          </w:p>
          <w:p w14:paraId="27F1C295" w14:textId="77777777" w:rsidR="00392817" w:rsidRDefault="00392817" w:rsidP="00392817"/>
          <w:p w14:paraId="00C29BFC" w14:textId="77777777" w:rsidR="00392817" w:rsidRDefault="00392817" w:rsidP="00392817">
            <w:pPr>
              <w:rPr>
                <w:i/>
                <w:iCs/>
              </w:rPr>
            </w:pPr>
            <w:r>
              <w:rPr>
                <w:b/>
                <w:bCs/>
                <w:i/>
                <w:iCs/>
              </w:rPr>
              <w:t>TWG Comment</w:t>
            </w:r>
          </w:p>
          <w:p w14:paraId="63565A07" w14:textId="44E6BB75" w:rsidR="00392817" w:rsidRDefault="00392817" w:rsidP="00392817">
            <w:r w:rsidRPr="00730FB5">
              <w:rPr>
                <w:i/>
                <w:iCs/>
              </w:rPr>
              <w:t>Considering its mandate and diverse stakeholder community; the IAEA is ideally positioned to host this integrated engagement platform.</w:t>
            </w:r>
          </w:p>
        </w:tc>
        <w:tc>
          <w:tcPr>
            <w:tcW w:w="1425" w:type="dxa"/>
          </w:tcPr>
          <w:p w14:paraId="6EEA2E76" w14:textId="77777777" w:rsidR="00392817" w:rsidRPr="00AC37BE" w:rsidRDefault="00392817" w:rsidP="00392817">
            <w:r w:rsidRPr="00AC37BE">
              <w:t>NPES</w:t>
            </w:r>
          </w:p>
          <w:p w14:paraId="02C8A4D3" w14:textId="66F03221" w:rsidR="00392817" w:rsidRPr="00AC37BE" w:rsidRDefault="00392817" w:rsidP="00392817">
            <w:r w:rsidRPr="00AC37BE">
              <w:t>RAS</w:t>
            </w:r>
          </w:p>
        </w:tc>
      </w:tr>
      <w:tr w:rsidR="00392817" w14:paraId="4F203134" w14:textId="77777777" w:rsidTr="00392817">
        <w:trPr>
          <w:cantSplit/>
          <w:trHeight w:val="20"/>
        </w:trPr>
        <w:tc>
          <w:tcPr>
            <w:tcW w:w="846" w:type="dxa"/>
          </w:tcPr>
          <w:p w14:paraId="741C51B4" w14:textId="77777777" w:rsidR="00392817" w:rsidRDefault="00392817" w:rsidP="00392817">
            <w:pPr>
              <w:pStyle w:val="ListParagraph"/>
              <w:numPr>
                <w:ilvl w:val="0"/>
                <w:numId w:val="12"/>
              </w:numPr>
            </w:pPr>
          </w:p>
        </w:tc>
        <w:tc>
          <w:tcPr>
            <w:tcW w:w="7087" w:type="dxa"/>
            <w:vMerge/>
          </w:tcPr>
          <w:p w14:paraId="7D7752F5" w14:textId="77777777" w:rsidR="00392817" w:rsidRDefault="00392817" w:rsidP="00392817"/>
        </w:tc>
        <w:tc>
          <w:tcPr>
            <w:tcW w:w="6096" w:type="dxa"/>
          </w:tcPr>
          <w:p w14:paraId="65B688D9" w14:textId="496578F4" w:rsidR="00392817" w:rsidRPr="005453A9" w:rsidRDefault="00392817" w:rsidP="00392817">
            <w:r>
              <w:t>Conduct an International Technical Workshop on Public Perception of Nuclear Power in the Energy Mix.</w:t>
            </w:r>
          </w:p>
        </w:tc>
        <w:tc>
          <w:tcPr>
            <w:tcW w:w="1425" w:type="dxa"/>
          </w:tcPr>
          <w:p w14:paraId="26ACD2D0" w14:textId="505AB60A" w:rsidR="00392817" w:rsidRPr="00AC37BE" w:rsidRDefault="00392817" w:rsidP="00392817">
            <w:r w:rsidRPr="00AC37BE">
              <w:t>NPES</w:t>
            </w:r>
          </w:p>
        </w:tc>
      </w:tr>
      <w:tr w:rsidR="00392817" w14:paraId="29610B2D" w14:textId="77777777" w:rsidTr="00392817">
        <w:trPr>
          <w:cantSplit/>
          <w:trHeight w:val="20"/>
        </w:trPr>
        <w:tc>
          <w:tcPr>
            <w:tcW w:w="846" w:type="dxa"/>
          </w:tcPr>
          <w:p w14:paraId="7E9EA7EF" w14:textId="77777777" w:rsidR="00392817" w:rsidRDefault="00392817" w:rsidP="00392817">
            <w:pPr>
              <w:pStyle w:val="ListParagraph"/>
              <w:numPr>
                <w:ilvl w:val="0"/>
                <w:numId w:val="12"/>
              </w:numPr>
            </w:pPr>
          </w:p>
        </w:tc>
        <w:tc>
          <w:tcPr>
            <w:tcW w:w="7087" w:type="dxa"/>
          </w:tcPr>
          <w:p w14:paraId="78D56612" w14:textId="77777777" w:rsidR="00392817" w:rsidRDefault="00392817" w:rsidP="00392817">
            <w:r>
              <w:t>Policy and other decision makers do not always r</w:t>
            </w:r>
            <w:r w:rsidRPr="00714402">
              <w:t>ecogni</w:t>
            </w:r>
            <w:r>
              <w:t>ze</w:t>
            </w:r>
            <w:r w:rsidRPr="00714402">
              <w:t xml:space="preserve"> the importance of nuclear as a </w:t>
            </w:r>
            <w:r w:rsidRPr="00714402">
              <w:rPr>
                <w:b/>
                <w:bCs/>
                <w:u w:val="single"/>
              </w:rPr>
              <w:t>carbon friendly provider</w:t>
            </w:r>
            <w:r w:rsidRPr="00714402">
              <w:t xml:space="preserve"> and how that fits in the future.</w:t>
            </w:r>
          </w:p>
          <w:p w14:paraId="4A5AA863" w14:textId="77777777" w:rsidR="00392817" w:rsidRDefault="00392817" w:rsidP="00392817"/>
          <w:p w14:paraId="279D64F3" w14:textId="12FAC3B8" w:rsidR="00392817" w:rsidRDefault="00392817" w:rsidP="00392817">
            <w:r>
              <w:t>P</w:t>
            </w:r>
            <w:r w:rsidRPr="00714402">
              <w:t>ower plants</w:t>
            </w:r>
            <w:r>
              <w:t xml:space="preserve">, as a standalone electricity provider is becoming </w:t>
            </w:r>
            <w:r w:rsidRPr="00714402">
              <w:t>a dated concept</w:t>
            </w:r>
            <w:r>
              <w:t>. F</w:t>
            </w:r>
            <w:r w:rsidRPr="00714402">
              <w:t>uture societal energy needs are likely to be grounded in</w:t>
            </w:r>
            <w:r>
              <w:t xml:space="preserve"> integrated</w:t>
            </w:r>
            <w:r w:rsidRPr="00714402">
              <w:t xml:space="preserve"> </w:t>
            </w:r>
            <w:r w:rsidRPr="00714402">
              <w:rPr>
                <w:b/>
                <w:bCs/>
                <w:u w:val="single"/>
              </w:rPr>
              <w:t>partnerships</w:t>
            </w:r>
            <w:r w:rsidRPr="00714402">
              <w:t xml:space="preserve"> with other technologies (H2, renewables, storage etc</w:t>
            </w:r>
            <w:r>
              <w:t>.</w:t>
            </w:r>
            <w:r w:rsidRPr="00714402">
              <w:t>)</w:t>
            </w:r>
          </w:p>
        </w:tc>
        <w:tc>
          <w:tcPr>
            <w:tcW w:w="6096" w:type="dxa"/>
          </w:tcPr>
          <w:p w14:paraId="3B8FA9AB" w14:textId="098D5BF1" w:rsidR="00392817" w:rsidRDefault="00392817" w:rsidP="00392817">
            <w:r w:rsidRPr="00703859">
              <w:t xml:space="preserve">Implement </w:t>
            </w:r>
            <w:r>
              <w:t>an i</w:t>
            </w:r>
            <w:r w:rsidRPr="00703859">
              <w:t>nternational</w:t>
            </w:r>
            <w:r>
              <w:t xml:space="preserve"> – or national if appropriate – </w:t>
            </w:r>
            <w:r w:rsidRPr="00703859">
              <w:t>Technical Workshop</w:t>
            </w:r>
            <w:r>
              <w:t>, and a supporting platform if appropriate,</w:t>
            </w:r>
            <w:r w:rsidRPr="00703859">
              <w:t xml:space="preserve"> on Stakeholder Perceptions of Nuclear Power</w:t>
            </w:r>
            <w:r>
              <w:t xml:space="preserve"> to foster and / or strengthen connectivity between diverse stakeholder groups, including industry, </w:t>
            </w:r>
            <w:r w:rsidRPr="00703859">
              <w:t>regulatory bodies, non-nuclear technologies, government and policymakers</w:t>
            </w:r>
            <w:r>
              <w:t>.</w:t>
            </w:r>
          </w:p>
          <w:p w14:paraId="5FD70CD0" w14:textId="5813666C" w:rsidR="00392817" w:rsidRDefault="00392817" w:rsidP="00392817"/>
          <w:p w14:paraId="7B4D156C" w14:textId="6BD17780" w:rsidR="00392817" w:rsidRPr="00703859" w:rsidRDefault="00392817" w:rsidP="00392817">
            <w:pPr>
              <w:rPr>
                <w:b/>
                <w:bCs/>
                <w:i/>
                <w:iCs/>
              </w:rPr>
            </w:pPr>
            <w:r w:rsidRPr="00E35204">
              <w:rPr>
                <w:b/>
                <w:bCs/>
                <w:i/>
                <w:iCs/>
              </w:rPr>
              <w:t>TWG Comments</w:t>
            </w:r>
          </w:p>
          <w:p w14:paraId="116CC989" w14:textId="66E98B0B" w:rsidR="00392817" w:rsidRPr="005F301A" w:rsidRDefault="00392817" w:rsidP="00392817">
            <w:pPr>
              <w:pStyle w:val="ListParagraph"/>
              <w:numPr>
                <w:ilvl w:val="0"/>
                <w:numId w:val="9"/>
              </w:numPr>
              <w:rPr>
                <w:i/>
                <w:iCs/>
              </w:rPr>
            </w:pPr>
            <w:r w:rsidRPr="005F301A">
              <w:rPr>
                <w:i/>
                <w:iCs/>
              </w:rPr>
              <w:t xml:space="preserve">Establishes links between the nuclear with other technologies at national and international levels </w:t>
            </w:r>
          </w:p>
          <w:p w14:paraId="5C36921F" w14:textId="71FD209A" w:rsidR="00392817" w:rsidRDefault="00392817" w:rsidP="00392817">
            <w:pPr>
              <w:pStyle w:val="ListParagraph"/>
              <w:numPr>
                <w:ilvl w:val="0"/>
                <w:numId w:val="9"/>
              </w:numPr>
            </w:pPr>
            <w:r w:rsidRPr="005F301A">
              <w:rPr>
                <w:i/>
                <w:iCs/>
              </w:rPr>
              <w:t>Establishes links between MS to exchange experience and information</w:t>
            </w:r>
          </w:p>
        </w:tc>
        <w:tc>
          <w:tcPr>
            <w:tcW w:w="1425" w:type="dxa"/>
          </w:tcPr>
          <w:p w14:paraId="349092EB" w14:textId="5B56A099" w:rsidR="00392817" w:rsidRPr="00AC37BE" w:rsidRDefault="00392817" w:rsidP="00392817">
            <w:r w:rsidRPr="00AC37BE">
              <w:t>NPES</w:t>
            </w:r>
          </w:p>
        </w:tc>
      </w:tr>
      <w:tr w:rsidR="00392817" w14:paraId="44D34327" w14:textId="77777777" w:rsidTr="00392817">
        <w:trPr>
          <w:cantSplit/>
          <w:trHeight w:val="20"/>
        </w:trPr>
        <w:tc>
          <w:tcPr>
            <w:tcW w:w="846" w:type="dxa"/>
          </w:tcPr>
          <w:p w14:paraId="04ED3BDD" w14:textId="77777777" w:rsidR="00392817" w:rsidRDefault="00392817" w:rsidP="00392817">
            <w:pPr>
              <w:pStyle w:val="ListParagraph"/>
              <w:keepNext/>
              <w:numPr>
                <w:ilvl w:val="0"/>
                <w:numId w:val="12"/>
              </w:numPr>
            </w:pPr>
          </w:p>
        </w:tc>
        <w:tc>
          <w:tcPr>
            <w:tcW w:w="7087" w:type="dxa"/>
            <w:vMerge w:val="restart"/>
          </w:tcPr>
          <w:p w14:paraId="1C1E3F31" w14:textId="77777777" w:rsidR="00392817" w:rsidRDefault="00392817" w:rsidP="00392817">
            <w:pPr>
              <w:keepNext/>
            </w:pPr>
            <w:r w:rsidRPr="007D58E6">
              <w:t xml:space="preserve">Stakeholder engagement </w:t>
            </w:r>
            <w:r>
              <w:t xml:space="preserve">must include a </w:t>
            </w:r>
            <w:r w:rsidRPr="007D58E6">
              <w:rPr>
                <w:b/>
                <w:bCs/>
                <w:u w:val="single"/>
              </w:rPr>
              <w:t>sustainability</w:t>
            </w:r>
            <w:r w:rsidRPr="007D58E6">
              <w:t xml:space="preserve"> </w:t>
            </w:r>
            <w:r>
              <w:t xml:space="preserve">component that appropriately considers nuclear power’s </w:t>
            </w:r>
            <w:r w:rsidRPr="007D58E6">
              <w:t xml:space="preserve">long-term </w:t>
            </w:r>
            <w:r>
              <w:t>role in sustainable energy systems</w:t>
            </w:r>
            <w:r w:rsidRPr="007D58E6">
              <w:t>.</w:t>
            </w:r>
            <w:r>
              <w:t xml:space="preserve"> This consideration must include, for example, </w:t>
            </w:r>
            <w:r w:rsidRPr="007D58E6">
              <w:t>skills, attractiveness of the organization</w:t>
            </w:r>
            <w:r>
              <w:t xml:space="preserve"> and </w:t>
            </w:r>
            <w:r w:rsidRPr="007D58E6">
              <w:t>societal acceptance.</w:t>
            </w:r>
          </w:p>
        </w:tc>
        <w:tc>
          <w:tcPr>
            <w:tcW w:w="6096" w:type="dxa"/>
          </w:tcPr>
          <w:p w14:paraId="4F6AED3A" w14:textId="08DE2391" w:rsidR="00392817" w:rsidRDefault="00392817" w:rsidP="00392817">
            <w:pPr>
              <w:keepNext/>
            </w:pPr>
            <w:r w:rsidRPr="001F48D9">
              <w:t xml:space="preserve">Launch International Bootcamp for Youth Engagement </w:t>
            </w:r>
            <w:r>
              <w:t>aimed at sustainability and the long-term value brought by nuclear power.</w:t>
            </w:r>
            <w:r w:rsidRPr="001F48D9">
              <w:t xml:space="preserve"> </w:t>
            </w:r>
            <w:r>
              <w:t>(with WNA and/or other partners)</w:t>
            </w:r>
          </w:p>
        </w:tc>
        <w:tc>
          <w:tcPr>
            <w:tcW w:w="1425" w:type="dxa"/>
          </w:tcPr>
          <w:p w14:paraId="541BAD46" w14:textId="05C568D9" w:rsidR="00392817" w:rsidRPr="00AC37BE" w:rsidRDefault="00392817" w:rsidP="00392817">
            <w:pPr>
              <w:keepNext/>
            </w:pPr>
            <w:r w:rsidRPr="00AC37BE">
              <w:t>NPES</w:t>
            </w:r>
          </w:p>
        </w:tc>
      </w:tr>
      <w:tr w:rsidR="00392817" w14:paraId="1C5B3688" w14:textId="77777777" w:rsidTr="00392817">
        <w:trPr>
          <w:cantSplit/>
          <w:trHeight w:val="20"/>
        </w:trPr>
        <w:tc>
          <w:tcPr>
            <w:tcW w:w="846" w:type="dxa"/>
            <w:shd w:val="clear" w:color="auto" w:fill="D9E2F3" w:themeFill="accent1" w:themeFillTint="33"/>
          </w:tcPr>
          <w:p w14:paraId="33289733" w14:textId="77777777" w:rsidR="00392817" w:rsidRDefault="00392817" w:rsidP="00392817">
            <w:pPr>
              <w:pStyle w:val="ListParagraph"/>
              <w:numPr>
                <w:ilvl w:val="0"/>
                <w:numId w:val="12"/>
              </w:numPr>
            </w:pPr>
          </w:p>
        </w:tc>
        <w:tc>
          <w:tcPr>
            <w:tcW w:w="7087" w:type="dxa"/>
            <w:vMerge/>
          </w:tcPr>
          <w:p w14:paraId="373D4630" w14:textId="77777777" w:rsidR="00392817" w:rsidRDefault="00392817" w:rsidP="00392817"/>
        </w:tc>
        <w:tc>
          <w:tcPr>
            <w:tcW w:w="6096" w:type="dxa"/>
            <w:shd w:val="clear" w:color="auto" w:fill="D9E2F3" w:themeFill="accent1" w:themeFillTint="33"/>
          </w:tcPr>
          <w:p w14:paraId="44BA5DEE" w14:textId="4079A83E" w:rsidR="00392817" w:rsidRDefault="00392817" w:rsidP="00392817">
            <w:r>
              <w:t>The TWG supports ongoing activities to develop Member State capacity related to the creation and application of tools such as p</w:t>
            </w:r>
            <w:r w:rsidRPr="001F48D9">
              <w:t xml:space="preserve">resentations, challenges, </w:t>
            </w:r>
            <w:r>
              <w:t xml:space="preserve">and </w:t>
            </w:r>
            <w:r w:rsidRPr="001F48D9">
              <w:t xml:space="preserve">workshops </w:t>
            </w:r>
            <w:r>
              <w:t>that engage</w:t>
            </w:r>
            <w:r w:rsidRPr="001F48D9">
              <w:t xml:space="preserve"> students, young employees</w:t>
            </w:r>
            <w:r>
              <w:t>, etc. and would welcome a quantified update on the status of this work during a future meeting.</w:t>
            </w:r>
          </w:p>
        </w:tc>
        <w:tc>
          <w:tcPr>
            <w:tcW w:w="1425" w:type="dxa"/>
            <w:shd w:val="clear" w:color="auto" w:fill="D9E2F3" w:themeFill="accent1" w:themeFillTint="33"/>
          </w:tcPr>
          <w:p w14:paraId="3CB239AB" w14:textId="546C3E3B" w:rsidR="00392817" w:rsidRPr="00AC37BE" w:rsidRDefault="00392817" w:rsidP="00392817">
            <w:r w:rsidRPr="00AC37BE">
              <w:t>NPES</w:t>
            </w:r>
          </w:p>
        </w:tc>
      </w:tr>
    </w:tbl>
    <w:p w14:paraId="09696393" w14:textId="46693834" w:rsidR="00A80DC6" w:rsidRPr="00397937" w:rsidRDefault="00A80DC6" w:rsidP="00397937">
      <w:pPr>
        <w:jc w:val="both"/>
      </w:pPr>
    </w:p>
    <w:sectPr w:rsidR="00A80DC6" w:rsidRPr="00397937" w:rsidSect="00AC37BE">
      <w:headerReference w:type="default" r:id="rId7"/>
      <w:footerReference w:type="default" r:id="rId8"/>
      <w:pgSz w:w="16838" w:h="11906" w:orient="landscape"/>
      <w:pgMar w:top="1276" w:right="720" w:bottom="720" w:left="720"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0A9D6" w14:textId="77777777" w:rsidR="0045103B" w:rsidRDefault="0045103B" w:rsidP="00FC3945">
      <w:pPr>
        <w:spacing w:after="0" w:line="240" w:lineRule="auto"/>
      </w:pPr>
      <w:r>
        <w:separator/>
      </w:r>
    </w:p>
  </w:endnote>
  <w:endnote w:type="continuationSeparator" w:id="0">
    <w:p w14:paraId="67DCB431" w14:textId="77777777" w:rsidR="0045103B" w:rsidRDefault="0045103B" w:rsidP="00FC3945">
      <w:pPr>
        <w:spacing w:after="0" w:line="240" w:lineRule="auto"/>
      </w:pPr>
      <w:r>
        <w:continuationSeparator/>
      </w:r>
    </w:p>
  </w:endnote>
  <w:endnote w:type="continuationNotice" w:id="1">
    <w:p w14:paraId="3B4496DC" w14:textId="77777777" w:rsidR="0045103B" w:rsidRDefault="004510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49455" w14:textId="32F46A0A" w:rsidR="00FC3945" w:rsidRPr="005A4F43" w:rsidRDefault="005B0A61" w:rsidP="005B0A61">
    <w:pPr>
      <w:pStyle w:val="Footer"/>
      <w:jc w:val="right"/>
      <w:rPr>
        <w:sz w:val="18"/>
        <w:szCs w:val="18"/>
      </w:rPr>
    </w:pPr>
    <w:r w:rsidRPr="005A4F43">
      <w:rPr>
        <w:sz w:val="18"/>
        <w:szCs w:val="18"/>
      </w:rPr>
      <w:t xml:space="preserve">Page </w:t>
    </w:r>
    <w:r w:rsidR="005A4F43" w:rsidRPr="005A4F43">
      <w:rPr>
        <w:sz w:val="18"/>
        <w:szCs w:val="18"/>
      </w:rPr>
      <w:fldChar w:fldCharType="begin"/>
    </w:r>
    <w:r w:rsidR="005A4F43" w:rsidRPr="005A4F43">
      <w:rPr>
        <w:sz w:val="18"/>
        <w:szCs w:val="18"/>
      </w:rPr>
      <w:instrText xml:space="preserve"> PAGE   \* MERGEFORMAT </w:instrText>
    </w:r>
    <w:r w:rsidR="005A4F43" w:rsidRPr="005A4F43">
      <w:rPr>
        <w:sz w:val="18"/>
        <w:szCs w:val="18"/>
      </w:rPr>
      <w:fldChar w:fldCharType="separate"/>
    </w:r>
    <w:r w:rsidR="005A4F43" w:rsidRPr="005A4F43">
      <w:rPr>
        <w:noProof/>
        <w:sz w:val="18"/>
        <w:szCs w:val="18"/>
      </w:rPr>
      <w:t>1</w:t>
    </w:r>
    <w:r w:rsidR="005A4F43" w:rsidRPr="005A4F43">
      <w:rPr>
        <w:sz w:val="18"/>
        <w:szCs w:val="18"/>
      </w:rPr>
      <w:fldChar w:fldCharType="end"/>
    </w:r>
    <w:r w:rsidR="005A4F43" w:rsidRPr="005A4F43">
      <w:rPr>
        <w:sz w:val="18"/>
        <w:szCs w:val="18"/>
      </w:rPr>
      <w:t xml:space="preserve"> of </w:t>
    </w:r>
    <w:r w:rsidR="005A4F43" w:rsidRPr="005A4F43">
      <w:rPr>
        <w:sz w:val="18"/>
        <w:szCs w:val="18"/>
      </w:rPr>
      <w:fldChar w:fldCharType="begin"/>
    </w:r>
    <w:r w:rsidR="005A4F43" w:rsidRPr="005A4F43">
      <w:rPr>
        <w:sz w:val="18"/>
        <w:szCs w:val="18"/>
      </w:rPr>
      <w:instrText xml:space="preserve"> NUMPAGES   \* MERGEFORMAT </w:instrText>
    </w:r>
    <w:r w:rsidR="005A4F43" w:rsidRPr="005A4F43">
      <w:rPr>
        <w:sz w:val="18"/>
        <w:szCs w:val="18"/>
      </w:rPr>
      <w:fldChar w:fldCharType="separate"/>
    </w:r>
    <w:r w:rsidR="005A4F43" w:rsidRPr="005A4F43">
      <w:rPr>
        <w:noProof/>
        <w:sz w:val="18"/>
        <w:szCs w:val="18"/>
      </w:rPr>
      <w:t>6</w:t>
    </w:r>
    <w:r w:rsidR="005A4F43" w:rsidRPr="005A4F4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08F36" w14:textId="77777777" w:rsidR="0045103B" w:rsidRDefault="0045103B" w:rsidP="00FC3945">
      <w:pPr>
        <w:spacing w:after="0" w:line="240" w:lineRule="auto"/>
      </w:pPr>
      <w:r>
        <w:separator/>
      </w:r>
    </w:p>
  </w:footnote>
  <w:footnote w:type="continuationSeparator" w:id="0">
    <w:p w14:paraId="014420C9" w14:textId="77777777" w:rsidR="0045103B" w:rsidRDefault="0045103B" w:rsidP="00FC3945">
      <w:pPr>
        <w:spacing w:after="0" w:line="240" w:lineRule="auto"/>
      </w:pPr>
      <w:r>
        <w:continuationSeparator/>
      </w:r>
    </w:p>
  </w:footnote>
  <w:footnote w:type="continuationNotice" w:id="1">
    <w:p w14:paraId="009AF0EF" w14:textId="77777777" w:rsidR="0045103B" w:rsidRDefault="004510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A7B2E" w14:textId="54D4A1EF" w:rsidR="00FC3945" w:rsidRPr="00EF4828" w:rsidRDefault="00EF4828" w:rsidP="00EF4828">
    <w:pPr>
      <w:pStyle w:val="Header"/>
      <w:jc w:val="center"/>
      <w:rPr>
        <w:b/>
        <w:bCs/>
        <w:sz w:val="28"/>
        <w:szCs w:val="28"/>
      </w:rPr>
    </w:pPr>
    <w:r w:rsidRPr="00EF4828">
      <w:rPr>
        <w:b/>
        <w:bCs/>
        <w:sz w:val="28"/>
        <w:szCs w:val="28"/>
      </w:rPr>
      <w:t>TWG-NPPOPS 3rd Meeting Ou</w:t>
    </w:r>
    <w:r w:rsidR="005B0A61">
      <w:rPr>
        <w:b/>
        <w:bCs/>
        <w:sz w:val="28"/>
        <w:szCs w:val="28"/>
      </w:rPr>
      <w:t>t</w:t>
    </w:r>
    <w:r w:rsidRPr="00EF4828">
      <w:rPr>
        <w:b/>
        <w:bCs/>
        <w:sz w:val="28"/>
        <w:szCs w:val="28"/>
      </w:rPr>
      <w:t>put.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A15"/>
    <w:multiLevelType w:val="hybridMultilevel"/>
    <w:tmpl w:val="76BC8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340E24"/>
    <w:multiLevelType w:val="hybridMultilevel"/>
    <w:tmpl w:val="4E380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9F0CBC"/>
    <w:multiLevelType w:val="hybridMultilevel"/>
    <w:tmpl w:val="8E5E32C2"/>
    <w:lvl w:ilvl="0" w:tplc="F530D2B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D812D4"/>
    <w:multiLevelType w:val="hybridMultilevel"/>
    <w:tmpl w:val="F2124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400278"/>
    <w:multiLevelType w:val="hybridMultilevel"/>
    <w:tmpl w:val="DB3AC8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816ACD"/>
    <w:multiLevelType w:val="hybridMultilevel"/>
    <w:tmpl w:val="FF226ACE"/>
    <w:lvl w:ilvl="0" w:tplc="2F3424DA">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B90B0B"/>
    <w:multiLevelType w:val="hybridMultilevel"/>
    <w:tmpl w:val="4AB0CC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9F1435"/>
    <w:multiLevelType w:val="hybridMultilevel"/>
    <w:tmpl w:val="B8065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06527C"/>
    <w:multiLevelType w:val="hybridMultilevel"/>
    <w:tmpl w:val="4B7C2378"/>
    <w:lvl w:ilvl="0" w:tplc="0809000F">
      <w:start w:val="1"/>
      <w:numFmt w:val="decimal"/>
      <w:lvlText w:val="%1."/>
      <w:lvlJc w:val="left"/>
      <w:pPr>
        <w:ind w:left="360" w:hanging="360"/>
      </w:pPr>
    </w:lvl>
    <w:lvl w:ilvl="1" w:tplc="F530D2BE">
      <w:start w:val="1"/>
      <w:numFmt w:val="lowerLetter"/>
      <w:lvlText w:val="%2."/>
      <w:lvlJc w:val="left"/>
      <w:pPr>
        <w:ind w:left="644"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283303"/>
    <w:multiLevelType w:val="hybridMultilevel"/>
    <w:tmpl w:val="58F4F560"/>
    <w:lvl w:ilvl="0" w:tplc="F530D2B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D807DC"/>
    <w:multiLevelType w:val="hybridMultilevel"/>
    <w:tmpl w:val="DA0E00D0"/>
    <w:lvl w:ilvl="0" w:tplc="0809000F">
      <w:start w:val="1"/>
      <w:numFmt w:val="decimal"/>
      <w:lvlText w:val="%1."/>
      <w:lvlJc w:val="left"/>
      <w:pPr>
        <w:ind w:left="360" w:hanging="360"/>
      </w:pPr>
    </w:lvl>
    <w:lvl w:ilvl="1" w:tplc="65B079E8">
      <w:start w:val="1"/>
      <w:numFmt w:val="upp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48E3048"/>
    <w:multiLevelType w:val="hybridMultilevel"/>
    <w:tmpl w:val="CAC0C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AA7C4E"/>
    <w:multiLevelType w:val="hybridMultilevel"/>
    <w:tmpl w:val="1EFAD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3D618D"/>
    <w:multiLevelType w:val="hybridMultilevel"/>
    <w:tmpl w:val="7870F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5753BE"/>
    <w:multiLevelType w:val="hybridMultilevel"/>
    <w:tmpl w:val="0A9680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7A50D5"/>
    <w:multiLevelType w:val="hybridMultilevel"/>
    <w:tmpl w:val="6D84F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534232"/>
    <w:multiLevelType w:val="hybridMultilevel"/>
    <w:tmpl w:val="7B04C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DF3FB3"/>
    <w:multiLevelType w:val="hybridMultilevel"/>
    <w:tmpl w:val="FC781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0"/>
  </w:num>
  <w:num w:numId="4">
    <w:abstractNumId w:val="13"/>
  </w:num>
  <w:num w:numId="5">
    <w:abstractNumId w:val="7"/>
  </w:num>
  <w:num w:numId="6">
    <w:abstractNumId w:val="17"/>
  </w:num>
  <w:num w:numId="7">
    <w:abstractNumId w:val="11"/>
  </w:num>
  <w:num w:numId="8">
    <w:abstractNumId w:val="16"/>
  </w:num>
  <w:num w:numId="9">
    <w:abstractNumId w:val="3"/>
  </w:num>
  <w:num w:numId="10">
    <w:abstractNumId w:val="12"/>
  </w:num>
  <w:num w:numId="11">
    <w:abstractNumId w:val="2"/>
  </w:num>
  <w:num w:numId="12">
    <w:abstractNumId w:val="9"/>
  </w:num>
  <w:num w:numId="13">
    <w:abstractNumId w:val="1"/>
  </w:num>
  <w:num w:numId="14">
    <w:abstractNumId w:val="5"/>
  </w:num>
  <w:num w:numId="15">
    <w:abstractNumId w:val="4"/>
  </w:num>
  <w:num w:numId="16">
    <w:abstractNumId w:val="14"/>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displayBackgroundShap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64"/>
    <w:rsid w:val="000007A1"/>
    <w:rsid w:val="00003510"/>
    <w:rsid w:val="000050AD"/>
    <w:rsid w:val="0000566C"/>
    <w:rsid w:val="00010081"/>
    <w:rsid w:val="00010B03"/>
    <w:rsid w:val="00011518"/>
    <w:rsid w:val="00011C15"/>
    <w:rsid w:val="000128D5"/>
    <w:rsid w:val="00015E1C"/>
    <w:rsid w:val="00021E92"/>
    <w:rsid w:val="000228FF"/>
    <w:rsid w:val="000238BA"/>
    <w:rsid w:val="00023933"/>
    <w:rsid w:val="000245F8"/>
    <w:rsid w:val="000265FA"/>
    <w:rsid w:val="00030DD4"/>
    <w:rsid w:val="000316D7"/>
    <w:rsid w:val="00032662"/>
    <w:rsid w:val="0003502B"/>
    <w:rsid w:val="0003588E"/>
    <w:rsid w:val="0003771C"/>
    <w:rsid w:val="00037B50"/>
    <w:rsid w:val="000410B4"/>
    <w:rsid w:val="00041A40"/>
    <w:rsid w:val="000425DD"/>
    <w:rsid w:val="00042756"/>
    <w:rsid w:val="00043B1D"/>
    <w:rsid w:val="0004715B"/>
    <w:rsid w:val="00047661"/>
    <w:rsid w:val="00050C3F"/>
    <w:rsid w:val="00053866"/>
    <w:rsid w:val="00054030"/>
    <w:rsid w:val="000545ED"/>
    <w:rsid w:val="00057DD4"/>
    <w:rsid w:val="00061209"/>
    <w:rsid w:val="00062A26"/>
    <w:rsid w:val="00066284"/>
    <w:rsid w:val="00066E74"/>
    <w:rsid w:val="0006798C"/>
    <w:rsid w:val="00071C20"/>
    <w:rsid w:val="000730CE"/>
    <w:rsid w:val="00073D1D"/>
    <w:rsid w:val="00074ECD"/>
    <w:rsid w:val="00075676"/>
    <w:rsid w:val="000800A8"/>
    <w:rsid w:val="0008091B"/>
    <w:rsid w:val="00081B9A"/>
    <w:rsid w:val="0008284F"/>
    <w:rsid w:val="0008344C"/>
    <w:rsid w:val="00083E7D"/>
    <w:rsid w:val="00093896"/>
    <w:rsid w:val="00093AB2"/>
    <w:rsid w:val="00097106"/>
    <w:rsid w:val="000A1A20"/>
    <w:rsid w:val="000A2BBE"/>
    <w:rsid w:val="000A493C"/>
    <w:rsid w:val="000A4EED"/>
    <w:rsid w:val="000A5204"/>
    <w:rsid w:val="000A6B04"/>
    <w:rsid w:val="000A7FE5"/>
    <w:rsid w:val="000B1B45"/>
    <w:rsid w:val="000B37A3"/>
    <w:rsid w:val="000B3CE2"/>
    <w:rsid w:val="000B4805"/>
    <w:rsid w:val="000B6921"/>
    <w:rsid w:val="000B6C0A"/>
    <w:rsid w:val="000B786F"/>
    <w:rsid w:val="000C0C62"/>
    <w:rsid w:val="000C26DE"/>
    <w:rsid w:val="000C4707"/>
    <w:rsid w:val="000C55CF"/>
    <w:rsid w:val="000C572D"/>
    <w:rsid w:val="000C62A9"/>
    <w:rsid w:val="000C6B96"/>
    <w:rsid w:val="000C72D0"/>
    <w:rsid w:val="000D1193"/>
    <w:rsid w:val="000D1633"/>
    <w:rsid w:val="000D173C"/>
    <w:rsid w:val="000D1E06"/>
    <w:rsid w:val="000D683E"/>
    <w:rsid w:val="000E3AB4"/>
    <w:rsid w:val="000E689B"/>
    <w:rsid w:val="000E7C3C"/>
    <w:rsid w:val="000F0F92"/>
    <w:rsid w:val="000F27C1"/>
    <w:rsid w:val="000F3F31"/>
    <w:rsid w:val="000F57F4"/>
    <w:rsid w:val="000F6BC5"/>
    <w:rsid w:val="00100B81"/>
    <w:rsid w:val="00101A29"/>
    <w:rsid w:val="00104E91"/>
    <w:rsid w:val="00105851"/>
    <w:rsid w:val="00106AFF"/>
    <w:rsid w:val="00106BCA"/>
    <w:rsid w:val="00110E81"/>
    <w:rsid w:val="0011375C"/>
    <w:rsid w:val="00113EBA"/>
    <w:rsid w:val="0011443E"/>
    <w:rsid w:val="001152F0"/>
    <w:rsid w:val="0011569D"/>
    <w:rsid w:val="00116B09"/>
    <w:rsid w:val="00121195"/>
    <w:rsid w:val="00121B03"/>
    <w:rsid w:val="00122490"/>
    <w:rsid w:val="00123DD3"/>
    <w:rsid w:val="0012499F"/>
    <w:rsid w:val="00126351"/>
    <w:rsid w:val="0012794D"/>
    <w:rsid w:val="001303E7"/>
    <w:rsid w:val="00135C94"/>
    <w:rsid w:val="00136E9D"/>
    <w:rsid w:val="00136EA2"/>
    <w:rsid w:val="00141421"/>
    <w:rsid w:val="00141E60"/>
    <w:rsid w:val="00142B85"/>
    <w:rsid w:val="00142CFD"/>
    <w:rsid w:val="0014402C"/>
    <w:rsid w:val="00147095"/>
    <w:rsid w:val="00150723"/>
    <w:rsid w:val="0015210E"/>
    <w:rsid w:val="00156CBF"/>
    <w:rsid w:val="00157799"/>
    <w:rsid w:val="0016019B"/>
    <w:rsid w:val="001636BE"/>
    <w:rsid w:val="00163B05"/>
    <w:rsid w:val="00164D26"/>
    <w:rsid w:val="00167BD6"/>
    <w:rsid w:val="00170B61"/>
    <w:rsid w:val="00173B33"/>
    <w:rsid w:val="00174F43"/>
    <w:rsid w:val="00175747"/>
    <w:rsid w:val="001801B0"/>
    <w:rsid w:val="0018539B"/>
    <w:rsid w:val="00186973"/>
    <w:rsid w:val="00187740"/>
    <w:rsid w:val="00191DFD"/>
    <w:rsid w:val="0019353A"/>
    <w:rsid w:val="0019472A"/>
    <w:rsid w:val="00196D24"/>
    <w:rsid w:val="001A3083"/>
    <w:rsid w:val="001A4A09"/>
    <w:rsid w:val="001A5B8F"/>
    <w:rsid w:val="001A6484"/>
    <w:rsid w:val="001A6970"/>
    <w:rsid w:val="001A7A69"/>
    <w:rsid w:val="001A7E45"/>
    <w:rsid w:val="001A7F9F"/>
    <w:rsid w:val="001B0AF1"/>
    <w:rsid w:val="001B0E89"/>
    <w:rsid w:val="001B133A"/>
    <w:rsid w:val="001B2024"/>
    <w:rsid w:val="001B3523"/>
    <w:rsid w:val="001B3B19"/>
    <w:rsid w:val="001B3DF0"/>
    <w:rsid w:val="001B3E02"/>
    <w:rsid w:val="001B4D54"/>
    <w:rsid w:val="001B7D4D"/>
    <w:rsid w:val="001C2A20"/>
    <w:rsid w:val="001C2C1B"/>
    <w:rsid w:val="001C5412"/>
    <w:rsid w:val="001C5678"/>
    <w:rsid w:val="001C5826"/>
    <w:rsid w:val="001C5DFB"/>
    <w:rsid w:val="001D0637"/>
    <w:rsid w:val="001D14E6"/>
    <w:rsid w:val="001D1A47"/>
    <w:rsid w:val="001D3939"/>
    <w:rsid w:val="001D4F02"/>
    <w:rsid w:val="001D5598"/>
    <w:rsid w:val="001E084E"/>
    <w:rsid w:val="001E1A80"/>
    <w:rsid w:val="001E2646"/>
    <w:rsid w:val="001E324C"/>
    <w:rsid w:val="001E36FB"/>
    <w:rsid w:val="001E477B"/>
    <w:rsid w:val="001E4ADF"/>
    <w:rsid w:val="001E557E"/>
    <w:rsid w:val="001F0A29"/>
    <w:rsid w:val="001F1940"/>
    <w:rsid w:val="001F1E5E"/>
    <w:rsid w:val="001F3D00"/>
    <w:rsid w:val="001F48D9"/>
    <w:rsid w:val="001F50F5"/>
    <w:rsid w:val="001F5601"/>
    <w:rsid w:val="00204EA6"/>
    <w:rsid w:val="002056F5"/>
    <w:rsid w:val="00206D37"/>
    <w:rsid w:val="0020784B"/>
    <w:rsid w:val="00207B12"/>
    <w:rsid w:val="00210BA1"/>
    <w:rsid w:val="0021138F"/>
    <w:rsid w:val="0021189D"/>
    <w:rsid w:val="0021278C"/>
    <w:rsid w:val="00213788"/>
    <w:rsid w:val="0021426C"/>
    <w:rsid w:val="00215B10"/>
    <w:rsid w:val="002162CE"/>
    <w:rsid w:val="00217A89"/>
    <w:rsid w:val="002215AF"/>
    <w:rsid w:val="00221897"/>
    <w:rsid w:val="00222150"/>
    <w:rsid w:val="002259ED"/>
    <w:rsid w:val="00225F03"/>
    <w:rsid w:val="00226D1C"/>
    <w:rsid w:val="0022749E"/>
    <w:rsid w:val="002274BB"/>
    <w:rsid w:val="002404DF"/>
    <w:rsid w:val="00240CF8"/>
    <w:rsid w:val="00242979"/>
    <w:rsid w:val="00243723"/>
    <w:rsid w:val="00243A7B"/>
    <w:rsid w:val="002443F1"/>
    <w:rsid w:val="00244F25"/>
    <w:rsid w:val="002467AE"/>
    <w:rsid w:val="00246A90"/>
    <w:rsid w:val="00247A5D"/>
    <w:rsid w:val="0025427C"/>
    <w:rsid w:val="00257CA7"/>
    <w:rsid w:val="00257F04"/>
    <w:rsid w:val="002618CD"/>
    <w:rsid w:val="00261D7F"/>
    <w:rsid w:val="00266AA0"/>
    <w:rsid w:val="002704AC"/>
    <w:rsid w:val="00271474"/>
    <w:rsid w:val="00273055"/>
    <w:rsid w:val="00274800"/>
    <w:rsid w:val="00274AE3"/>
    <w:rsid w:val="00276C68"/>
    <w:rsid w:val="00276F40"/>
    <w:rsid w:val="00280818"/>
    <w:rsid w:val="00280CE5"/>
    <w:rsid w:val="00280F8E"/>
    <w:rsid w:val="0028133C"/>
    <w:rsid w:val="00281AB0"/>
    <w:rsid w:val="0028223F"/>
    <w:rsid w:val="00284FF8"/>
    <w:rsid w:val="00285788"/>
    <w:rsid w:val="002859FC"/>
    <w:rsid w:val="00285CF3"/>
    <w:rsid w:val="002905E3"/>
    <w:rsid w:val="00291A6B"/>
    <w:rsid w:val="002936D6"/>
    <w:rsid w:val="00294876"/>
    <w:rsid w:val="00294A84"/>
    <w:rsid w:val="00297177"/>
    <w:rsid w:val="002A116C"/>
    <w:rsid w:val="002A3A63"/>
    <w:rsid w:val="002A3B90"/>
    <w:rsid w:val="002A3CD5"/>
    <w:rsid w:val="002A7CA2"/>
    <w:rsid w:val="002B130E"/>
    <w:rsid w:val="002B3250"/>
    <w:rsid w:val="002B4E80"/>
    <w:rsid w:val="002B63E4"/>
    <w:rsid w:val="002C12B2"/>
    <w:rsid w:val="002C2C59"/>
    <w:rsid w:val="002D0812"/>
    <w:rsid w:val="002D16AB"/>
    <w:rsid w:val="002D29E6"/>
    <w:rsid w:val="002D4AE1"/>
    <w:rsid w:val="002D7D8E"/>
    <w:rsid w:val="002E0200"/>
    <w:rsid w:val="002E09E1"/>
    <w:rsid w:val="002E0E7D"/>
    <w:rsid w:val="002E0F85"/>
    <w:rsid w:val="002E2F5F"/>
    <w:rsid w:val="002E39A3"/>
    <w:rsid w:val="002E467B"/>
    <w:rsid w:val="002E47EB"/>
    <w:rsid w:val="002E54AF"/>
    <w:rsid w:val="002F1154"/>
    <w:rsid w:val="002F1A7F"/>
    <w:rsid w:val="002F28EA"/>
    <w:rsid w:val="002F3E80"/>
    <w:rsid w:val="002F4079"/>
    <w:rsid w:val="002F6544"/>
    <w:rsid w:val="00300395"/>
    <w:rsid w:val="00300811"/>
    <w:rsid w:val="00302D34"/>
    <w:rsid w:val="00304211"/>
    <w:rsid w:val="00305B93"/>
    <w:rsid w:val="00305C17"/>
    <w:rsid w:val="0030619C"/>
    <w:rsid w:val="00306A73"/>
    <w:rsid w:val="00310E87"/>
    <w:rsid w:val="003132F3"/>
    <w:rsid w:val="00313D35"/>
    <w:rsid w:val="00321E75"/>
    <w:rsid w:val="00325073"/>
    <w:rsid w:val="00327D50"/>
    <w:rsid w:val="00332E2B"/>
    <w:rsid w:val="00334513"/>
    <w:rsid w:val="00337D0A"/>
    <w:rsid w:val="0034102E"/>
    <w:rsid w:val="0034169B"/>
    <w:rsid w:val="00341D90"/>
    <w:rsid w:val="0034210A"/>
    <w:rsid w:val="00342F23"/>
    <w:rsid w:val="00343972"/>
    <w:rsid w:val="0034505A"/>
    <w:rsid w:val="0034633E"/>
    <w:rsid w:val="00347D83"/>
    <w:rsid w:val="00353C6A"/>
    <w:rsid w:val="00353E60"/>
    <w:rsid w:val="00354564"/>
    <w:rsid w:val="00354D38"/>
    <w:rsid w:val="00355B97"/>
    <w:rsid w:val="0035692B"/>
    <w:rsid w:val="0036052B"/>
    <w:rsid w:val="00360748"/>
    <w:rsid w:val="003622F2"/>
    <w:rsid w:val="00362EB7"/>
    <w:rsid w:val="00366BA2"/>
    <w:rsid w:val="00374630"/>
    <w:rsid w:val="00376554"/>
    <w:rsid w:val="003765E2"/>
    <w:rsid w:val="00381DA1"/>
    <w:rsid w:val="00385F5F"/>
    <w:rsid w:val="00386002"/>
    <w:rsid w:val="0038620D"/>
    <w:rsid w:val="00391F6C"/>
    <w:rsid w:val="003923A2"/>
    <w:rsid w:val="00392817"/>
    <w:rsid w:val="00395578"/>
    <w:rsid w:val="003955D6"/>
    <w:rsid w:val="00396F41"/>
    <w:rsid w:val="00397937"/>
    <w:rsid w:val="00397E45"/>
    <w:rsid w:val="00397FFD"/>
    <w:rsid w:val="003A06F1"/>
    <w:rsid w:val="003A1BC7"/>
    <w:rsid w:val="003A25DA"/>
    <w:rsid w:val="003A3BDC"/>
    <w:rsid w:val="003A3DEE"/>
    <w:rsid w:val="003A44F2"/>
    <w:rsid w:val="003A488A"/>
    <w:rsid w:val="003A7859"/>
    <w:rsid w:val="003B3C48"/>
    <w:rsid w:val="003B4716"/>
    <w:rsid w:val="003B4E4B"/>
    <w:rsid w:val="003B58AF"/>
    <w:rsid w:val="003B6C04"/>
    <w:rsid w:val="003C003C"/>
    <w:rsid w:val="003C2250"/>
    <w:rsid w:val="003C25BD"/>
    <w:rsid w:val="003C26FF"/>
    <w:rsid w:val="003C6094"/>
    <w:rsid w:val="003C716B"/>
    <w:rsid w:val="003C733A"/>
    <w:rsid w:val="003C7A0A"/>
    <w:rsid w:val="003D1080"/>
    <w:rsid w:val="003D19EB"/>
    <w:rsid w:val="003D43FB"/>
    <w:rsid w:val="003D495F"/>
    <w:rsid w:val="003E09FE"/>
    <w:rsid w:val="003E38C0"/>
    <w:rsid w:val="003F2CC4"/>
    <w:rsid w:val="003F3781"/>
    <w:rsid w:val="003F5510"/>
    <w:rsid w:val="003F5533"/>
    <w:rsid w:val="003F5974"/>
    <w:rsid w:val="00404E88"/>
    <w:rsid w:val="00407430"/>
    <w:rsid w:val="004103F9"/>
    <w:rsid w:val="00411021"/>
    <w:rsid w:val="0041141D"/>
    <w:rsid w:val="00413437"/>
    <w:rsid w:val="004139AD"/>
    <w:rsid w:val="00414342"/>
    <w:rsid w:val="00414DA0"/>
    <w:rsid w:val="004151F5"/>
    <w:rsid w:val="00416A14"/>
    <w:rsid w:val="00416D8C"/>
    <w:rsid w:val="00420147"/>
    <w:rsid w:val="004201FC"/>
    <w:rsid w:val="00424096"/>
    <w:rsid w:val="0042638E"/>
    <w:rsid w:val="00427203"/>
    <w:rsid w:val="00427E62"/>
    <w:rsid w:val="00433B83"/>
    <w:rsid w:val="00433E1D"/>
    <w:rsid w:val="00435075"/>
    <w:rsid w:val="004360E4"/>
    <w:rsid w:val="00437DAE"/>
    <w:rsid w:val="00440339"/>
    <w:rsid w:val="004414BD"/>
    <w:rsid w:val="00442E8E"/>
    <w:rsid w:val="00444142"/>
    <w:rsid w:val="00445153"/>
    <w:rsid w:val="004457F5"/>
    <w:rsid w:val="00446B09"/>
    <w:rsid w:val="004478D9"/>
    <w:rsid w:val="004507C2"/>
    <w:rsid w:val="0045103B"/>
    <w:rsid w:val="00453EA4"/>
    <w:rsid w:val="0045492D"/>
    <w:rsid w:val="00463AAD"/>
    <w:rsid w:val="00464D04"/>
    <w:rsid w:val="00465A18"/>
    <w:rsid w:val="00465E5B"/>
    <w:rsid w:val="00465FA5"/>
    <w:rsid w:val="0046600F"/>
    <w:rsid w:val="00467779"/>
    <w:rsid w:val="004709E8"/>
    <w:rsid w:val="00470D42"/>
    <w:rsid w:val="00471870"/>
    <w:rsid w:val="00473DD5"/>
    <w:rsid w:val="00474472"/>
    <w:rsid w:val="00475902"/>
    <w:rsid w:val="00476357"/>
    <w:rsid w:val="00476DE4"/>
    <w:rsid w:val="0047791B"/>
    <w:rsid w:val="00480628"/>
    <w:rsid w:val="00483085"/>
    <w:rsid w:val="00492148"/>
    <w:rsid w:val="00492DE2"/>
    <w:rsid w:val="0049304D"/>
    <w:rsid w:val="00494E6C"/>
    <w:rsid w:val="004966F6"/>
    <w:rsid w:val="004A0160"/>
    <w:rsid w:val="004A0676"/>
    <w:rsid w:val="004A1F42"/>
    <w:rsid w:val="004A2249"/>
    <w:rsid w:val="004A3BCE"/>
    <w:rsid w:val="004A3D52"/>
    <w:rsid w:val="004A56A9"/>
    <w:rsid w:val="004A759A"/>
    <w:rsid w:val="004B0552"/>
    <w:rsid w:val="004B5F6E"/>
    <w:rsid w:val="004C031A"/>
    <w:rsid w:val="004C1F35"/>
    <w:rsid w:val="004C401B"/>
    <w:rsid w:val="004C6900"/>
    <w:rsid w:val="004D0EAF"/>
    <w:rsid w:val="004D1DF2"/>
    <w:rsid w:val="004D6941"/>
    <w:rsid w:val="004E1041"/>
    <w:rsid w:val="004E1665"/>
    <w:rsid w:val="004E319D"/>
    <w:rsid w:val="004E647E"/>
    <w:rsid w:val="004F385F"/>
    <w:rsid w:val="004F5C95"/>
    <w:rsid w:val="004F62B9"/>
    <w:rsid w:val="004F6891"/>
    <w:rsid w:val="0050010D"/>
    <w:rsid w:val="005027C9"/>
    <w:rsid w:val="0050446D"/>
    <w:rsid w:val="00504566"/>
    <w:rsid w:val="005053CA"/>
    <w:rsid w:val="0050595D"/>
    <w:rsid w:val="00507164"/>
    <w:rsid w:val="0050722F"/>
    <w:rsid w:val="00510E64"/>
    <w:rsid w:val="00511CA8"/>
    <w:rsid w:val="00511F5D"/>
    <w:rsid w:val="005125C8"/>
    <w:rsid w:val="00514001"/>
    <w:rsid w:val="0051736D"/>
    <w:rsid w:val="00517FCB"/>
    <w:rsid w:val="00520235"/>
    <w:rsid w:val="00520AA9"/>
    <w:rsid w:val="00523B9A"/>
    <w:rsid w:val="005276EA"/>
    <w:rsid w:val="0052792F"/>
    <w:rsid w:val="005319DD"/>
    <w:rsid w:val="0053255A"/>
    <w:rsid w:val="005326A5"/>
    <w:rsid w:val="0053340E"/>
    <w:rsid w:val="00534787"/>
    <w:rsid w:val="0053481C"/>
    <w:rsid w:val="00537F5F"/>
    <w:rsid w:val="00540AAA"/>
    <w:rsid w:val="005412B0"/>
    <w:rsid w:val="00545307"/>
    <w:rsid w:val="005453A9"/>
    <w:rsid w:val="0054771A"/>
    <w:rsid w:val="00552E8E"/>
    <w:rsid w:val="00553C35"/>
    <w:rsid w:val="005575F7"/>
    <w:rsid w:val="00560DC0"/>
    <w:rsid w:val="00560F7E"/>
    <w:rsid w:val="00560FF7"/>
    <w:rsid w:val="00563B73"/>
    <w:rsid w:val="005660D6"/>
    <w:rsid w:val="0056639F"/>
    <w:rsid w:val="00566683"/>
    <w:rsid w:val="005669D4"/>
    <w:rsid w:val="00566C39"/>
    <w:rsid w:val="0057371B"/>
    <w:rsid w:val="00576B7F"/>
    <w:rsid w:val="005773F7"/>
    <w:rsid w:val="0057787F"/>
    <w:rsid w:val="00577D1A"/>
    <w:rsid w:val="005816C6"/>
    <w:rsid w:val="00586E86"/>
    <w:rsid w:val="00587D9C"/>
    <w:rsid w:val="00591C0F"/>
    <w:rsid w:val="00592789"/>
    <w:rsid w:val="00592C8B"/>
    <w:rsid w:val="00593979"/>
    <w:rsid w:val="00593A22"/>
    <w:rsid w:val="00594EBB"/>
    <w:rsid w:val="005958A0"/>
    <w:rsid w:val="00596CC8"/>
    <w:rsid w:val="005A40BD"/>
    <w:rsid w:val="005A4A9B"/>
    <w:rsid w:val="005A4F43"/>
    <w:rsid w:val="005B07AE"/>
    <w:rsid w:val="005B0A61"/>
    <w:rsid w:val="005B1449"/>
    <w:rsid w:val="005B1763"/>
    <w:rsid w:val="005B1C11"/>
    <w:rsid w:val="005B2338"/>
    <w:rsid w:val="005B24CC"/>
    <w:rsid w:val="005B2D54"/>
    <w:rsid w:val="005B3692"/>
    <w:rsid w:val="005B7A89"/>
    <w:rsid w:val="005B7C25"/>
    <w:rsid w:val="005C07AC"/>
    <w:rsid w:val="005C100E"/>
    <w:rsid w:val="005C4681"/>
    <w:rsid w:val="005C47F3"/>
    <w:rsid w:val="005C4CA3"/>
    <w:rsid w:val="005C6C78"/>
    <w:rsid w:val="005D259A"/>
    <w:rsid w:val="005D2670"/>
    <w:rsid w:val="005D465C"/>
    <w:rsid w:val="005D4936"/>
    <w:rsid w:val="005D561A"/>
    <w:rsid w:val="005D5BC2"/>
    <w:rsid w:val="005D749E"/>
    <w:rsid w:val="005D7D56"/>
    <w:rsid w:val="005E1376"/>
    <w:rsid w:val="005E2165"/>
    <w:rsid w:val="005E4D33"/>
    <w:rsid w:val="005E6FAB"/>
    <w:rsid w:val="005E75B9"/>
    <w:rsid w:val="005E7FC5"/>
    <w:rsid w:val="005F033E"/>
    <w:rsid w:val="005F1018"/>
    <w:rsid w:val="005F28E3"/>
    <w:rsid w:val="005F301A"/>
    <w:rsid w:val="005F657E"/>
    <w:rsid w:val="005F6900"/>
    <w:rsid w:val="005F7EB5"/>
    <w:rsid w:val="00600498"/>
    <w:rsid w:val="0060357D"/>
    <w:rsid w:val="006043AF"/>
    <w:rsid w:val="006044B7"/>
    <w:rsid w:val="0060461E"/>
    <w:rsid w:val="00604D6D"/>
    <w:rsid w:val="006056EF"/>
    <w:rsid w:val="006059FA"/>
    <w:rsid w:val="00606FCD"/>
    <w:rsid w:val="00607028"/>
    <w:rsid w:val="00607F09"/>
    <w:rsid w:val="00607F9B"/>
    <w:rsid w:val="00610367"/>
    <w:rsid w:val="006154B2"/>
    <w:rsid w:val="00623544"/>
    <w:rsid w:val="0062429C"/>
    <w:rsid w:val="00626279"/>
    <w:rsid w:val="00627CDA"/>
    <w:rsid w:val="00631A75"/>
    <w:rsid w:val="00635992"/>
    <w:rsid w:val="00635A5A"/>
    <w:rsid w:val="00636EDC"/>
    <w:rsid w:val="00636FA5"/>
    <w:rsid w:val="00640171"/>
    <w:rsid w:val="00641164"/>
    <w:rsid w:val="00641C44"/>
    <w:rsid w:val="00643316"/>
    <w:rsid w:val="00643A14"/>
    <w:rsid w:val="00644081"/>
    <w:rsid w:val="0064477E"/>
    <w:rsid w:val="0064643F"/>
    <w:rsid w:val="006464ED"/>
    <w:rsid w:val="0065033D"/>
    <w:rsid w:val="00650F36"/>
    <w:rsid w:val="006527A9"/>
    <w:rsid w:val="00653028"/>
    <w:rsid w:val="00657C21"/>
    <w:rsid w:val="0066121F"/>
    <w:rsid w:val="0066204F"/>
    <w:rsid w:val="00663731"/>
    <w:rsid w:val="00667EA2"/>
    <w:rsid w:val="00673AA0"/>
    <w:rsid w:val="00673E39"/>
    <w:rsid w:val="00675510"/>
    <w:rsid w:val="00675EF8"/>
    <w:rsid w:val="006767B5"/>
    <w:rsid w:val="00680417"/>
    <w:rsid w:val="00680ECD"/>
    <w:rsid w:val="006827E2"/>
    <w:rsid w:val="00682B85"/>
    <w:rsid w:val="006838D3"/>
    <w:rsid w:val="006842B4"/>
    <w:rsid w:val="00685E0D"/>
    <w:rsid w:val="00686523"/>
    <w:rsid w:val="00690608"/>
    <w:rsid w:val="006935DC"/>
    <w:rsid w:val="00693AA8"/>
    <w:rsid w:val="006956FE"/>
    <w:rsid w:val="006974FA"/>
    <w:rsid w:val="006A02F6"/>
    <w:rsid w:val="006A0585"/>
    <w:rsid w:val="006A2B74"/>
    <w:rsid w:val="006A2C8B"/>
    <w:rsid w:val="006A4D73"/>
    <w:rsid w:val="006A50C7"/>
    <w:rsid w:val="006B0782"/>
    <w:rsid w:val="006B25C5"/>
    <w:rsid w:val="006B373F"/>
    <w:rsid w:val="006B697C"/>
    <w:rsid w:val="006B6B0A"/>
    <w:rsid w:val="006B70B4"/>
    <w:rsid w:val="006B75F9"/>
    <w:rsid w:val="006B772A"/>
    <w:rsid w:val="006C16C3"/>
    <w:rsid w:val="006C31C3"/>
    <w:rsid w:val="006C64EE"/>
    <w:rsid w:val="006C6B6B"/>
    <w:rsid w:val="006CB6F2"/>
    <w:rsid w:val="006D1365"/>
    <w:rsid w:val="006D1FCC"/>
    <w:rsid w:val="006D5014"/>
    <w:rsid w:val="006D763A"/>
    <w:rsid w:val="006E3332"/>
    <w:rsid w:val="006E7D7D"/>
    <w:rsid w:val="006E7F24"/>
    <w:rsid w:val="006F0DB9"/>
    <w:rsid w:val="006F1B76"/>
    <w:rsid w:val="006F2B94"/>
    <w:rsid w:val="006F332E"/>
    <w:rsid w:val="006F366C"/>
    <w:rsid w:val="006F47DC"/>
    <w:rsid w:val="006F53DF"/>
    <w:rsid w:val="006F7D67"/>
    <w:rsid w:val="00701E2F"/>
    <w:rsid w:val="00701E81"/>
    <w:rsid w:val="00703859"/>
    <w:rsid w:val="00704015"/>
    <w:rsid w:val="007047FD"/>
    <w:rsid w:val="007056EA"/>
    <w:rsid w:val="0070676B"/>
    <w:rsid w:val="00707748"/>
    <w:rsid w:val="00711545"/>
    <w:rsid w:val="00712DCD"/>
    <w:rsid w:val="00714402"/>
    <w:rsid w:val="00715AAF"/>
    <w:rsid w:val="00716CB2"/>
    <w:rsid w:val="007211AC"/>
    <w:rsid w:val="00721925"/>
    <w:rsid w:val="00721C8A"/>
    <w:rsid w:val="00722789"/>
    <w:rsid w:val="007228E8"/>
    <w:rsid w:val="00723851"/>
    <w:rsid w:val="00725727"/>
    <w:rsid w:val="00726555"/>
    <w:rsid w:val="007267D1"/>
    <w:rsid w:val="00727F9B"/>
    <w:rsid w:val="00730FB5"/>
    <w:rsid w:val="007326EA"/>
    <w:rsid w:val="0073437B"/>
    <w:rsid w:val="00734900"/>
    <w:rsid w:val="007350F4"/>
    <w:rsid w:val="007366A4"/>
    <w:rsid w:val="00737F88"/>
    <w:rsid w:val="00741FAA"/>
    <w:rsid w:val="00742BB4"/>
    <w:rsid w:val="00745F76"/>
    <w:rsid w:val="007467CC"/>
    <w:rsid w:val="007518ED"/>
    <w:rsid w:val="0075266B"/>
    <w:rsid w:val="00753B3E"/>
    <w:rsid w:val="007559AF"/>
    <w:rsid w:val="00756A10"/>
    <w:rsid w:val="00760F9C"/>
    <w:rsid w:val="00761689"/>
    <w:rsid w:val="007618BA"/>
    <w:rsid w:val="00762D04"/>
    <w:rsid w:val="007632CA"/>
    <w:rsid w:val="007651CC"/>
    <w:rsid w:val="0076749A"/>
    <w:rsid w:val="00770D8C"/>
    <w:rsid w:val="00770F96"/>
    <w:rsid w:val="007749CC"/>
    <w:rsid w:val="007765A4"/>
    <w:rsid w:val="0078244B"/>
    <w:rsid w:val="007834A1"/>
    <w:rsid w:val="00787293"/>
    <w:rsid w:val="007910BB"/>
    <w:rsid w:val="00792A69"/>
    <w:rsid w:val="00792D1F"/>
    <w:rsid w:val="0079350B"/>
    <w:rsid w:val="0079488D"/>
    <w:rsid w:val="00795274"/>
    <w:rsid w:val="00795D26"/>
    <w:rsid w:val="00797E02"/>
    <w:rsid w:val="007A09AF"/>
    <w:rsid w:val="007B0E83"/>
    <w:rsid w:val="007B24CB"/>
    <w:rsid w:val="007B297C"/>
    <w:rsid w:val="007B47DE"/>
    <w:rsid w:val="007C18BB"/>
    <w:rsid w:val="007C32C8"/>
    <w:rsid w:val="007C4190"/>
    <w:rsid w:val="007C4B93"/>
    <w:rsid w:val="007C5991"/>
    <w:rsid w:val="007C672C"/>
    <w:rsid w:val="007C6B64"/>
    <w:rsid w:val="007C72E4"/>
    <w:rsid w:val="007D17BA"/>
    <w:rsid w:val="007D2176"/>
    <w:rsid w:val="007D2678"/>
    <w:rsid w:val="007D4FB1"/>
    <w:rsid w:val="007D57E5"/>
    <w:rsid w:val="007D58E6"/>
    <w:rsid w:val="007D6E85"/>
    <w:rsid w:val="007E048B"/>
    <w:rsid w:val="007E14DE"/>
    <w:rsid w:val="007E18A6"/>
    <w:rsid w:val="007E27F0"/>
    <w:rsid w:val="007E491D"/>
    <w:rsid w:val="007E589E"/>
    <w:rsid w:val="007E69E9"/>
    <w:rsid w:val="007E7DD4"/>
    <w:rsid w:val="007F0A23"/>
    <w:rsid w:val="007F178B"/>
    <w:rsid w:val="007F1A15"/>
    <w:rsid w:val="007F2DF3"/>
    <w:rsid w:val="007F5171"/>
    <w:rsid w:val="007F547F"/>
    <w:rsid w:val="007F55F3"/>
    <w:rsid w:val="007F7075"/>
    <w:rsid w:val="0081230D"/>
    <w:rsid w:val="0081412C"/>
    <w:rsid w:val="0082003C"/>
    <w:rsid w:val="00821843"/>
    <w:rsid w:val="00821A8D"/>
    <w:rsid w:val="00822E02"/>
    <w:rsid w:val="008312FD"/>
    <w:rsid w:val="0083374A"/>
    <w:rsid w:val="00834471"/>
    <w:rsid w:val="00835CAE"/>
    <w:rsid w:val="00840AE8"/>
    <w:rsid w:val="008423CD"/>
    <w:rsid w:val="008436D5"/>
    <w:rsid w:val="008443B7"/>
    <w:rsid w:val="00845A71"/>
    <w:rsid w:val="00847701"/>
    <w:rsid w:val="00847AA8"/>
    <w:rsid w:val="00850B1D"/>
    <w:rsid w:val="008512F1"/>
    <w:rsid w:val="00851415"/>
    <w:rsid w:val="008528FA"/>
    <w:rsid w:val="0085300F"/>
    <w:rsid w:val="00853CE4"/>
    <w:rsid w:val="00855559"/>
    <w:rsid w:val="00857843"/>
    <w:rsid w:val="00861388"/>
    <w:rsid w:val="00861FFC"/>
    <w:rsid w:val="00863D6A"/>
    <w:rsid w:val="00863F65"/>
    <w:rsid w:val="00865ED1"/>
    <w:rsid w:val="00866102"/>
    <w:rsid w:val="00867722"/>
    <w:rsid w:val="00875978"/>
    <w:rsid w:val="008763D2"/>
    <w:rsid w:val="00880454"/>
    <w:rsid w:val="00880539"/>
    <w:rsid w:val="00880F1E"/>
    <w:rsid w:val="00885CE1"/>
    <w:rsid w:val="008877AF"/>
    <w:rsid w:val="00891230"/>
    <w:rsid w:val="00891550"/>
    <w:rsid w:val="00895FD9"/>
    <w:rsid w:val="008A0D2F"/>
    <w:rsid w:val="008A1CCB"/>
    <w:rsid w:val="008A3745"/>
    <w:rsid w:val="008A3840"/>
    <w:rsid w:val="008A60A2"/>
    <w:rsid w:val="008A7172"/>
    <w:rsid w:val="008B2175"/>
    <w:rsid w:val="008C26C6"/>
    <w:rsid w:val="008C46CD"/>
    <w:rsid w:val="008C6263"/>
    <w:rsid w:val="008C62FD"/>
    <w:rsid w:val="008C6CC1"/>
    <w:rsid w:val="008C7B81"/>
    <w:rsid w:val="008C7F3A"/>
    <w:rsid w:val="008D04E3"/>
    <w:rsid w:val="008D1990"/>
    <w:rsid w:val="008D1C75"/>
    <w:rsid w:val="008D37EC"/>
    <w:rsid w:val="008D4607"/>
    <w:rsid w:val="008D497F"/>
    <w:rsid w:val="008D4DCF"/>
    <w:rsid w:val="008D5172"/>
    <w:rsid w:val="008D7113"/>
    <w:rsid w:val="008E06A6"/>
    <w:rsid w:val="008E09BD"/>
    <w:rsid w:val="008E261D"/>
    <w:rsid w:val="008E353A"/>
    <w:rsid w:val="008E4265"/>
    <w:rsid w:val="008E5461"/>
    <w:rsid w:val="008E72DA"/>
    <w:rsid w:val="008F0CAA"/>
    <w:rsid w:val="008F12A1"/>
    <w:rsid w:val="008F4B85"/>
    <w:rsid w:val="008F77E9"/>
    <w:rsid w:val="008F796F"/>
    <w:rsid w:val="0090084A"/>
    <w:rsid w:val="00903175"/>
    <w:rsid w:val="009036E4"/>
    <w:rsid w:val="00905D1E"/>
    <w:rsid w:val="00905E13"/>
    <w:rsid w:val="0091528C"/>
    <w:rsid w:val="00916CB0"/>
    <w:rsid w:val="00917BE7"/>
    <w:rsid w:val="00920456"/>
    <w:rsid w:val="009259D4"/>
    <w:rsid w:val="00926D9E"/>
    <w:rsid w:val="00927FE2"/>
    <w:rsid w:val="0093066A"/>
    <w:rsid w:val="00931DA0"/>
    <w:rsid w:val="00940422"/>
    <w:rsid w:val="009417D3"/>
    <w:rsid w:val="009430A9"/>
    <w:rsid w:val="00945861"/>
    <w:rsid w:val="00947EBB"/>
    <w:rsid w:val="009502AE"/>
    <w:rsid w:val="00952A3A"/>
    <w:rsid w:val="00953033"/>
    <w:rsid w:val="00953F39"/>
    <w:rsid w:val="00956700"/>
    <w:rsid w:val="009570DD"/>
    <w:rsid w:val="009573C1"/>
    <w:rsid w:val="0096028D"/>
    <w:rsid w:val="00960ED6"/>
    <w:rsid w:val="00961E06"/>
    <w:rsid w:val="0096299D"/>
    <w:rsid w:val="00963C92"/>
    <w:rsid w:val="009662C5"/>
    <w:rsid w:val="00967467"/>
    <w:rsid w:val="00970689"/>
    <w:rsid w:val="00970C5A"/>
    <w:rsid w:val="00971D90"/>
    <w:rsid w:val="00973274"/>
    <w:rsid w:val="00974D63"/>
    <w:rsid w:val="00976A18"/>
    <w:rsid w:val="00977672"/>
    <w:rsid w:val="00977E75"/>
    <w:rsid w:val="0098292E"/>
    <w:rsid w:val="00983F88"/>
    <w:rsid w:val="00985725"/>
    <w:rsid w:val="0098589C"/>
    <w:rsid w:val="0098602E"/>
    <w:rsid w:val="00987F5A"/>
    <w:rsid w:val="00991F78"/>
    <w:rsid w:val="00992D2A"/>
    <w:rsid w:val="00992F35"/>
    <w:rsid w:val="00994D60"/>
    <w:rsid w:val="009A1A37"/>
    <w:rsid w:val="009A1AB0"/>
    <w:rsid w:val="009A2C5E"/>
    <w:rsid w:val="009A45B2"/>
    <w:rsid w:val="009A4787"/>
    <w:rsid w:val="009A5201"/>
    <w:rsid w:val="009A553E"/>
    <w:rsid w:val="009A5C79"/>
    <w:rsid w:val="009B04D8"/>
    <w:rsid w:val="009B1173"/>
    <w:rsid w:val="009B17EF"/>
    <w:rsid w:val="009B1BED"/>
    <w:rsid w:val="009B2691"/>
    <w:rsid w:val="009B27A0"/>
    <w:rsid w:val="009B2FE5"/>
    <w:rsid w:val="009B3D8F"/>
    <w:rsid w:val="009B409E"/>
    <w:rsid w:val="009B498F"/>
    <w:rsid w:val="009B4ACD"/>
    <w:rsid w:val="009B5585"/>
    <w:rsid w:val="009B572F"/>
    <w:rsid w:val="009B5C4C"/>
    <w:rsid w:val="009C0204"/>
    <w:rsid w:val="009C248E"/>
    <w:rsid w:val="009C2D3F"/>
    <w:rsid w:val="009C3F30"/>
    <w:rsid w:val="009C4984"/>
    <w:rsid w:val="009D016A"/>
    <w:rsid w:val="009D1D2A"/>
    <w:rsid w:val="009D269A"/>
    <w:rsid w:val="009D3446"/>
    <w:rsid w:val="009D573A"/>
    <w:rsid w:val="009D6E46"/>
    <w:rsid w:val="009E0475"/>
    <w:rsid w:val="009E059C"/>
    <w:rsid w:val="009E0B43"/>
    <w:rsid w:val="009E6224"/>
    <w:rsid w:val="009E6512"/>
    <w:rsid w:val="009F0D43"/>
    <w:rsid w:val="009F156D"/>
    <w:rsid w:val="009F7084"/>
    <w:rsid w:val="009F70A9"/>
    <w:rsid w:val="009F7B00"/>
    <w:rsid w:val="00A01EFD"/>
    <w:rsid w:val="00A05F80"/>
    <w:rsid w:val="00A0642D"/>
    <w:rsid w:val="00A14479"/>
    <w:rsid w:val="00A22EE5"/>
    <w:rsid w:val="00A24583"/>
    <w:rsid w:val="00A267EC"/>
    <w:rsid w:val="00A27D57"/>
    <w:rsid w:val="00A27EEE"/>
    <w:rsid w:val="00A30EF9"/>
    <w:rsid w:val="00A32FEB"/>
    <w:rsid w:val="00A36738"/>
    <w:rsid w:val="00A40400"/>
    <w:rsid w:val="00A40D6F"/>
    <w:rsid w:val="00A4375E"/>
    <w:rsid w:val="00A4426B"/>
    <w:rsid w:val="00A535D6"/>
    <w:rsid w:val="00A5368C"/>
    <w:rsid w:val="00A55B40"/>
    <w:rsid w:val="00A57945"/>
    <w:rsid w:val="00A6044C"/>
    <w:rsid w:val="00A60E31"/>
    <w:rsid w:val="00A613FA"/>
    <w:rsid w:val="00A61B68"/>
    <w:rsid w:val="00A62844"/>
    <w:rsid w:val="00A645AA"/>
    <w:rsid w:val="00A65663"/>
    <w:rsid w:val="00A6587C"/>
    <w:rsid w:val="00A66DA0"/>
    <w:rsid w:val="00A67486"/>
    <w:rsid w:val="00A717D8"/>
    <w:rsid w:val="00A72646"/>
    <w:rsid w:val="00A73105"/>
    <w:rsid w:val="00A73406"/>
    <w:rsid w:val="00A7743B"/>
    <w:rsid w:val="00A779F0"/>
    <w:rsid w:val="00A80DC6"/>
    <w:rsid w:val="00A83EEC"/>
    <w:rsid w:val="00A85B18"/>
    <w:rsid w:val="00A873EA"/>
    <w:rsid w:val="00A90C0C"/>
    <w:rsid w:val="00A924C7"/>
    <w:rsid w:val="00A92CB2"/>
    <w:rsid w:val="00A93FD6"/>
    <w:rsid w:val="00A95E0E"/>
    <w:rsid w:val="00A96F4F"/>
    <w:rsid w:val="00A9771A"/>
    <w:rsid w:val="00AA00E3"/>
    <w:rsid w:val="00AA0EA3"/>
    <w:rsid w:val="00AA2BE1"/>
    <w:rsid w:val="00AA3CC6"/>
    <w:rsid w:val="00AA5E06"/>
    <w:rsid w:val="00AA6B70"/>
    <w:rsid w:val="00AA73F5"/>
    <w:rsid w:val="00AB064E"/>
    <w:rsid w:val="00AB1B2E"/>
    <w:rsid w:val="00AB4067"/>
    <w:rsid w:val="00AB51F0"/>
    <w:rsid w:val="00AB68B2"/>
    <w:rsid w:val="00AC318A"/>
    <w:rsid w:val="00AC37BE"/>
    <w:rsid w:val="00AC4152"/>
    <w:rsid w:val="00AC504C"/>
    <w:rsid w:val="00AC520F"/>
    <w:rsid w:val="00AC63F7"/>
    <w:rsid w:val="00AC7C4D"/>
    <w:rsid w:val="00AD2574"/>
    <w:rsid w:val="00AD3531"/>
    <w:rsid w:val="00AD3AEF"/>
    <w:rsid w:val="00AD4DB8"/>
    <w:rsid w:val="00AD5900"/>
    <w:rsid w:val="00AD6545"/>
    <w:rsid w:val="00AD6898"/>
    <w:rsid w:val="00AE0F14"/>
    <w:rsid w:val="00AE2AF5"/>
    <w:rsid w:val="00AE3D05"/>
    <w:rsid w:val="00AF07DB"/>
    <w:rsid w:val="00AF31F8"/>
    <w:rsid w:val="00AF343A"/>
    <w:rsid w:val="00AF66E4"/>
    <w:rsid w:val="00B03B4B"/>
    <w:rsid w:val="00B05B29"/>
    <w:rsid w:val="00B0AE3F"/>
    <w:rsid w:val="00B109EE"/>
    <w:rsid w:val="00B10F5E"/>
    <w:rsid w:val="00B11B35"/>
    <w:rsid w:val="00B11F01"/>
    <w:rsid w:val="00B14C7B"/>
    <w:rsid w:val="00B15064"/>
    <w:rsid w:val="00B2013C"/>
    <w:rsid w:val="00B256D2"/>
    <w:rsid w:val="00B26B70"/>
    <w:rsid w:val="00B326B8"/>
    <w:rsid w:val="00B364D1"/>
    <w:rsid w:val="00B4112C"/>
    <w:rsid w:val="00B41A82"/>
    <w:rsid w:val="00B43147"/>
    <w:rsid w:val="00B43B18"/>
    <w:rsid w:val="00B44A3B"/>
    <w:rsid w:val="00B46DB5"/>
    <w:rsid w:val="00B5048B"/>
    <w:rsid w:val="00B533C2"/>
    <w:rsid w:val="00B55138"/>
    <w:rsid w:val="00B55F28"/>
    <w:rsid w:val="00B577E0"/>
    <w:rsid w:val="00B60A5F"/>
    <w:rsid w:val="00B616BB"/>
    <w:rsid w:val="00B625BE"/>
    <w:rsid w:val="00B628E9"/>
    <w:rsid w:val="00B62C9A"/>
    <w:rsid w:val="00B63475"/>
    <w:rsid w:val="00B64CE3"/>
    <w:rsid w:val="00B7073A"/>
    <w:rsid w:val="00B7097C"/>
    <w:rsid w:val="00B70CCC"/>
    <w:rsid w:val="00B70D4E"/>
    <w:rsid w:val="00B719C3"/>
    <w:rsid w:val="00B72532"/>
    <w:rsid w:val="00B7336D"/>
    <w:rsid w:val="00B73AFB"/>
    <w:rsid w:val="00B80A2F"/>
    <w:rsid w:val="00B82104"/>
    <w:rsid w:val="00B82DA5"/>
    <w:rsid w:val="00B84262"/>
    <w:rsid w:val="00B87104"/>
    <w:rsid w:val="00B87869"/>
    <w:rsid w:val="00B94905"/>
    <w:rsid w:val="00B95C5C"/>
    <w:rsid w:val="00B9601E"/>
    <w:rsid w:val="00B97E5A"/>
    <w:rsid w:val="00B97F62"/>
    <w:rsid w:val="00BA155D"/>
    <w:rsid w:val="00BA3C1B"/>
    <w:rsid w:val="00BA45EA"/>
    <w:rsid w:val="00BB2253"/>
    <w:rsid w:val="00BB25C0"/>
    <w:rsid w:val="00BB2F30"/>
    <w:rsid w:val="00BB38E0"/>
    <w:rsid w:val="00BB3BEB"/>
    <w:rsid w:val="00BB4DA6"/>
    <w:rsid w:val="00BB54CB"/>
    <w:rsid w:val="00BB559A"/>
    <w:rsid w:val="00BB6F52"/>
    <w:rsid w:val="00BC127B"/>
    <w:rsid w:val="00BC2F0C"/>
    <w:rsid w:val="00BC5696"/>
    <w:rsid w:val="00BCA37B"/>
    <w:rsid w:val="00BD054C"/>
    <w:rsid w:val="00BD125D"/>
    <w:rsid w:val="00BD7003"/>
    <w:rsid w:val="00BD70C6"/>
    <w:rsid w:val="00BE3D0E"/>
    <w:rsid w:val="00BE40FA"/>
    <w:rsid w:val="00BE5289"/>
    <w:rsid w:val="00BE6F4C"/>
    <w:rsid w:val="00BF0940"/>
    <w:rsid w:val="00BF0A72"/>
    <w:rsid w:val="00BF119A"/>
    <w:rsid w:val="00BF1CC9"/>
    <w:rsid w:val="00BF40D2"/>
    <w:rsid w:val="00C00F25"/>
    <w:rsid w:val="00C028DA"/>
    <w:rsid w:val="00C02989"/>
    <w:rsid w:val="00C02B79"/>
    <w:rsid w:val="00C02F72"/>
    <w:rsid w:val="00C02F8E"/>
    <w:rsid w:val="00C03FB5"/>
    <w:rsid w:val="00C060FF"/>
    <w:rsid w:val="00C0611E"/>
    <w:rsid w:val="00C067B2"/>
    <w:rsid w:val="00C106BA"/>
    <w:rsid w:val="00C1151A"/>
    <w:rsid w:val="00C115E8"/>
    <w:rsid w:val="00C158C7"/>
    <w:rsid w:val="00C2360F"/>
    <w:rsid w:val="00C24D3B"/>
    <w:rsid w:val="00C251C6"/>
    <w:rsid w:val="00C301F8"/>
    <w:rsid w:val="00C30224"/>
    <w:rsid w:val="00C31168"/>
    <w:rsid w:val="00C31201"/>
    <w:rsid w:val="00C32D70"/>
    <w:rsid w:val="00C3301B"/>
    <w:rsid w:val="00C35652"/>
    <w:rsid w:val="00C35B71"/>
    <w:rsid w:val="00C379A5"/>
    <w:rsid w:val="00C4156E"/>
    <w:rsid w:val="00C42135"/>
    <w:rsid w:val="00C42B14"/>
    <w:rsid w:val="00C4407C"/>
    <w:rsid w:val="00C44A43"/>
    <w:rsid w:val="00C542DB"/>
    <w:rsid w:val="00C54666"/>
    <w:rsid w:val="00C566AA"/>
    <w:rsid w:val="00C61F80"/>
    <w:rsid w:val="00C6333F"/>
    <w:rsid w:val="00C63862"/>
    <w:rsid w:val="00C65165"/>
    <w:rsid w:val="00C6570D"/>
    <w:rsid w:val="00C660AD"/>
    <w:rsid w:val="00C67515"/>
    <w:rsid w:val="00C67AF7"/>
    <w:rsid w:val="00C70552"/>
    <w:rsid w:val="00C7228C"/>
    <w:rsid w:val="00C75075"/>
    <w:rsid w:val="00C752C8"/>
    <w:rsid w:val="00C76CD2"/>
    <w:rsid w:val="00C7746D"/>
    <w:rsid w:val="00C80B7A"/>
    <w:rsid w:val="00C8203D"/>
    <w:rsid w:val="00C821A7"/>
    <w:rsid w:val="00C8427D"/>
    <w:rsid w:val="00C84DF1"/>
    <w:rsid w:val="00C8758C"/>
    <w:rsid w:val="00C878B6"/>
    <w:rsid w:val="00C90DAE"/>
    <w:rsid w:val="00C91414"/>
    <w:rsid w:val="00C92E85"/>
    <w:rsid w:val="00C93130"/>
    <w:rsid w:val="00C93A84"/>
    <w:rsid w:val="00C95385"/>
    <w:rsid w:val="00C97A69"/>
    <w:rsid w:val="00CA006F"/>
    <w:rsid w:val="00CA14AA"/>
    <w:rsid w:val="00CA1B5E"/>
    <w:rsid w:val="00CA3ADB"/>
    <w:rsid w:val="00CA3BB8"/>
    <w:rsid w:val="00CA4035"/>
    <w:rsid w:val="00CA47F9"/>
    <w:rsid w:val="00CA4E08"/>
    <w:rsid w:val="00CA55E0"/>
    <w:rsid w:val="00CA5964"/>
    <w:rsid w:val="00CB041C"/>
    <w:rsid w:val="00CB36F7"/>
    <w:rsid w:val="00CB574C"/>
    <w:rsid w:val="00CB709A"/>
    <w:rsid w:val="00CB70FE"/>
    <w:rsid w:val="00CB7472"/>
    <w:rsid w:val="00CC1A9D"/>
    <w:rsid w:val="00CC3057"/>
    <w:rsid w:val="00CC45BD"/>
    <w:rsid w:val="00CC4F12"/>
    <w:rsid w:val="00CC6549"/>
    <w:rsid w:val="00CC71CF"/>
    <w:rsid w:val="00CC7E25"/>
    <w:rsid w:val="00CD1887"/>
    <w:rsid w:val="00CD2262"/>
    <w:rsid w:val="00CD3045"/>
    <w:rsid w:val="00CD3247"/>
    <w:rsid w:val="00CD3758"/>
    <w:rsid w:val="00CD601A"/>
    <w:rsid w:val="00CD684C"/>
    <w:rsid w:val="00CE107B"/>
    <w:rsid w:val="00CE11C0"/>
    <w:rsid w:val="00CE2C43"/>
    <w:rsid w:val="00CE7630"/>
    <w:rsid w:val="00CE7E84"/>
    <w:rsid w:val="00CF07D8"/>
    <w:rsid w:val="00CF3AD3"/>
    <w:rsid w:val="00CF3D60"/>
    <w:rsid w:val="00CF451E"/>
    <w:rsid w:val="00D01845"/>
    <w:rsid w:val="00D0445B"/>
    <w:rsid w:val="00D05697"/>
    <w:rsid w:val="00D07D9F"/>
    <w:rsid w:val="00D1718A"/>
    <w:rsid w:val="00D172E0"/>
    <w:rsid w:val="00D2037A"/>
    <w:rsid w:val="00D205B2"/>
    <w:rsid w:val="00D20DF5"/>
    <w:rsid w:val="00D31504"/>
    <w:rsid w:val="00D3442D"/>
    <w:rsid w:val="00D34E14"/>
    <w:rsid w:val="00D35C3A"/>
    <w:rsid w:val="00D35FB9"/>
    <w:rsid w:val="00D361CE"/>
    <w:rsid w:val="00D37AF4"/>
    <w:rsid w:val="00D403AC"/>
    <w:rsid w:val="00D40E24"/>
    <w:rsid w:val="00D454AC"/>
    <w:rsid w:val="00D46283"/>
    <w:rsid w:val="00D46AF5"/>
    <w:rsid w:val="00D512BC"/>
    <w:rsid w:val="00D5160B"/>
    <w:rsid w:val="00D541BB"/>
    <w:rsid w:val="00D55F1F"/>
    <w:rsid w:val="00D60EB1"/>
    <w:rsid w:val="00D62777"/>
    <w:rsid w:val="00D6313F"/>
    <w:rsid w:val="00D63F8A"/>
    <w:rsid w:val="00D644AB"/>
    <w:rsid w:val="00D71602"/>
    <w:rsid w:val="00D73A9E"/>
    <w:rsid w:val="00D77787"/>
    <w:rsid w:val="00D83A9A"/>
    <w:rsid w:val="00D87031"/>
    <w:rsid w:val="00D9012C"/>
    <w:rsid w:val="00D93DAB"/>
    <w:rsid w:val="00D9750B"/>
    <w:rsid w:val="00DA019C"/>
    <w:rsid w:val="00DA0313"/>
    <w:rsid w:val="00DA220B"/>
    <w:rsid w:val="00DA397D"/>
    <w:rsid w:val="00DA5E06"/>
    <w:rsid w:val="00DA6D58"/>
    <w:rsid w:val="00DA7208"/>
    <w:rsid w:val="00DB334B"/>
    <w:rsid w:val="00DB34ED"/>
    <w:rsid w:val="00DB4170"/>
    <w:rsid w:val="00DB52E1"/>
    <w:rsid w:val="00DB578C"/>
    <w:rsid w:val="00DB63FB"/>
    <w:rsid w:val="00DB7B8F"/>
    <w:rsid w:val="00DC4A3F"/>
    <w:rsid w:val="00DC6145"/>
    <w:rsid w:val="00DC6ACE"/>
    <w:rsid w:val="00DD0A2A"/>
    <w:rsid w:val="00DD267F"/>
    <w:rsid w:val="00DD2CB0"/>
    <w:rsid w:val="00DD483A"/>
    <w:rsid w:val="00DD519F"/>
    <w:rsid w:val="00DD5868"/>
    <w:rsid w:val="00DD69F8"/>
    <w:rsid w:val="00DD6E67"/>
    <w:rsid w:val="00DD76C8"/>
    <w:rsid w:val="00DE5523"/>
    <w:rsid w:val="00DE7E14"/>
    <w:rsid w:val="00DF1B08"/>
    <w:rsid w:val="00DF2203"/>
    <w:rsid w:val="00DF3D10"/>
    <w:rsid w:val="00DF5BD2"/>
    <w:rsid w:val="00DF6B81"/>
    <w:rsid w:val="00DF6E7A"/>
    <w:rsid w:val="00DF7349"/>
    <w:rsid w:val="00E03D9B"/>
    <w:rsid w:val="00E03DB4"/>
    <w:rsid w:val="00E06307"/>
    <w:rsid w:val="00E0743A"/>
    <w:rsid w:val="00E117D8"/>
    <w:rsid w:val="00E12528"/>
    <w:rsid w:val="00E1288C"/>
    <w:rsid w:val="00E13562"/>
    <w:rsid w:val="00E13DAB"/>
    <w:rsid w:val="00E14420"/>
    <w:rsid w:val="00E14CA4"/>
    <w:rsid w:val="00E155DA"/>
    <w:rsid w:val="00E16872"/>
    <w:rsid w:val="00E17ED1"/>
    <w:rsid w:val="00E17FB8"/>
    <w:rsid w:val="00E319C6"/>
    <w:rsid w:val="00E34F3F"/>
    <w:rsid w:val="00E35204"/>
    <w:rsid w:val="00E42164"/>
    <w:rsid w:val="00E4232F"/>
    <w:rsid w:val="00E42806"/>
    <w:rsid w:val="00E462A0"/>
    <w:rsid w:val="00E4664C"/>
    <w:rsid w:val="00E475B5"/>
    <w:rsid w:val="00E50E4D"/>
    <w:rsid w:val="00E5421A"/>
    <w:rsid w:val="00E55D07"/>
    <w:rsid w:val="00E56BEF"/>
    <w:rsid w:val="00E6090E"/>
    <w:rsid w:val="00E71FAB"/>
    <w:rsid w:val="00E71FBE"/>
    <w:rsid w:val="00E7251A"/>
    <w:rsid w:val="00E749ED"/>
    <w:rsid w:val="00E759C8"/>
    <w:rsid w:val="00E764FD"/>
    <w:rsid w:val="00E76DA6"/>
    <w:rsid w:val="00E7771D"/>
    <w:rsid w:val="00E813E1"/>
    <w:rsid w:val="00E82CD5"/>
    <w:rsid w:val="00E8380D"/>
    <w:rsid w:val="00E8563F"/>
    <w:rsid w:val="00E8567C"/>
    <w:rsid w:val="00E86E3D"/>
    <w:rsid w:val="00E87BD8"/>
    <w:rsid w:val="00E90223"/>
    <w:rsid w:val="00E905A0"/>
    <w:rsid w:val="00E926B6"/>
    <w:rsid w:val="00E92920"/>
    <w:rsid w:val="00E92DBB"/>
    <w:rsid w:val="00E94827"/>
    <w:rsid w:val="00E94C7E"/>
    <w:rsid w:val="00E9587F"/>
    <w:rsid w:val="00E96908"/>
    <w:rsid w:val="00E96AD7"/>
    <w:rsid w:val="00EA40D5"/>
    <w:rsid w:val="00EA740A"/>
    <w:rsid w:val="00EA78FA"/>
    <w:rsid w:val="00EB1A24"/>
    <w:rsid w:val="00EB372C"/>
    <w:rsid w:val="00EB504C"/>
    <w:rsid w:val="00EB6008"/>
    <w:rsid w:val="00EB7B8B"/>
    <w:rsid w:val="00EC18A0"/>
    <w:rsid w:val="00EC395C"/>
    <w:rsid w:val="00EC3C3E"/>
    <w:rsid w:val="00EC5C5C"/>
    <w:rsid w:val="00EC6C22"/>
    <w:rsid w:val="00EC6F80"/>
    <w:rsid w:val="00ED0343"/>
    <w:rsid w:val="00ED0AD2"/>
    <w:rsid w:val="00ED2C9B"/>
    <w:rsid w:val="00ED3B52"/>
    <w:rsid w:val="00ED5443"/>
    <w:rsid w:val="00EE1420"/>
    <w:rsid w:val="00EE1B84"/>
    <w:rsid w:val="00EE1D4A"/>
    <w:rsid w:val="00EE2E9D"/>
    <w:rsid w:val="00EE669E"/>
    <w:rsid w:val="00EE758E"/>
    <w:rsid w:val="00EF0BFF"/>
    <w:rsid w:val="00EF1DB2"/>
    <w:rsid w:val="00EF4828"/>
    <w:rsid w:val="00F0116F"/>
    <w:rsid w:val="00F04171"/>
    <w:rsid w:val="00F053BD"/>
    <w:rsid w:val="00F1087B"/>
    <w:rsid w:val="00F10ED8"/>
    <w:rsid w:val="00F1305E"/>
    <w:rsid w:val="00F2045A"/>
    <w:rsid w:val="00F2250C"/>
    <w:rsid w:val="00F23EC4"/>
    <w:rsid w:val="00F241B5"/>
    <w:rsid w:val="00F2601C"/>
    <w:rsid w:val="00F268DC"/>
    <w:rsid w:val="00F3122C"/>
    <w:rsid w:val="00F31A94"/>
    <w:rsid w:val="00F34305"/>
    <w:rsid w:val="00F34D37"/>
    <w:rsid w:val="00F36A2E"/>
    <w:rsid w:val="00F375DB"/>
    <w:rsid w:val="00F37A2B"/>
    <w:rsid w:val="00F409DF"/>
    <w:rsid w:val="00F40BDE"/>
    <w:rsid w:val="00F4278C"/>
    <w:rsid w:val="00F43F76"/>
    <w:rsid w:val="00F44092"/>
    <w:rsid w:val="00F45DBD"/>
    <w:rsid w:val="00F4663F"/>
    <w:rsid w:val="00F4716A"/>
    <w:rsid w:val="00F50CD7"/>
    <w:rsid w:val="00F51C1F"/>
    <w:rsid w:val="00F52355"/>
    <w:rsid w:val="00F52514"/>
    <w:rsid w:val="00F526E1"/>
    <w:rsid w:val="00F5331A"/>
    <w:rsid w:val="00F53BC9"/>
    <w:rsid w:val="00F54FE1"/>
    <w:rsid w:val="00F55E43"/>
    <w:rsid w:val="00F57485"/>
    <w:rsid w:val="00F63A90"/>
    <w:rsid w:val="00F654E8"/>
    <w:rsid w:val="00F66CD0"/>
    <w:rsid w:val="00F712AB"/>
    <w:rsid w:val="00F71E49"/>
    <w:rsid w:val="00F7387C"/>
    <w:rsid w:val="00F73B5E"/>
    <w:rsid w:val="00F740C5"/>
    <w:rsid w:val="00F754D6"/>
    <w:rsid w:val="00F76547"/>
    <w:rsid w:val="00F81A95"/>
    <w:rsid w:val="00F826A5"/>
    <w:rsid w:val="00F82ACE"/>
    <w:rsid w:val="00F83012"/>
    <w:rsid w:val="00F83290"/>
    <w:rsid w:val="00F835B5"/>
    <w:rsid w:val="00F8494E"/>
    <w:rsid w:val="00F874DA"/>
    <w:rsid w:val="00F91C36"/>
    <w:rsid w:val="00F93D7E"/>
    <w:rsid w:val="00F945F7"/>
    <w:rsid w:val="00F96A85"/>
    <w:rsid w:val="00FA1481"/>
    <w:rsid w:val="00FA15FB"/>
    <w:rsid w:val="00FA1D76"/>
    <w:rsid w:val="00FA6EAB"/>
    <w:rsid w:val="00FA7FBC"/>
    <w:rsid w:val="00FB0ED9"/>
    <w:rsid w:val="00FB145F"/>
    <w:rsid w:val="00FB2482"/>
    <w:rsid w:val="00FB4620"/>
    <w:rsid w:val="00FC3330"/>
    <w:rsid w:val="00FC3945"/>
    <w:rsid w:val="00FC470D"/>
    <w:rsid w:val="00FC4F9C"/>
    <w:rsid w:val="00FC7831"/>
    <w:rsid w:val="00FD271C"/>
    <w:rsid w:val="00FD3139"/>
    <w:rsid w:val="00FD4CB8"/>
    <w:rsid w:val="00FD4F78"/>
    <w:rsid w:val="00FD7469"/>
    <w:rsid w:val="00FD7B12"/>
    <w:rsid w:val="00FE429C"/>
    <w:rsid w:val="00FE45B6"/>
    <w:rsid w:val="00FE463D"/>
    <w:rsid w:val="00FE4904"/>
    <w:rsid w:val="00FE4D29"/>
    <w:rsid w:val="00FE6588"/>
    <w:rsid w:val="00FE7622"/>
    <w:rsid w:val="00FF1008"/>
    <w:rsid w:val="00FF1B49"/>
    <w:rsid w:val="00FF1BAB"/>
    <w:rsid w:val="00FF3D0C"/>
    <w:rsid w:val="00FF3E0D"/>
    <w:rsid w:val="00FF40B8"/>
    <w:rsid w:val="00FF58E2"/>
    <w:rsid w:val="00FF7F43"/>
    <w:rsid w:val="0104FA3B"/>
    <w:rsid w:val="013CDE66"/>
    <w:rsid w:val="017C9C0B"/>
    <w:rsid w:val="01A21D96"/>
    <w:rsid w:val="01D9A54A"/>
    <w:rsid w:val="0210BA66"/>
    <w:rsid w:val="0217DDA3"/>
    <w:rsid w:val="0227530D"/>
    <w:rsid w:val="023F19A9"/>
    <w:rsid w:val="0241DC30"/>
    <w:rsid w:val="02537950"/>
    <w:rsid w:val="028B081B"/>
    <w:rsid w:val="02A95365"/>
    <w:rsid w:val="02BF3534"/>
    <w:rsid w:val="02C19314"/>
    <w:rsid w:val="03065732"/>
    <w:rsid w:val="03204004"/>
    <w:rsid w:val="033354B4"/>
    <w:rsid w:val="036E853F"/>
    <w:rsid w:val="03B7F5D7"/>
    <w:rsid w:val="04001FE1"/>
    <w:rsid w:val="042441AF"/>
    <w:rsid w:val="0447E64D"/>
    <w:rsid w:val="044EF52B"/>
    <w:rsid w:val="049D7250"/>
    <w:rsid w:val="049FB642"/>
    <w:rsid w:val="04AE1853"/>
    <w:rsid w:val="04B455B0"/>
    <w:rsid w:val="04C2E7EE"/>
    <w:rsid w:val="0547C3B0"/>
    <w:rsid w:val="0559C672"/>
    <w:rsid w:val="056443AE"/>
    <w:rsid w:val="0566E05A"/>
    <w:rsid w:val="05B7BFE3"/>
    <w:rsid w:val="05CF7989"/>
    <w:rsid w:val="065283F1"/>
    <w:rsid w:val="069120F1"/>
    <w:rsid w:val="06E086D1"/>
    <w:rsid w:val="06E13C15"/>
    <w:rsid w:val="06F14313"/>
    <w:rsid w:val="06F68705"/>
    <w:rsid w:val="06FBD3C0"/>
    <w:rsid w:val="070DC311"/>
    <w:rsid w:val="071052C7"/>
    <w:rsid w:val="07163B27"/>
    <w:rsid w:val="071F628F"/>
    <w:rsid w:val="07307886"/>
    <w:rsid w:val="073AF269"/>
    <w:rsid w:val="0740B73E"/>
    <w:rsid w:val="07756F75"/>
    <w:rsid w:val="07B1AF90"/>
    <w:rsid w:val="07E10799"/>
    <w:rsid w:val="0822ED29"/>
    <w:rsid w:val="0832C31A"/>
    <w:rsid w:val="083F2AA7"/>
    <w:rsid w:val="0847B7DE"/>
    <w:rsid w:val="0871839A"/>
    <w:rsid w:val="089A121B"/>
    <w:rsid w:val="08AF247B"/>
    <w:rsid w:val="08C9EB07"/>
    <w:rsid w:val="08FE1B17"/>
    <w:rsid w:val="090E3D88"/>
    <w:rsid w:val="094EC252"/>
    <w:rsid w:val="09C4F617"/>
    <w:rsid w:val="09D6E6B2"/>
    <w:rsid w:val="09DD93F2"/>
    <w:rsid w:val="0A39882F"/>
    <w:rsid w:val="0A3B35E5"/>
    <w:rsid w:val="0A4B523C"/>
    <w:rsid w:val="0ACEEC0F"/>
    <w:rsid w:val="0AEF36AE"/>
    <w:rsid w:val="0B297E8B"/>
    <w:rsid w:val="0B36FABC"/>
    <w:rsid w:val="0B4C016C"/>
    <w:rsid w:val="0B8E7CD4"/>
    <w:rsid w:val="0B8EFFE0"/>
    <w:rsid w:val="0BA88CE4"/>
    <w:rsid w:val="0BAFC392"/>
    <w:rsid w:val="0BBB58F4"/>
    <w:rsid w:val="0BC1E4B9"/>
    <w:rsid w:val="0BD3189D"/>
    <w:rsid w:val="0C06DBA8"/>
    <w:rsid w:val="0C9B3458"/>
    <w:rsid w:val="0CAB5F9F"/>
    <w:rsid w:val="0CCEAA2E"/>
    <w:rsid w:val="0CD3FA0D"/>
    <w:rsid w:val="0CDEB710"/>
    <w:rsid w:val="0CF0568E"/>
    <w:rsid w:val="0CFCA0B0"/>
    <w:rsid w:val="0D24B96F"/>
    <w:rsid w:val="0D34515E"/>
    <w:rsid w:val="0D419ABE"/>
    <w:rsid w:val="0D77526C"/>
    <w:rsid w:val="0DC2602B"/>
    <w:rsid w:val="0DDA07A9"/>
    <w:rsid w:val="0E1F1DB6"/>
    <w:rsid w:val="0E419DFC"/>
    <w:rsid w:val="0E60232E"/>
    <w:rsid w:val="0E9427E6"/>
    <w:rsid w:val="0E9E2C0F"/>
    <w:rsid w:val="0EB4829F"/>
    <w:rsid w:val="0F0A5BAB"/>
    <w:rsid w:val="0FBE3FA4"/>
    <w:rsid w:val="0FC8CEEF"/>
    <w:rsid w:val="0FFF434A"/>
    <w:rsid w:val="1036B5E2"/>
    <w:rsid w:val="104EAF4F"/>
    <w:rsid w:val="1063B364"/>
    <w:rsid w:val="1118EAC6"/>
    <w:rsid w:val="1119AD53"/>
    <w:rsid w:val="1186D1B9"/>
    <w:rsid w:val="11971071"/>
    <w:rsid w:val="11A4AB07"/>
    <w:rsid w:val="11D11EAA"/>
    <w:rsid w:val="12019B63"/>
    <w:rsid w:val="12019F5A"/>
    <w:rsid w:val="120C550D"/>
    <w:rsid w:val="1210BF97"/>
    <w:rsid w:val="125583B5"/>
    <w:rsid w:val="12611917"/>
    <w:rsid w:val="1261BD85"/>
    <w:rsid w:val="1282CA3A"/>
    <w:rsid w:val="12C13B39"/>
    <w:rsid w:val="12DE2E37"/>
    <w:rsid w:val="130CC04B"/>
    <w:rsid w:val="132BF066"/>
    <w:rsid w:val="133DAA72"/>
    <w:rsid w:val="1385B899"/>
    <w:rsid w:val="13D5F14B"/>
    <w:rsid w:val="13E004D3"/>
    <w:rsid w:val="14213D1C"/>
    <w:rsid w:val="14358055"/>
    <w:rsid w:val="143FB558"/>
    <w:rsid w:val="144BD321"/>
    <w:rsid w:val="14704150"/>
    <w:rsid w:val="1478D0A3"/>
    <w:rsid w:val="14985869"/>
    <w:rsid w:val="14DA20BA"/>
    <w:rsid w:val="14F8FD9D"/>
    <w:rsid w:val="14FA07AD"/>
    <w:rsid w:val="151ACB5F"/>
    <w:rsid w:val="152F8932"/>
    <w:rsid w:val="15379B98"/>
    <w:rsid w:val="15485F36"/>
    <w:rsid w:val="15A14AD2"/>
    <w:rsid w:val="15B03C35"/>
    <w:rsid w:val="15B34FF2"/>
    <w:rsid w:val="15F73184"/>
    <w:rsid w:val="1622F49E"/>
    <w:rsid w:val="162CCC47"/>
    <w:rsid w:val="1636E183"/>
    <w:rsid w:val="163A2A13"/>
    <w:rsid w:val="164A0ED2"/>
    <w:rsid w:val="16932E7A"/>
    <w:rsid w:val="169963E3"/>
    <w:rsid w:val="16C8FBB3"/>
    <w:rsid w:val="16DC115E"/>
    <w:rsid w:val="1712F291"/>
    <w:rsid w:val="173D0E3D"/>
    <w:rsid w:val="17541A79"/>
    <w:rsid w:val="1756252B"/>
    <w:rsid w:val="175C050C"/>
    <w:rsid w:val="17A7A761"/>
    <w:rsid w:val="17B794A2"/>
    <w:rsid w:val="17CBC178"/>
    <w:rsid w:val="182BD983"/>
    <w:rsid w:val="18606900"/>
    <w:rsid w:val="1866A5ED"/>
    <w:rsid w:val="186E60A2"/>
    <w:rsid w:val="18940420"/>
    <w:rsid w:val="189E537C"/>
    <w:rsid w:val="18C286B9"/>
    <w:rsid w:val="18C449C8"/>
    <w:rsid w:val="18CB1E2D"/>
    <w:rsid w:val="18CB50FE"/>
    <w:rsid w:val="18E796B5"/>
    <w:rsid w:val="18F75E1B"/>
    <w:rsid w:val="18FA9596"/>
    <w:rsid w:val="19242E81"/>
    <w:rsid w:val="197EFD88"/>
    <w:rsid w:val="19CACF3C"/>
    <w:rsid w:val="19E85E97"/>
    <w:rsid w:val="19EFFF75"/>
    <w:rsid w:val="1A1F14B1"/>
    <w:rsid w:val="1A286FF3"/>
    <w:rsid w:val="1A372E85"/>
    <w:rsid w:val="1A4ED4BA"/>
    <w:rsid w:val="1A529DF8"/>
    <w:rsid w:val="1A7FD0A9"/>
    <w:rsid w:val="1AADC7EC"/>
    <w:rsid w:val="1AB9E5B5"/>
    <w:rsid w:val="1ADD1761"/>
    <w:rsid w:val="1AE5E718"/>
    <w:rsid w:val="1B1003CC"/>
    <w:rsid w:val="1BC17DCD"/>
    <w:rsid w:val="1BF6290E"/>
    <w:rsid w:val="1BFCDABC"/>
    <w:rsid w:val="1C1A53B5"/>
    <w:rsid w:val="1C600081"/>
    <w:rsid w:val="1C6185CD"/>
    <w:rsid w:val="1CE32D6B"/>
    <w:rsid w:val="1D099F28"/>
    <w:rsid w:val="1D0C5AEE"/>
    <w:rsid w:val="1D1780FB"/>
    <w:rsid w:val="1D292079"/>
    <w:rsid w:val="1D6E1768"/>
    <w:rsid w:val="1DAC0B81"/>
    <w:rsid w:val="1DBF8E69"/>
    <w:rsid w:val="1E10B692"/>
    <w:rsid w:val="1E1EC4CB"/>
    <w:rsid w:val="1E2C8AAC"/>
    <w:rsid w:val="1E95E405"/>
    <w:rsid w:val="1EC65F91"/>
    <w:rsid w:val="1ECF29D6"/>
    <w:rsid w:val="1F17B213"/>
    <w:rsid w:val="1F245F7D"/>
    <w:rsid w:val="1F2D3258"/>
    <w:rsid w:val="1F3756E8"/>
    <w:rsid w:val="1F480EB3"/>
    <w:rsid w:val="1F4F435F"/>
    <w:rsid w:val="1F8EEA6F"/>
    <w:rsid w:val="1F9FFD11"/>
    <w:rsid w:val="1FAB4736"/>
    <w:rsid w:val="2000227E"/>
    <w:rsid w:val="201BA56C"/>
    <w:rsid w:val="2024F2BD"/>
    <w:rsid w:val="2037AB5E"/>
    <w:rsid w:val="20493A66"/>
    <w:rsid w:val="20744883"/>
    <w:rsid w:val="20BDBE8D"/>
    <w:rsid w:val="20D0E357"/>
    <w:rsid w:val="20E42354"/>
    <w:rsid w:val="210BD0F7"/>
    <w:rsid w:val="2140565D"/>
    <w:rsid w:val="214AAB60"/>
    <w:rsid w:val="21619E16"/>
    <w:rsid w:val="2186ABB4"/>
    <w:rsid w:val="21942B3E"/>
    <w:rsid w:val="21D5C82E"/>
    <w:rsid w:val="21FC5ECB"/>
    <w:rsid w:val="222B2FAB"/>
    <w:rsid w:val="224155BA"/>
    <w:rsid w:val="2245AA83"/>
    <w:rsid w:val="224AE3CD"/>
    <w:rsid w:val="225EEBC3"/>
    <w:rsid w:val="226CB3B8"/>
    <w:rsid w:val="2270BE12"/>
    <w:rsid w:val="2272A805"/>
    <w:rsid w:val="22A4DED1"/>
    <w:rsid w:val="22B3EE99"/>
    <w:rsid w:val="22C4A664"/>
    <w:rsid w:val="230D1359"/>
    <w:rsid w:val="231410BB"/>
    <w:rsid w:val="2349EAEC"/>
    <w:rsid w:val="2378C245"/>
    <w:rsid w:val="23904F97"/>
    <w:rsid w:val="23E513A1"/>
    <w:rsid w:val="241890FB"/>
    <w:rsid w:val="247D1B64"/>
    <w:rsid w:val="248D2F42"/>
    <w:rsid w:val="24C3E534"/>
    <w:rsid w:val="24EF7B36"/>
    <w:rsid w:val="25912FB0"/>
    <w:rsid w:val="2593F237"/>
    <w:rsid w:val="25B6B8BF"/>
    <w:rsid w:val="25C72A48"/>
    <w:rsid w:val="25F4AAD6"/>
    <w:rsid w:val="260034DA"/>
    <w:rsid w:val="26586D39"/>
    <w:rsid w:val="26644262"/>
    <w:rsid w:val="26EA15CC"/>
    <w:rsid w:val="2717134E"/>
    <w:rsid w:val="272E2AE5"/>
    <w:rsid w:val="279B28E6"/>
    <w:rsid w:val="27A9F9F0"/>
    <w:rsid w:val="27AE68F1"/>
    <w:rsid w:val="27F0CD2F"/>
    <w:rsid w:val="27F1CC49"/>
    <w:rsid w:val="27FAF800"/>
    <w:rsid w:val="28066BB7"/>
    <w:rsid w:val="28167EBA"/>
    <w:rsid w:val="281A7D81"/>
    <w:rsid w:val="2827E546"/>
    <w:rsid w:val="2835EBF9"/>
    <w:rsid w:val="283E7DED"/>
    <w:rsid w:val="28527046"/>
    <w:rsid w:val="28A489C4"/>
    <w:rsid w:val="28D6A454"/>
    <w:rsid w:val="28F51F7B"/>
    <w:rsid w:val="29167E35"/>
    <w:rsid w:val="29173938"/>
    <w:rsid w:val="291AE3B1"/>
    <w:rsid w:val="293A2D6B"/>
    <w:rsid w:val="299E5475"/>
    <w:rsid w:val="29A58921"/>
    <w:rsid w:val="29B7FD80"/>
    <w:rsid w:val="2A122DB3"/>
    <w:rsid w:val="2A152CA8"/>
    <w:rsid w:val="2A3D979E"/>
    <w:rsid w:val="2A5A4F9F"/>
    <w:rsid w:val="2ACA12D4"/>
    <w:rsid w:val="2B1D4F42"/>
    <w:rsid w:val="2B309048"/>
    <w:rsid w:val="2B395A8D"/>
    <w:rsid w:val="2B516432"/>
    <w:rsid w:val="2B6216B9"/>
    <w:rsid w:val="2B755466"/>
    <w:rsid w:val="2B820A66"/>
    <w:rsid w:val="2BA99B00"/>
    <w:rsid w:val="2BDB930E"/>
    <w:rsid w:val="2C11AC0B"/>
    <w:rsid w:val="2C137015"/>
    <w:rsid w:val="2C1AEC0C"/>
    <w:rsid w:val="2C2BCE29"/>
    <w:rsid w:val="2C4B0588"/>
    <w:rsid w:val="2C74B43F"/>
    <w:rsid w:val="2C893022"/>
    <w:rsid w:val="2CC703D4"/>
    <w:rsid w:val="2D062A01"/>
    <w:rsid w:val="2D2FA9F9"/>
    <w:rsid w:val="2D2FBD6A"/>
    <w:rsid w:val="2D3AAF67"/>
    <w:rsid w:val="2D444967"/>
    <w:rsid w:val="2D446F42"/>
    <w:rsid w:val="2D807C8C"/>
    <w:rsid w:val="2D89008F"/>
    <w:rsid w:val="2DD5BF29"/>
    <w:rsid w:val="2E1A58EF"/>
    <w:rsid w:val="2E2E9511"/>
    <w:rsid w:val="2E3BAECF"/>
    <w:rsid w:val="2E4D476F"/>
    <w:rsid w:val="2E9017F9"/>
    <w:rsid w:val="2EC80778"/>
    <w:rsid w:val="2EE0A44A"/>
    <w:rsid w:val="2F01D999"/>
    <w:rsid w:val="2F1300FF"/>
    <w:rsid w:val="2F6AD0F4"/>
    <w:rsid w:val="2F96D257"/>
    <w:rsid w:val="2FB9162F"/>
    <w:rsid w:val="2FD17443"/>
    <w:rsid w:val="2FEB5221"/>
    <w:rsid w:val="300CFE81"/>
    <w:rsid w:val="3028D29B"/>
    <w:rsid w:val="30365BC2"/>
    <w:rsid w:val="30556B76"/>
    <w:rsid w:val="3066B343"/>
    <w:rsid w:val="307628AD"/>
    <w:rsid w:val="307DD571"/>
    <w:rsid w:val="308FE787"/>
    <w:rsid w:val="3093B0C5"/>
    <w:rsid w:val="309A3C8A"/>
    <w:rsid w:val="30D778C4"/>
    <w:rsid w:val="30EA155C"/>
    <w:rsid w:val="3113DEBA"/>
    <w:rsid w:val="312C7C95"/>
    <w:rsid w:val="31359810"/>
    <w:rsid w:val="315F616E"/>
    <w:rsid w:val="3162F64B"/>
    <w:rsid w:val="3192690C"/>
    <w:rsid w:val="319DDC84"/>
    <w:rsid w:val="31AC44E8"/>
    <w:rsid w:val="321A9823"/>
    <w:rsid w:val="3250C8DF"/>
    <w:rsid w:val="325C71B2"/>
    <w:rsid w:val="325FBA42"/>
    <w:rsid w:val="32B58761"/>
    <w:rsid w:val="32BD8406"/>
    <w:rsid w:val="32FE014C"/>
    <w:rsid w:val="33132A41"/>
    <w:rsid w:val="331B24BD"/>
    <w:rsid w:val="333C4D16"/>
    <w:rsid w:val="3378AC91"/>
    <w:rsid w:val="337F3E51"/>
    <w:rsid w:val="33DB2B98"/>
    <w:rsid w:val="3401C330"/>
    <w:rsid w:val="3496554E"/>
    <w:rsid w:val="34AA7739"/>
    <w:rsid w:val="34AFF7BC"/>
    <w:rsid w:val="34CD7FD4"/>
    <w:rsid w:val="34D6F3C8"/>
    <w:rsid w:val="34D85048"/>
    <w:rsid w:val="34E34E32"/>
    <w:rsid w:val="34ED8CB0"/>
    <w:rsid w:val="35126AD6"/>
    <w:rsid w:val="35168C3D"/>
    <w:rsid w:val="3532AFF3"/>
    <w:rsid w:val="354E840D"/>
    <w:rsid w:val="355785B0"/>
    <w:rsid w:val="358000E2"/>
    <w:rsid w:val="35975B04"/>
    <w:rsid w:val="359D7205"/>
    <w:rsid w:val="35B232FF"/>
    <w:rsid w:val="35C78FCE"/>
    <w:rsid w:val="36198E2D"/>
    <w:rsid w:val="36377F2C"/>
    <w:rsid w:val="36578044"/>
    <w:rsid w:val="36B69951"/>
    <w:rsid w:val="36C974B5"/>
    <w:rsid w:val="36D6E541"/>
    <w:rsid w:val="36E0A17B"/>
    <w:rsid w:val="373BFE40"/>
    <w:rsid w:val="3758F239"/>
    <w:rsid w:val="3772E3E4"/>
    <w:rsid w:val="3781F14E"/>
    <w:rsid w:val="37856BB4"/>
    <w:rsid w:val="3790699E"/>
    <w:rsid w:val="379F7CBF"/>
    <w:rsid w:val="37AB00B2"/>
    <w:rsid w:val="37BE22B7"/>
    <w:rsid w:val="37CF7580"/>
    <w:rsid w:val="37EA16C5"/>
    <w:rsid w:val="382F0DB4"/>
    <w:rsid w:val="384462FF"/>
    <w:rsid w:val="3849800D"/>
    <w:rsid w:val="385699F5"/>
    <w:rsid w:val="3873F037"/>
    <w:rsid w:val="388332D0"/>
    <w:rsid w:val="388B1F5B"/>
    <w:rsid w:val="38A8592C"/>
    <w:rsid w:val="38CA8446"/>
    <w:rsid w:val="391AEAE4"/>
    <w:rsid w:val="3923EB2B"/>
    <w:rsid w:val="3936EA0C"/>
    <w:rsid w:val="395BFA08"/>
    <w:rsid w:val="39636B56"/>
    <w:rsid w:val="396C13E0"/>
    <w:rsid w:val="39904A54"/>
    <w:rsid w:val="39F55D50"/>
    <w:rsid w:val="3A3D5592"/>
    <w:rsid w:val="3A4B0494"/>
    <w:rsid w:val="3A5FCF37"/>
    <w:rsid w:val="3A6CB0F4"/>
    <w:rsid w:val="3A7FBCCB"/>
    <w:rsid w:val="3A824C81"/>
    <w:rsid w:val="3A94C5CC"/>
    <w:rsid w:val="3AA0807D"/>
    <w:rsid w:val="3ABC74FE"/>
    <w:rsid w:val="3AD9EAA0"/>
    <w:rsid w:val="3B192663"/>
    <w:rsid w:val="3B2304DC"/>
    <w:rsid w:val="3B890E55"/>
    <w:rsid w:val="3BAD2F28"/>
    <w:rsid w:val="3BBC99FA"/>
    <w:rsid w:val="3BC228A5"/>
    <w:rsid w:val="3BE1DCC7"/>
    <w:rsid w:val="3BF22617"/>
    <w:rsid w:val="3BF5CF4F"/>
    <w:rsid w:val="3C50D595"/>
    <w:rsid w:val="3C55C718"/>
    <w:rsid w:val="3C62E687"/>
    <w:rsid w:val="3C772F38"/>
    <w:rsid w:val="3CC10AE4"/>
    <w:rsid w:val="3CC60F54"/>
    <w:rsid w:val="3CCC5AB1"/>
    <w:rsid w:val="3D04545E"/>
    <w:rsid w:val="3D2A37DA"/>
    <w:rsid w:val="3D2BC335"/>
    <w:rsid w:val="3D5111EF"/>
    <w:rsid w:val="3D54BF26"/>
    <w:rsid w:val="3D716A7F"/>
    <w:rsid w:val="3D8AC4B2"/>
    <w:rsid w:val="3DCAF3E6"/>
    <w:rsid w:val="3DF70B18"/>
    <w:rsid w:val="3E58810A"/>
    <w:rsid w:val="3ECEC050"/>
    <w:rsid w:val="3EFF1765"/>
    <w:rsid w:val="3F19B05A"/>
    <w:rsid w:val="3F2E960A"/>
    <w:rsid w:val="3F3C30A0"/>
    <w:rsid w:val="3F503896"/>
    <w:rsid w:val="3F738CF9"/>
    <w:rsid w:val="3F8ADA82"/>
    <w:rsid w:val="3F966A73"/>
    <w:rsid w:val="3FB86F7C"/>
    <w:rsid w:val="40025E99"/>
    <w:rsid w:val="401A5806"/>
    <w:rsid w:val="4046D181"/>
    <w:rsid w:val="4084C493"/>
    <w:rsid w:val="40B15C73"/>
    <w:rsid w:val="40D156D7"/>
    <w:rsid w:val="40FE2188"/>
    <w:rsid w:val="4105245E"/>
    <w:rsid w:val="419F3B82"/>
    <w:rsid w:val="41A487EE"/>
    <w:rsid w:val="41A533D2"/>
    <w:rsid w:val="41ABDDFC"/>
    <w:rsid w:val="41C4093F"/>
    <w:rsid w:val="41C43C10"/>
    <w:rsid w:val="41D868E6"/>
    <w:rsid w:val="41ECBA77"/>
    <w:rsid w:val="42018BBB"/>
    <w:rsid w:val="42397B3A"/>
    <w:rsid w:val="423DB865"/>
    <w:rsid w:val="423EA0CD"/>
    <w:rsid w:val="429A75F0"/>
    <w:rsid w:val="42A0E8D2"/>
    <w:rsid w:val="42A4717F"/>
    <w:rsid w:val="42B734BA"/>
    <w:rsid w:val="42D02A46"/>
    <w:rsid w:val="42D7F86C"/>
    <w:rsid w:val="42F9ECDC"/>
    <w:rsid w:val="4325D3E1"/>
    <w:rsid w:val="434EB7BC"/>
    <w:rsid w:val="436F2FAA"/>
    <w:rsid w:val="438D7182"/>
    <w:rsid w:val="439F73BA"/>
    <w:rsid w:val="444399CA"/>
    <w:rsid w:val="44448CCB"/>
    <w:rsid w:val="4471577C"/>
    <w:rsid w:val="44910B9E"/>
    <w:rsid w:val="44E56A06"/>
    <w:rsid w:val="45751E9B"/>
    <w:rsid w:val="459217F1"/>
    <w:rsid w:val="459A047C"/>
    <w:rsid w:val="45C33662"/>
    <w:rsid w:val="45C8C435"/>
    <w:rsid w:val="460E8E68"/>
    <w:rsid w:val="460F01B6"/>
    <w:rsid w:val="465F2960"/>
    <w:rsid w:val="466985BE"/>
    <w:rsid w:val="4672FE85"/>
    <w:rsid w:val="46BB8244"/>
    <w:rsid w:val="46C4460E"/>
    <w:rsid w:val="46F31C25"/>
    <w:rsid w:val="47093CFD"/>
    <w:rsid w:val="4746F14F"/>
    <w:rsid w:val="476A0F8A"/>
    <w:rsid w:val="477EE0CE"/>
    <w:rsid w:val="47C70AD8"/>
    <w:rsid w:val="47D0AC5C"/>
    <w:rsid w:val="47F40955"/>
    <w:rsid w:val="48666F63"/>
    <w:rsid w:val="48841D56"/>
    <w:rsid w:val="488F6BA3"/>
    <w:rsid w:val="48D282F8"/>
    <w:rsid w:val="4908374E"/>
    <w:rsid w:val="4932C1F1"/>
    <w:rsid w:val="4941E7B3"/>
    <w:rsid w:val="494D0DD6"/>
    <w:rsid w:val="496E5F2C"/>
    <w:rsid w:val="496F2BD3"/>
    <w:rsid w:val="49A3ED7D"/>
    <w:rsid w:val="49D23407"/>
    <w:rsid w:val="49E7C604"/>
    <w:rsid w:val="4A0110D4"/>
    <w:rsid w:val="4A3C2BD3"/>
    <w:rsid w:val="4A53DBA5"/>
    <w:rsid w:val="4A6A17B3"/>
    <w:rsid w:val="4A9E6747"/>
    <w:rsid w:val="4AB1706F"/>
    <w:rsid w:val="4ADAEAF5"/>
    <w:rsid w:val="4B221D0D"/>
    <w:rsid w:val="4B475FDA"/>
    <w:rsid w:val="4B79FB4D"/>
    <w:rsid w:val="4B91F4BA"/>
    <w:rsid w:val="4BE6908B"/>
    <w:rsid w:val="4C349D4B"/>
    <w:rsid w:val="4C5BAC2A"/>
    <w:rsid w:val="4C841720"/>
    <w:rsid w:val="4C884505"/>
    <w:rsid w:val="4CBBE516"/>
    <w:rsid w:val="4CD01C22"/>
    <w:rsid w:val="4D20AB33"/>
    <w:rsid w:val="4D2E336B"/>
    <w:rsid w:val="4D708222"/>
    <w:rsid w:val="4D9FFFCE"/>
    <w:rsid w:val="4DE80A7A"/>
    <w:rsid w:val="4DF3D4AF"/>
    <w:rsid w:val="4DF5B97C"/>
    <w:rsid w:val="4E193A98"/>
    <w:rsid w:val="4E204C28"/>
    <w:rsid w:val="4E30F477"/>
    <w:rsid w:val="4E45797A"/>
    <w:rsid w:val="4E658A97"/>
    <w:rsid w:val="4E86BC41"/>
    <w:rsid w:val="4EAFA3D1"/>
    <w:rsid w:val="4EF3F652"/>
    <w:rsid w:val="4F15AFA8"/>
    <w:rsid w:val="4F16144F"/>
    <w:rsid w:val="4F276B8A"/>
    <w:rsid w:val="4F31D6FA"/>
    <w:rsid w:val="4F6EA197"/>
    <w:rsid w:val="4F79D6B2"/>
    <w:rsid w:val="4FDFAD9B"/>
    <w:rsid w:val="5000BBC7"/>
    <w:rsid w:val="50147874"/>
    <w:rsid w:val="50195F9D"/>
    <w:rsid w:val="5033A0A0"/>
    <w:rsid w:val="50654778"/>
    <w:rsid w:val="508E5FFD"/>
    <w:rsid w:val="509DCE6F"/>
    <w:rsid w:val="50A4EC2A"/>
    <w:rsid w:val="50A71739"/>
    <w:rsid w:val="50ABAC4A"/>
    <w:rsid w:val="50DEB05C"/>
    <w:rsid w:val="510D734B"/>
    <w:rsid w:val="51125E83"/>
    <w:rsid w:val="513736F6"/>
    <w:rsid w:val="515BAA3B"/>
    <w:rsid w:val="51687EDA"/>
    <w:rsid w:val="51811C62"/>
    <w:rsid w:val="51D04840"/>
    <w:rsid w:val="5215FB87"/>
    <w:rsid w:val="52166C83"/>
    <w:rsid w:val="521DD501"/>
    <w:rsid w:val="523DDB00"/>
    <w:rsid w:val="527AB293"/>
    <w:rsid w:val="52A8FA13"/>
    <w:rsid w:val="52BFA982"/>
    <w:rsid w:val="52DC5B0B"/>
    <w:rsid w:val="52FA04EB"/>
    <w:rsid w:val="530FE368"/>
    <w:rsid w:val="531262E4"/>
    <w:rsid w:val="53128244"/>
    <w:rsid w:val="53198621"/>
    <w:rsid w:val="5347EB83"/>
    <w:rsid w:val="535B3480"/>
    <w:rsid w:val="5378261B"/>
    <w:rsid w:val="53E71153"/>
    <w:rsid w:val="53ED3E1E"/>
    <w:rsid w:val="53FD8D68"/>
    <w:rsid w:val="540DB5E1"/>
    <w:rsid w:val="5432459F"/>
    <w:rsid w:val="5454DCB3"/>
    <w:rsid w:val="547ABA18"/>
    <w:rsid w:val="5499D4AD"/>
    <w:rsid w:val="54C5C3EB"/>
    <w:rsid w:val="54CE6A73"/>
    <w:rsid w:val="554482AA"/>
    <w:rsid w:val="555563F4"/>
    <w:rsid w:val="5569D091"/>
    <w:rsid w:val="5583C23C"/>
    <w:rsid w:val="55A15540"/>
    <w:rsid w:val="55AE87B9"/>
    <w:rsid w:val="55E21100"/>
    <w:rsid w:val="55F7A0A0"/>
    <w:rsid w:val="560B2064"/>
    <w:rsid w:val="560B987C"/>
    <w:rsid w:val="560F9A0D"/>
    <w:rsid w:val="5613D738"/>
    <w:rsid w:val="562B9DD4"/>
    <w:rsid w:val="56423580"/>
    <w:rsid w:val="5676AD9C"/>
    <w:rsid w:val="5695865A"/>
    <w:rsid w:val="56FC7ADF"/>
    <w:rsid w:val="57120A14"/>
    <w:rsid w:val="574ED082"/>
    <w:rsid w:val="5763C03E"/>
    <w:rsid w:val="57694EE9"/>
    <w:rsid w:val="57885E9D"/>
    <w:rsid w:val="57BBE7E4"/>
    <w:rsid w:val="57BD8871"/>
    <w:rsid w:val="57C4B8AD"/>
    <w:rsid w:val="57C652B6"/>
    <w:rsid w:val="57D968CF"/>
    <w:rsid w:val="583704C6"/>
    <w:rsid w:val="585A778E"/>
    <w:rsid w:val="5884E55A"/>
    <w:rsid w:val="58E6BFF3"/>
    <w:rsid w:val="5905E993"/>
    <w:rsid w:val="59074A59"/>
    <w:rsid w:val="591A493A"/>
    <w:rsid w:val="594B7687"/>
    <w:rsid w:val="59A0299A"/>
    <w:rsid w:val="59D5DDBA"/>
    <w:rsid w:val="59DDB70A"/>
    <w:rsid w:val="59E93FD1"/>
    <w:rsid w:val="59F17F39"/>
    <w:rsid w:val="5A11EB3A"/>
    <w:rsid w:val="5A43F354"/>
    <w:rsid w:val="5A5D8D4E"/>
    <w:rsid w:val="5A877C95"/>
    <w:rsid w:val="5A8F1066"/>
    <w:rsid w:val="5A9212B4"/>
    <w:rsid w:val="5AA812E8"/>
    <w:rsid w:val="5ACF4EEE"/>
    <w:rsid w:val="5ADB834C"/>
    <w:rsid w:val="5AE27FA5"/>
    <w:rsid w:val="5AF192C6"/>
    <w:rsid w:val="5AFAFA68"/>
    <w:rsid w:val="5AFBC964"/>
    <w:rsid w:val="5B173A3A"/>
    <w:rsid w:val="5B4252EF"/>
    <w:rsid w:val="5B836AD1"/>
    <w:rsid w:val="5BB8F94C"/>
    <w:rsid w:val="5BEF451A"/>
    <w:rsid w:val="5C1282B3"/>
    <w:rsid w:val="5C222C51"/>
    <w:rsid w:val="5C5025E5"/>
    <w:rsid w:val="5C564D10"/>
    <w:rsid w:val="5C73965C"/>
    <w:rsid w:val="5C99B068"/>
    <w:rsid w:val="5CAA3562"/>
    <w:rsid w:val="5CE565ED"/>
    <w:rsid w:val="5CECC61F"/>
    <w:rsid w:val="5CF4110E"/>
    <w:rsid w:val="5DA2DE8E"/>
    <w:rsid w:val="5DC91BFE"/>
    <w:rsid w:val="5E171CA8"/>
    <w:rsid w:val="5E59D889"/>
    <w:rsid w:val="5E5D861D"/>
    <w:rsid w:val="5EB3E856"/>
    <w:rsid w:val="5EBA0DE8"/>
    <w:rsid w:val="5EC03597"/>
    <w:rsid w:val="5ED0FFDA"/>
    <w:rsid w:val="5EEB3D39"/>
    <w:rsid w:val="5F12466E"/>
    <w:rsid w:val="5F33F2CE"/>
    <w:rsid w:val="5F709532"/>
    <w:rsid w:val="5F833EC0"/>
    <w:rsid w:val="5FCE29FC"/>
    <w:rsid w:val="5FDFE3EC"/>
    <w:rsid w:val="5FE41D3A"/>
    <w:rsid w:val="603856C2"/>
    <w:rsid w:val="6046F5F6"/>
    <w:rsid w:val="604A0431"/>
    <w:rsid w:val="605817DA"/>
    <w:rsid w:val="608EBB59"/>
    <w:rsid w:val="60BBB8DB"/>
    <w:rsid w:val="60C3E52D"/>
    <w:rsid w:val="60D423E5"/>
    <w:rsid w:val="615A77FD"/>
    <w:rsid w:val="617CC45A"/>
    <w:rsid w:val="61E0585D"/>
    <w:rsid w:val="62383ABC"/>
    <w:rsid w:val="624C05A8"/>
    <w:rsid w:val="6254F986"/>
    <w:rsid w:val="626A4454"/>
    <w:rsid w:val="629F1CD7"/>
    <w:rsid w:val="62E4760F"/>
    <w:rsid w:val="62E8929B"/>
    <w:rsid w:val="62FA13FA"/>
    <w:rsid w:val="6313C543"/>
    <w:rsid w:val="632442FA"/>
    <w:rsid w:val="6324A7A1"/>
    <w:rsid w:val="6342AC74"/>
    <w:rsid w:val="636C6E0D"/>
    <w:rsid w:val="63722F89"/>
    <w:rsid w:val="638E56DB"/>
    <w:rsid w:val="640A686B"/>
    <w:rsid w:val="64449DCD"/>
    <w:rsid w:val="6463BA77"/>
    <w:rsid w:val="646863CD"/>
    <w:rsid w:val="646A15C9"/>
    <w:rsid w:val="648FD778"/>
    <w:rsid w:val="6491C10E"/>
    <w:rsid w:val="64D0D721"/>
    <w:rsid w:val="64DDB4F1"/>
    <w:rsid w:val="64EB6C49"/>
    <w:rsid w:val="64EEAE26"/>
    <w:rsid w:val="64FE58AA"/>
    <w:rsid w:val="651B6F25"/>
    <w:rsid w:val="653B4250"/>
    <w:rsid w:val="656E3AFF"/>
    <w:rsid w:val="65C88B8B"/>
    <w:rsid w:val="65D75511"/>
    <w:rsid w:val="65D96D41"/>
    <w:rsid w:val="65EC3AC1"/>
    <w:rsid w:val="66110576"/>
    <w:rsid w:val="66157F1F"/>
    <w:rsid w:val="6626A103"/>
    <w:rsid w:val="662BF340"/>
    <w:rsid w:val="665AE6A2"/>
    <w:rsid w:val="66A86F85"/>
    <w:rsid w:val="66A9A92C"/>
    <w:rsid w:val="66AAFF3B"/>
    <w:rsid w:val="66ADBF64"/>
    <w:rsid w:val="66D0884A"/>
    <w:rsid w:val="66ED00D2"/>
    <w:rsid w:val="6710C3BF"/>
    <w:rsid w:val="672D45D5"/>
    <w:rsid w:val="67462592"/>
    <w:rsid w:val="674CB1F5"/>
    <w:rsid w:val="6776F9A1"/>
    <w:rsid w:val="67931602"/>
    <w:rsid w:val="67AA5F14"/>
    <w:rsid w:val="67AACFA8"/>
    <w:rsid w:val="67E61602"/>
    <w:rsid w:val="67F7F2E9"/>
    <w:rsid w:val="681C5F72"/>
    <w:rsid w:val="687A2612"/>
    <w:rsid w:val="688484E9"/>
    <w:rsid w:val="68FB5D1C"/>
    <w:rsid w:val="691C20CE"/>
    <w:rsid w:val="6927DD14"/>
    <w:rsid w:val="693F3F09"/>
    <w:rsid w:val="694D5E9F"/>
    <w:rsid w:val="695060ED"/>
    <w:rsid w:val="69D79FB5"/>
    <w:rsid w:val="69E03676"/>
    <w:rsid w:val="69E20885"/>
    <w:rsid w:val="69E699E8"/>
    <w:rsid w:val="6A227768"/>
    <w:rsid w:val="6A451F04"/>
    <w:rsid w:val="6A5325B7"/>
    <w:rsid w:val="6A688F6E"/>
    <w:rsid w:val="6A843612"/>
    <w:rsid w:val="6A8FCB74"/>
    <w:rsid w:val="6B347EE3"/>
    <w:rsid w:val="6B482490"/>
    <w:rsid w:val="6B488937"/>
    <w:rsid w:val="6B67D8B2"/>
    <w:rsid w:val="6BA39F74"/>
    <w:rsid w:val="6BA76386"/>
    <w:rsid w:val="6BB89E5D"/>
    <w:rsid w:val="6BC538C3"/>
    <w:rsid w:val="6BD9FEF9"/>
    <w:rsid w:val="6BE058E8"/>
    <w:rsid w:val="6C0AEB94"/>
    <w:rsid w:val="6C16CDBC"/>
    <w:rsid w:val="6C521A88"/>
    <w:rsid w:val="6C5A4D55"/>
    <w:rsid w:val="6C6EFE32"/>
    <w:rsid w:val="6CB733BC"/>
    <w:rsid w:val="6CFCCC18"/>
    <w:rsid w:val="6D2A877D"/>
    <w:rsid w:val="6D35B1C9"/>
    <w:rsid w:val="6D3D726B"/>
    <w:rsid w:val="6D8A94A3"/>
    <w:rsid w:val="6D9F65E7"/>
    <w:rsid w:val="6DD7B7E4"/>
    <w:rsid w:val="6E1E0F99"/>
    <w:rsid w:val="6E59B83C"/>
    <w:rsid w:val="6E89DA8E"/>
    <w:rsid w:val="6E8DCC05"/>
    <w:rsid w:val="6E9586BA"/>
    <w:rsid w:val="6EA67D51"/>
    <w:rsid w:val="6EAA97C5"/>
    <w:rsid w:val="6EB0E3C3"/>
    <w:rsid w:val="6EB7639B"/>
    <w:rsid w:val="6EB828DC"/>
    <w:rsid w:val="6EBE76BE"/>
    <w:rsid w:val="6ED7BB22"/>
    <w:rsid w:val="6EEA64B0"/>
    <w:rsid w:val="6F29D353"/>
    <w:rsid w:val="6F419295"/>
    <w:rsid w:val="6F41C299"/>
    <w:rsid w:val="6F4C7763"/>
    <w:rsid w:val="6F53F9FE"/>
    <w:rsid w:val="6F71B4E7"/>
    <w:rsid w:val="6FA03A13"/>
    <w:rsid w:val="6FD9DA5E"/>
    <w:rsid w:val="6FE774F4"/>
    <w:rsid w:val="7060F149"/>
    <w:rsid w:val="7091D1F7"/>
    <w:rsid w:val="709544D9"/>
    <w:rsid w:val="70CC6E61"/>
    <w:rsid w:val="71202C75"/>
    <w:rsid w:val="71463BEC"/>
    <w:rsid w:val="716C36EB"/>
    <w:rsid w:val="717D3D3B"/>
    <w:rsid w:val="719F9282"/>
    <w:rsid w:val="71E4FB0E"/>
    <w:rsid w:val="71E52DDF"/>
    <w:rsid w:val="72015531"/>
    <w:rsid w:val="720A70AC"/>
    <w:rsid w:val="7245103A"/>
    <w:rsid w:val="7271DAEB"/>
    <w:rsid w:val="72833724"/>
    <w:rsid w:val="72A01453"/>
    <w:rsid w:val="72A501E9"/>
    <w:rsid w:val="72B79C23"/>
    <w:rsid w:val="72CBECB9"/>
    <w:rsid w:val="73139C5B"/>
    <w:rsid w:val="733BC78A"/>
    <w:rsid w:val="73474DDB"/>
    <w:rsid w:val="735A6D23"/>
    <w:rsid w:val="74040F23"/>
    <w:rsid w:val="741D20B6"/>
    <w:rsid w:val="74384E47"/>
    <w:rsid w:val="747A4FDE"/>
    <w:rsid w:val="74A48041"/>
    <w:rsid w:val="74AE709D"/>
    <w:rsid w:val="74BCAA21"/>
    <w:rsid w:val="74C5F86D"/>
    <w:rsid w:val="74D2C11F"/>
    <w:rsid w:val="74F98412"/>
    <w:rsid w:val="751F1D3B"/>
    <w:rsid w:val="7538C322"/>
    <w:rsid w:val="753FDB9F"/>
    <w:rsid w:val="7551EB7F"/>
    <w:rsid w:val="755349E7"/>
    <w:rsid w:val="75790825"/>
    <w:rsid w:val="758541F5"/>
    <w:rsid w:val="75936A0A"/>
    <w:rsid w:val="759DEE71"/>
    <w:rsid w:val="75B826CE"/>
    <w:rsid w:val="7602F603"/>
    <w:rsid w:val="7698B90A"/>
    <w:rsid w:val="769D7C40"/>
    <w:rsid w:val="76BE607E"/>
    <w:rsid w:val="76D405A7"/>
    <w:rsid w:val="76E5187D"/>
    <w:rsid w:val="77984C9F"/>
    <w:rsid w:val="77D0A8A3"/>
    <w:rsid w:val="78047DAE"/>
    <w:rsid w:val="78159284"/>
    <w:rsid w:val="78331AB4"/>
    <w:rsid w:val="7838CAC1"/>
    <w:rsid w:val="783AA298"/>
    <w:rsid w:val="785AC857"/>
    <w:rsid w:val="786178FC"/>
    <w:rsid w:val="7863C56D"/>
    <w:rsid w:val="786B4D51"/>
    <w:rsid w:val="78AFFDFE"/>
    <w:rsid w:val="78CD819F"/>
    <w:rsid w:val="78DD41C2"/>
    <w:rsid w:val="78E4C9A6"/>
    <w:rsid w:val="78EF3018"/>
    <w:rsid w:val="791925D5"/>
    <w:rsid w:val="795466B4"/>
    <w:rsid w:val="798303BA"/>
    <w:rsid w:val="798DBD64"/>
    <w:rsid w:val="79B6FE9E"/>
    <w:rsid w:val="79D94276"/>
    <w:rsid w:val="79FC800F"/>
    <w:rsid w:val="7A60F84F"/>
    <w:rsid w:val="7A7B8E68"/>
    <w:rsid w:val="7AA85919"/>
    <w:rsid w:val="7AD141C7"/>
    <w:rsid w:val="7AF50ABD"/>
    <w:rsid w:val="7B3B86F8"/>
    <w:rsid w:val="7B428351"/>
    <w:rsid w:val="7B538065"/>
    <w:rsid w:val="7B5F4479"/>
    <w:rsid w:val="7B7692A1"/>
    <w:rsid w:val="7B7708B7"/>
    <w:rsid w:val="7B7B37CC"/>
    <w:rsid w:val="7B7D13CE"/>
    <w:rsid w:val="7B83B102"/>
    <w:rsid w:val="7BEE81E9"/>
    <w:rsid w:val="7C148157"/>
    <w:rsid w:val="7C3B40D0"/>
    <w:rsid w:val="7C63BF37"/>
    <w:rsid w:val="7C9E574F"/>
    <w:rsid w:val="7CE76340"/>
    <w:rsid w:val="7D335572"/>
    <w:rsid w:val="7D3703BF"/>
    <w:rsid w:val="7D5C795D"/>
    <w:rsid w:val="7D65004F"/>
    <w:rsid w:val="7D6F260F"/>
    <w:rsid w:val="7D855392"/>
    <w:rsid w:val="7D8FEF33"/>
    <w:rsid w:val="7D97057A"/>
    <w:rsid w:val="7DA94966"/>
    <w:rsid w:val="7DD5F5B2"/>
    <w:rsid w:val="7DEF6F45"/>
    <w:rsid w:val="7E3AA0C3"/>
    <w:rsid w:val="7E7CB5F3"/>
    <w:rsid w:val="7E7F64E1"/>
    <w:rsid w:val="7E9BAB93"/>
    <w:rsid w:val="7EE0D458"/>
    <w:rsid w:val="7EF049C2"/>
    <w:rsid w:val="7F0D603D"/>
    <w:rsid w:val="7F110D74"/>
    <w:rsid w:val="7F332E95"/>
    <w:rsid w:val="7F985710"/>
    <w:rsid w:val="7FA1C00F"/>
    <w:rsid w:val="7FA67E4A"/>
    <w:rsid w:val="7FAFE89D"/>
    <w:rsid w:val="7FCB48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B57B38"/>
  <w15:chartTrackingRefBased/>
  <w15:docId w15:val="{9BDC3CCA-10A1-4102-A24D-28D44FF5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2164"/>
    <w:pPr>
      <w:ind w:left="720"/>
      <w:contextualSpacing/>
    </w:pPr>
  </w:style>
  <w:style w:type="paragraph" w:styleId="Header">
    <w:name w:val="header"/>
    <w:basedOn w:val="Normal"/>
    <w:link w:val="HeaderChar"/>
    <w:uiPriority w:val="99"/>
    <w:unhideWhenUsed/>
    <w:rsid w:val="00FC3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945"/>
    <w:rPr>
      <w:lang w:val="en-US"/>
    </w:rPr>
  </w:style>
  <w:style w:type="paragraph" w:styleId="Footer">
    <w:name w:val="footer"/>
    <w:basedOn w:val="Normal"/>
    <w:link w:val="FooterChar"/>
    <w:uiPriority w:val="99"/>
    <w:unhideWhenUsed/>
    <w:rsid w:val="00FC3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945"/>
    <w:rPr>
      <w:lang w:val="en-US"/>
    </w:rPr>
  </w:style>
  <w:style w:type="paragraph" w:styleId="BalloonText">
    <w:name w:val="Balloon Text"/>
    <w:basedOn w:val="Normal"/>
    <w:link w:val="BalloonTextChar"/>
    <w:uiPriority w:val="99"/>
    <w:semiHidden/>
    <w:unhideWhenUsed/>
    <w:rsid w:val="00C93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130"/>
    <w:rPr>
      <w:rFonts w:ascii="Segoe UI" w:hAnsi="Segoe UI" w:cs="Segoe UI"/>
      <w:sz w:val="18"/>
      <w:szCs w:val="18"/>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F3E0D"/>
    <w:rPr>
      <w:b/>
      <w:bCs/>
    </w:rPr>
  </w:style>
  <w:style w:type="character" w:customStyle="1" w:styleId="CommentSubjectChar">
    <w:name w:val="Comment Subject Char"/>
    <w:basedOn w:val="CommentTextChar"/>
    <w:link w:val="CommentSubject"/>
    <w:uiPriority w:val="99"/>
    <w:semiHidden/>
    <w:rsid w:val="00FF3E0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09424">
      <w:bodyDiv w:val="1"/>
      <w:marLeft w:val="0"/>
      <w:marRight w:val="0"/>
      <w:marTop w:val="0"/>
      <w:marBottom w:val="0"/>
      <w:divBdr>
        <w:top w:val="none" w:sz="0" w:space="0" w:color="auto"/>
        <w:left w:val="none" w:sz="0" w:space="0" w:color="auto"/>
        <w:bottom w:val="none" w:sz="0" w:space="0" w:color="auto"/>
        <w:right w:val="none" w:sz="0" w:space="0" w:color="auto"/>
      </w:divBdr>
    </w:div>
    <w:div w:id="82446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Bradley</dc:creator>
  <cp:keywords/>
  <dc:description/>
  <cp:lastModifiedBy>Ed Bradley</cp:lastModifiedBy>
  <cp:revision>17</cp:revision>
  <dcterms:created xsi:type="dcterms:W3CDTF">2021-06-04T11:33:00Z</dcterms:created>
  <dcterms:modified xsi:type="dcterms:W3CDTF">2021-08-03T11:54:00Z</dcterms:modified>
</cp:coreProperties>
</file>