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F8" w:rsidRPr="001C02F8" w:rsidRDefault="001C02F8" w:rsidP="001C02F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2F8">
        <w:rPr>
          <w:rFonts w:ascii="Times New Roman" w:eastAsia="Times New Roman" w:hAnsi="Times New Roman" w:cs="Times New Roman"/>
          <w:sz w:val="24"/>
          <w:szCs w:val="24"/>
        </w:rPr>
        <w:t>NLO Roles and Responsibilities</w:t>
      </w:r>
    </w:p>
    <w:p w:rsidR="001C02F8" w:rsidRPr="001C02F8" w:rsidRDefault="001C02F8" w:rsidP="001C02F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2F8">
        <w:rPr>
          <w:rFonts w:ascii="Times New Roman" w:eastAsia="Times New Roman" w:hAnsi="Times New Roman" w:cs="Times New Roman"/>
          <w:sz w:val="24"/>
          <w:szCs w:val="24"/>
        </w:rPr>
        <w:t xml:space="preserve">The NLO is the primary contact person between the IAEA and the Member State on matters relating to the IAEA, in particular the TC </w:t>
      </w:r>
      <w:proofErr w:type="spellStart"/>
      <w:r w:rsidRPr="001C02F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1C02F8">
        <w:rPr>
          <w:rFonts w:ascii="Times New Roman" w:eastAsia="Times New Roman" w:hAnsi="Times New Roman" w:cs="Times New Roman"/>
          <w:sz w:val="24"/>
          <w:szCs w:val="24"/>
        </w:rPr>
        <w:t xml:space="preserve">. The efficient and effective planning, formulation and management of the TC </w:t>
      </w:r>
      <w:proofErr w:type="spellStart"/>
      <w:r w:rsidRPr="001C02F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1C02F8">
        <w:rPr>
          <w:rFonts w:ascii="Times New Roman" w:eastAsia="Times New Roman" w:hAnsi="Times New Roman" w:cs="Times New Roman"/>
          <w:sz w:val="24"/>
          <w:szCs w:val="24"/>
        </w:rPr>
        <w:t xml:space="preserve">, and other related IAEA activities, strongly depend on the NLO. Relevant Government authorities in Member States participating in the TC </w:t>
      </w:r>
      <w:proofErr w:type="spellStart"/>
      <w:r w:rsidRPr="001C02F8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1C02F8">
        <w:rPr>
          <w:rFonts w:ascii="Times New Roman" w:eastAsia="Times New Roman" w:hAnsi="Times New Roman" w:cs="Times New Roman"/>
          <w:sz w:val="24"/>
          <w:szCs w:val="24"/>
        </w:rPr>
        <w:t xml:space="preserve"> are therefore requested to take into account the attached information when designating the NLO.</w:t>
      </w:r>
    </w:p>
    <w:p w:rsidR="002B15F1" w:rsidRDefault="002B15F1">
      <w:pPr>
        <w:rPr>
          <w:rFonts w:hint="cs"/>
        </w:rPr>
      </w:pPr>
    </w:p>
    <w:sectPr w:rsidR="002B15F1" w:rsidSect="00883C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2F8"/>
    <w:rsid w:val="001C02F8"/>
    <w:rsid w:val="002B15F1"/>
    <w:rsid w:val="0088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2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9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0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1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7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>nppd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rahnamaz</dc:creator>
  <cp:keywords/>
  <dc:description/>
  <cp:lastModifiedBy>rahnamaz</cp:lastModifiedBy>
  <cp:revision>1</cp:revision>
  <dcterms:created xsi:type="dcterms:W3CDTF">2013-02-09T06:45:00Z</dcterms:created>
  <dcterms:modified xsi:type="dcterms:W3CDTF">2013-02-09T06:54:00Z</dcterms:modified>
</cp:coreProperties>
</file>