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902" w:type="dxa"/>
        <w:tblLook w:val="06A0" w:firstRow="1" w:lastRow="0" w:firstColumn="1" w:lastColumn="0" w:noHBand="1" w:noVBand="1"/>
      </w:tblPr>
      <w:tblGrid>
        <w:gridCol w:w="1100"/>
        <w:gridCol w:w="4140"/>
        <w:gridCol w:w="1276"/>
        <w:gridCol w:w="3386"/>
      </w:tblGrid>
      <w:tr w:rsidR="00A9739F" w:rsidRPr="00794C27" w:rsidTr="001C2DC2">
        <w:trPr>
          <w:cantSplit/>
        </w:trPr>
        <w:tc>
          <w:tcPr>
            <w:tcW w:w="1100" w:type="dxa"/>
            <w:shd w:val="clear" w:color="auto" w:fill="D5DCE4" w:themeFill="text2" w:themeFillTint="33"/>
            <w:vAlign w:val="center"/>
          </w:tcPr>
          <w:p w:rsidR="00A9739F" w:rsidRPr="00794C27" w:rsidRDefault="00A9739F" w:rsidP="006922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Comment</w:t>
            </w:r>
          </w:p>
        </w:tc>
        <w:tc>
          <w:tcPr>
            <w:tcW w:w="4140" w:type="dxa"/>
            <w:shd w:val="clear" w:color="auto" w:fill="D5DCE4" w:themeFill="text2" w:themeFillTint="33"/>
            <w:vAlign w:val="center"/>
          </w:tcPr>
          <w:p w:rsidR="00A9739F" w:rsidRPr="00794C27" w:rsidRDefault="00A9739F" w:rsidP="006922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Text of comment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A9739F" w:rsidRDefault="00A9739F" w:rsidP="006922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Resolution</w:t>
            </w:r>
          </w:p>
        </w:tc>
        <w:tc>
          <w:tcPr>
            <w:tcW w:w="3386" w:type="dxa"/>
            <w:shd w:val="clear" w:color="auto" w:fill="D5DCE4" w:themeFill="text2" w:themeFillTint="33"/>
            <w:vAlign w:val="center"/>
          </w:tcPr>
          <w:p w:rsidR="00A9739F" w:rsidRDefault="00692200" w:rsidP="006922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Comment implementation</w:t>
            </w:r>
          </w:p>
        </w:tc>
      </w:tr>
      <w:tr w:rsidR="005C3D07" w:rsidRPr="00794C27" w:rsidTr="001C2DC2">
        <w:trPr>
          <w:cantSplit/>
        </w:trPr>
        <w:tc>
          <w:tcPr>
            <w:tcW w:w="1100" w:type="dxa"/>
            <w:vAlign w:val="center"/>
          </w:tcPr>
          <w:p w:rsidR="005C3D07" w:rsidRPr="00794C27" w:rsidRDefault="00A9739F" w:rsidP="005C3D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5C3D07" w:rsidRPr="00794C27">
              <w:rPr>
                <w:lang w:val="en-GB"/>
              </w:rPr>
              <w:t xml:space="preserve"> [TE1]:</w:t>
            </w:r>
          </w:p>
        </w:tc>
        <w:tc>
          <w:tcPr>
            <w:tcW w:w="4140" w:type="dxa"/>
            <w:vAlign w:val="center"/>
          </w:tcPr>
          <w:p w:rsidR="005C3D07" w:rsidRPr="00794C27" w:rsidRDefault="005C3D07" w:rsidP="005C3D07">
            <w:pPr>
              <w:rPr>
                <w:lang w:val="en-GB"/>
              </w:rPr>
            </w:pPr>
            <w:r w:rsidRPr="00794C27">
              <w:rPr>
                <w:lang w:val="en-GB"/>
              </w:rPr>
              <w:t>The availability of “The procedure</w:t>
            </w:r>
            <w:r w:rsidRPr="00794C27">
              <w:rPr>
                <w:lang w:val="en-GB"/>
              </w:rPr>
              <w:t xml:space="preserve"> </w:t>
            </w:r>
            <w:r w:rsidRPr="00794C27">
              <w:rPr>
                <w:lang w:val="en-GB"/>
              </w:rPr>
              <w:t>for periodic check of water tightness of openings</w:t>
            </w:r>
            <w:r w:rsidRPr="00794C27">
              <w:rPr>
                <w:lang w:val="en-GB"/>
              </w:rPr>
              <w:t xml:space="preserve"> </w:t>
            </w:r>
            <w:r w:rsidRPr="00794C27">
              <w:rPr>
                <w:lang w:val="en-GB"/>
              </w:rPr>
              <w:t>exists in BNPP” should be mentioned in the</w:t>
            </w:r>
            <w:r w:rsidRPr="00794C27">
              <w:rPr>
                <w:lang w:val="en-GB"/>
              </w:rPr>
              <w:t xml:space="preserve"> </w:t>
            </w:r>
            <w:r w:rsidRPr="00794C27">
              <w:rPr>
                <w:lang w:val="en-GB"/>
              </w:rPr>
              <w:t>report section 3.1.2.3 (relevant to previously deleted</w:t>
            </w:r>
            <w:r w:rsidRPr="00794C27">
              <w:rPr>
                <w:lang w:val="en-GB"/>
              </w:rPr>
              <w:t xml:space="preserve"> </w:t>
            </w:r>
            <w:r w:rsidRPr="00794C27">
              <w:rPr>
                <w:lang w:val="en-GB"/>
              </w:rPr>
              <w:t>item 2.8 of safety measures). According to Dec 2019</w:t>
            </w:r>
            <w:r w:rsidRPr="00794C27">
              <w:rPr>
                <w:lang w:val="en-GB"/>
              </w:rPr>
              <w:t xml:space="preserve"> </w:t>
            </w:r>
            <w:r w:rsidRPr="00794C27">
              <w:rPr>
                <w:lang w:val="en-GB"/>
              </w:rPr>
              <w:t>meeting at BNPP, it was decided to delete item 2.8</w:t>
            </w:r>
            <w:r w:rsidRPr="00794C27">
              <w:rPr>
                <w:lang w:val="en-GB"/>
              </w:rPr>
              <w:t xml:space="preserve"> </w:t>
            </w:r>
            <w:r w:rsidRPr="00794C27">
              <w:rPr>
                <w:lang w:val="en-GB"/>
              </w:rPr>
              <w:t>and modify the relevant text of the report.</w:t>
            </w:r>
            <w:r w:rsidRPr="00794C27">
              <w:rPr>
                <w:lang w:val="en-GB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C3D07" w:rsidRDefault="005C3D07" w:rsidP="005C3D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Accepted</w:t>
            </w:r>
          </w:p>
        </w:tc>
        <w:tc>
          <w:tcPr>
            <w:tcW w:w="3386" w:type="dxa"/>
            <w:vAlign w:val="center"/>
          </w:tcPr>
          <w:p w:rsidR="005C3D07" w:rsidRPr="00794C27" w:rsidRDefault="005C3D07" w:rsidP="005C3D07">
            <w:pPr>
              <w:rPr>
                <w:lang w:val="en-GB"/>
              </w:rPr>
            </w:pPr>
            <w:r>
              <w:rPr>
                <w:lang w:val="en-GB"/>
              </w:rPr>
              <w:t xml:space="preserve">The reference to the procedure is already presented in 3.1.3.1. </w:t>
            </w:r>
            <w:r>
              <w:rPr>
                <w:lang w:val="en-GB"/>
              </w:rPr>
              <w:br/>
            </w:r>
            <w:r w:rsidR="001C2DC2">
              <w:rPr>
                <w:lang w:val="en-GB"/>
              </w:rPr>
              <w:br/>
            </w:r>
            <w:r>
              <w:rPr>
                <w:lang w:val="en-GB"/>
              </w:rPr>
              <w:t xml:space="preserve">Nevertheless, the </w:t>
            </w:r>
            <w:r w:rsidRPr="00ED7F25">
              <w:rPr>
                <w:b/>
                <w:bCs/>
                <w:lang w:val="en-GB"/>
              </w:rPr>
              <w:t>reference was added</w:t>
            </w:r>
            <w:r>
              <w:rPr>
                <w:lang w:val="en-GB"/>
              </w:rPr>
              <w:t xml:space="preserve"> also </w:t>
            </w:r>
            <w:r w:rsidRPr="00ED7F25">
              <w:rPr>
                <w:b/>
                <w:bCs/>
                <w:lang w:val="en-GB"/>
              </w:rPr>
              <w:t xml:space="preserve">to </w:t>
            </w:r>
            <w:r w:rsidRPr="00ED7F25">
              <w:rPr>
                <w:b/>
                <w:bCs/>
                <w:lang w:val="en-GB"/>
              </w:rPr>
              <w:t>3.1.2.3</w:t>
            </w:r>
            <w:r>
              <w:rPr>
                <w:lang w:val="en-GB"/>
              </w:rPr>
              <w:t xml:space="preserve"> as requested and the text of the paragraph was modified accordingly.</w:t>
            </w:r>
          </w:p>
        </w:tc>
      </w:tr>
      <w:tr w:rsidR="005C3D07" w:rsidRPr="00794C27" w:rsidTr="001C2DC2">
        <w:trPr>
          <w:cantSplit/>
        </w:trPr>
        <w:tc>
          <w:tcPr>
            <w:tcW w:w="1100" w:type="dxa"/>
            <w:vAlign w:val="center"/>
          </w:tcPr>
          <w:p w:rsidR="005C3D07" w:rsidRPr="00794C27" w:rsidRDefault="00A9739F" w:rsidP="005C3D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5C3D07" w:rsidRPr="00794C27">
              <w:rPr>
                <w:lang w:val="en-GB"/>
              </w:rPr>
              <w:t xml:space="preserve"> [TE2]:</w:t>
            </w:r>
          </w:p>
        </w:tc>
        <w:tc>
          <w:tcPr>
            <w:tcW w:w="4140" w:type="dxa"/>
            <w:vAlign w:val="center"/>
          </w:tcPr>
          <w:p w:rsidR="005C3D07" w:rsidRPr="00794C27" w:rsidRDefault="005C3D07" w:rsidP="005C3D07">
            <w:pPr>
              <w:rPr>
                <w:lang w:val="en-GB"/>
              </w:rPr>
            </w:pPr>
            <w:r w:rsidRPr="00794C27">
              <w:rPr>
                <w:lang w:val="en-GB"/>
              </w:rPr>
              <w:t>“Assessment of additional</w:t>
            </w:r>
            <w:r w:rsidRPr="00794C27">
              <w:rPr>
                <w:lang w:val="en-GB"/>
              </w:rPr>
              <w:t xml:space="preserve"> </w:t>
            </w:r>
            <w:r w:rsidRPr="00794C27">
              <w:rPr>
                <w:lang w:val="en-GB"/>
              </w:rPr>
              <w:t>hardware provisions to facilitate cooling of molten</w:t>
            </w:r>
            <w:r w:rsidRPr="00794C27">
              <w:rPr>
                <w:lang w:val="en-GB"/>
              </w:rPr>
              <w:t xml:space="preserve"> </w:t>
            </w:r>
            <w:r w:rsidRPr="00794C27">
              <w:rPr>
                <w:lang w:val="en-GB"/>
              </w:rPr>
              <w:t>corium after failure of the reactor vessel and to</w:t>
            </w:r>
            <w:r w:rsidRPr="00794C27">
              <w:rPr>
                <w:lang w:val="en-GB"/>
              </w:rPr>
              <w:t xml:space="preserve"> </w:t>
            </w:r>
            <w:r w:rsidRPr="00794C27">
              <w:rPr>
                <w:lang w:val="en-GB"/>
              </w:rPr>
              <w:t>provide for containment heat removal should be</w:t>
            </w:r>
            <w:r w:rsidRPr="00794C27">
              <w:rPr>
                <w:lang w:val="en-GB"/>
              </w:rPr>
              <w:t xml:space="preserve"> </w:t>
            </w:r>
            <w:r w:rsidRPr="00794C27">
              <w:rPr>
                <w:lang w:val="en-GB"/>
              </w:rPr>
              <w:t>considered (such as low-pressure top flooding of</w:t>
            </w:r>
            <w:r w:rsidRPr="00794C27">
              <w:rPr>
                <w:lang w:val="en-GB"/>
              </w:rPr>
              <w:t xml:space="preserve"> </w:t>
            </w:r>
            <w:r w:rsidRPr="00794C27">
              <w:rPr>
                <w:lang w:val="en-GB"/>
              </w:rPr>
              <w:t>molten corium, flooding the bottom of containment</w:t>
            </w:r>
            <w:r w:rsidRPr="00794C27">
              <w:rPr>
                <w:lang w:val="en-GB"/>
              </w:rPr>
              <w:t xml:space="preserve"> </w:t>
            </w:r>
            <w:r w:rsidRPr="00794C27">
              <w:rPr>
                <w:lang w:val="en-GB"/>
              </w:rPr>
              <w:t>annulus, installation of diverse containment heat</w:t>
            </w:r>
            <w:r w:rsidRPr="00794C27">
              <w:rPr>
                <w:lang w:val="en-GB"/>
              </w:rPr>
              <w:t xml:space="preserve"> </w:t>
            </w:r>
            <w:r w:rsidRPr="00794C27">
              <w:rPr>
                <w:lang w:val="en-GB"/>
              </w:rPr>
              <w:t>removal system).” Should be inserted as agreed</w:t>
            </w:r>
            <w:r w:rsidRPr="00794C27">
              <w:rPr>
                <w:lang w:val="en-GB"/>
              </w:rPr>
              <w:t xml:space="preserve"> </w:t>
            </w:r>
            <w:r w:rsidRPr="00794C27">
              <w:rPr>
                <w:lang w:val="en-GB"/>
              </w:rPr>
              <w:t>before.</w:t>
            </w:r>
            <w:r w:rsidRPr="00794C27">
              <w:rPr>
                <w:lang w:val="en-GB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C3D07" w:rsidRDefault="005C3D07" w:rsidP="005C3D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Accepted</w:t>
            </w:r>
          </w:p>
        </w:tc>
        <w:tc>
          <w:tcPr>
            <w:tcW w:w="3386" w:type="dxa"/>
            <w:vAlign w:val="center"/>
          </w:tcPr>
          <w:p w:rsidR="005C3D07" w:rsidRPr="00794C27" w:rsidRDefault="000F4BA0" w:rsidP="005C3D07">
            <w:pPr>
              <w:rPr>
                <w:lang w:val="en-GB"/>
              </w:rPr>
            </w:pPr>
            <w:r>
              <w:rPr>
                <w:lang w:val="en-GB"/>
              </w:rPr>
              <w:t xml:space="preserve">The text was </w:t>
            </w:r>
            <w:r w:rsidRPr="00ED7F25">
              <w:rPr>
                <w:b/>
                <w:bCs/>
                <w:lang w:val="en-GB"/>
              </w:rPr>
              <w:t>modified according to the comment</w:t>
            </w:r>
            <w:r>
              <w:rPr>
                <w:lang w:val="en-GB"/>
              </w:rPr>
              <w:t>.</w:t>
            </w:r>
          </w:p>
        </w:tc>
      </w:tr>
      <w:tr w:rsidR="005C3D07" w:rsidRPr="00794C27" w:rsidTr="001C2DC2">
        <w:trPr>
          <w:cantSplit/>
        </w:trPr>
        <w:tc>
          <w:tcPr>
            <w:tcW w:w="1100" w:type="dxa"/>
            <w:vAlign w:val="center"/>
          </w:tcPr>
          <w:p w:rsidR="005C3D07" w:rsidRPr="00794C27" w:rsidRDefault="00A9739F" w:rsidP="005C3D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5C3D07" w:rsidRPr="00794C27">
              <w:rPr>
                <w:lang w:val="en-GB"/>
              </w:rPr>
              <w:t xml:space="preserve"> [TE3]:</w:t>
            </w:r>
          </w:p>
        </w:tc>
        <w:tc>
          <w:tcPr>
            <w:tcW w:w="4140" w:type="dxa"/>
            <w:vAlign w:val="center"/>
          </w:tcPr>
          <w:p w:rsidR="005C3D07" w:rsidRPr="00794C27" w:rsidRDefault="005C3D07" w:rsidP="005C3D07">
            <w:pPr>
              <w:rPr>
                <w:lang w:val="en-GB"/>
              </w:rPr>
            </w:pPr>
            <w:r w:rsidRPr="00794C27">
              <w:rPr>
                <w:lang w:val="en-GB"/>
              </w:rPr>
              <w:t>This recommendation shall</w:t>
            </w:r>
            <w:r w:rsidRPr="00794C27">
              <w:rPr>
                <w:lang w:val="en-GB"/>
              </w:rPr>
              <w:t xml:space="preserve"> </w:t>
            </w:r>
            <w:r w:rsidRPr="00794C27">
              <w:rPr>
                <w:lang w:val="en-GB"/>
              </w:rPr>
              <w:t>be deleted because it has not been discussed in</w:t>
            </w:r>
            <w:r w:rsidRPr="00794C27">
              <w:rPr>
                <w:lang w:val="en-GB"/>
              </w:rPr>
              <w:t xml:space="preserve"> </w:t>
            </w:r>
            <w:r w:rsidRPr="00794C27">
              <w:rPr>
                <w:lang w:val="en-GB"/>
              </w:rPr>
              <w:t>Dec 2019 meeting at BNPP and does not exist</w:t>
            </w:r>
            <w:r w:rsidRPr="00794C27">
              <w:rPr>
                <w:lang w:val="en-GB"/>
              </w:rPr>
              <w:t xml:space="preserve"> </w:t>
            </w:r>
            <w:r w:rsidRPr="00794C27">
              <w:rPr>
                <w:lang w:val="en-GB"/>
              </w:rPr>
              <w:t>in the final approved list of recommendations.</w:t>
            </w:r>
            <w:r w:rsidRPr="00794C27">
              <w:rPr>
                <w:lang w:val="en-GB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C3D07" w:rsidRDefault="005C3D07" w:rsidP="005C3D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Accepted</w:t>
            </w:r>
          </w:p>
        </w:tc>
        <w:tc>
          <w:tcPr>
            <w:tcW w:w="3386" w:type="dxa"/>
            <w:vAlign w:val="center"/>
          </w:tcPr>
          <w:p w:rsidR="005C3D07" w:rsidRPr="00794C27" w:rsidRDefault="000F4BA0" w:rsidP="005C3D07">
            <w:pPr>
              <w:rPr>
                <w:lang w:val="en-GB"/>
              </w:rPr>
            </w:pPr>
            <w:r>
              <w:rPr>
                <w:lang w:val="en-GB"/>
              </w:rPr>
              <w:t xml:space="preserve">The </w:t>
            </w:r>
            <w:r w:rsidRPr="00ED7F25">
              <w:rPr>
                <w:b/>
                <w:bCs/>
                <w:lang w:val="en-GB"/>
              </w:rPr>
              <w:t>recommendation was deleted</w:t>
            </w:r>
            <w:r>
              <w:rPr>
                <w:lang w:val="en-GB"/>
              </w:rPr>
              <w:t>.</w:t>
            </w:r>
          </w:p>
        </w:tc>
      </w:tr>
      <w:tr w:rsidR="005C3D07" w:rsidRPr="00794C27" w:rsidTr="001C2DC2">
        <w:trPr>
          <w:cantSplit/>
        </w:trPr>
        <w:tc>
          <w:tcPr>
            <w:tcW w:w="1100" w:type="dxa"/>
            <w:vAlign w:val="center"/>
          </w:tcPr>
          <w:p w:rsidR="005C3D07" w:rsidRPr="00794C27" w:rsidRDefault="00A9739F" w:rsidP="005C3D07">
            <w:pPr>
              <w:jc w:val="center"/>
              <w:rPr>
                <w:rFonts w:ascii="Calibri" w:eastAsia="Calibri" w:hAnsi="Calibri" w:cs="Calibri"/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5C3D07" w:rsidRPr="00794C27">
              <w:rPr>
                <w:lang w:val="en-GB"/>
              </w:rPr>
              <w:t xml:space="preserve"> [TE5]:</w:t>
            </w:r>
          </w:p>
        </w:tc>
        <w:tc>
          <w:tcPr>
            <w:tcW w:w="4140" w:type="dxa"/>
            <w:vAlign w:val="center"/>
          </w:tcPr>
          <w:p w:rsidR="005C3D07" w:rsidRPr="00794C27" w:rsidRDefault="005C3D07" w:rsidP="005C3D07">
            <w:pPr>
              <w:rPr>
                <w:rFonts w:ascii="Calibri" w:eastAsia="Calibri" w:hAnsi="Calibri" w:cs="Calibri"/>
                <w:lang w:val="en-GB"/>
              </w:rPr>
            </w:pPr>
            <w:r w:rsidRPr="00794C27">
              <w:rPr>
                <w:rFonts w:ascii="Calibri" w:eastAsia="Calibri" w:hAnsi="Calibri" w:cs="Calibri"/>
                <w:lang w:val="en-GB"/>
              </w:rPr>
              <w:t>7.7</w:t>
            </w:r>
          </w:p>
        </w:tc>
        <w:tc>
          <w:tcPr>
            <w:tcW w:w="1276" w:type="dxa"/>
            <w:vAlign w:val="center"/>
          </w:tcPr>
          <w:p w:rsidR="005C3D07" w:rsidRDefault="005C3D07" w:rsidP="005C3D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Accepted</w:t>
            </w:r>
          </w:p>
        </w:tc>
        <w:tc>
          <w:tcPr>
            <w:tcW w:w="3386" w:type="dxa"/>
            <w:vAlign w:val="center"/>
          </w:tcPr>
          <w:p w:rsidR="005C3D07" w:rsidRPr="00794C27" w:rsidRDefault="000F4BA0" w:rsidP="005C3D07">
            <w:pPr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>The numbering was repaired.</w:t>
            </w:r>
          </w:p>
        </w:tc>
      </w:tr>
      <w:tr w:rsidR="005C3D07" w:rsidRPr="00794C27" w:rsidTr="001C2DC2">
        <w:trPr>
          <w:cantSplit/>
        </w:trPr>
        <w:tc>
          <w:tcPr>
            <w:tcW w:w="1100" w:type="dxa"/>
            <w:vAlign w:val="center"/>
          </w:tcPr>
          <w:p w:rsidR="005C3D07" w:rsidRPr="00794C27" w:rsidRDefault="00A9739F" w:rsidP="005C3D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5C3D07" w:rsidRPr="00794C27">
              <w:rPr>
                <w:lang w:val="en-GB"/>
              </w:rPr>
              <w:t xml:space="preserve"> [TE</w:t>
            </w:r>
            <w:r w:rsidR="005C3D07" w:rsidRPr="00794C27">
              <w:rPr>
                <w:lang w:val="en-GB"/>
              </w:rPr>
              <w:t>6</w:t>
            </w:r>
            <w:r w:rsidR="005C3D07" w:rsidRPr="00794C27">
              <w:rPr>
                <w:lang w:val="en-GB"/>
              </w:rPr>
              <w:t>]:</w:t>
            </w:r>
          </w:p>
        </w:tc>
        <w:tc>
          <w:tcPr>
            <w:tcW w:w="4140" w:type="dxa"/>
            <w:vAlign w:val="center"/>
          </w:tcPr>
          <w:p w:rsidR="005C3D07" w:rsidRPr="00794C27" w:rsidRDefault="005C3D07" w:rsidP="005C3D07">
            <w:pPr>
              <w:rPr>
                <w:lang w:val="en-GB"/>
              </w:rPr>
            </w:pPr>
            <w:r w:rsidRPr="00794C27">
              <w:rPr>
                <w:lang w:val="en-GB"/>
              </w:rPr>
              <w:t>This recommendation shall be deleted because it has not been discussed in Dec 2019 meeting at BNPP and does not exist in the final approved list of recommendations.</w:t>
            </w:r>
          </w:p>
        </w:tc>
        <w:tc>
          <w:tcPr>
            <w:tcW w:w="1276" w:type="dxa"/>
            <w:vAlign w:val="center"/>
          </w:tcPr>
          <w:p w:rsidR="005C3D07" w:rsidRDefault="005C3D07" w:rsidP="005C3D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Accepted</w:t>
            </w:r>
          </w:p>
        </w:tc>
        <w:tc>
          <w:tcPr>
            <w:tcW w:w="3386" w:type="dxa"/>
            <w:vAlign w:val="center"/>
          </w:tcPr>
          <w:p w:rsidR="005C3D07" w:rsidRPr="00794C27" w:rsidRDefault="000F4BA0" w:rsidP="005C3D07">
            <w:pPr>
              <w:rPr>
                <w:lang w:val="en-GB"/>
              </w:rPr>
            </w:pPr>
            <w:r>
              <w:rPr>
                <w:lang w:val="en-GB"/>
              </w:rPr>
              <w:t xml:space="preserve">This recommendation had been added by Tavana </w:t>
            </w:r>
            <w:r w:rsidR="001B671D">
              <w:rPr>
                <w:lang w:val="en-GB"/>
              </w:rPr>
              <w:t>in September 2019 and was not presented in the NPPD table of discussed items for the Dec 2019 meeting and hence not discussed.</w:t>
            </w:r>
            <w:r w:rsidR="00692200">
              <w:rPr>
                <w:lang w:val="en-GB"/>
              </w:rPr>
              <w:br/>
            </w:r>
            <w:r w:rsidR="001B671D">
              <w:rPr>
                <w:lang w:val="en-GB"/>
              </w:rPr>
              <w:br/>
            </w:r>
            <w:r w:rsidR="00A9739F" w:rsidRPr="00ED7F25">
              <w:rPr>
                <w:b/>
                <w:bCs/>
                <w:lang w:val="en-GB"/>
              </w:rPr>
              <w:t>Recommendation deleted.</w:t>
            </w:r>
            <w:r w:rsidR="001B671D">
              <w:rPr>
                <w:lang w:val="en-GB"/>
              </w:rPr>
              <w:t xml:space="preserve">  </w:t>
            </w:r>
          </w:p>
        </w:tc>
      </w:tr>
      <w:tr w:rsidR="005C3D07" w:rsidRPr="00794C27" w:rsidTr="001C2DC2">
        <w:trPr>
          <w:cantSplit/>
        </w:trPr>
        <w:tc>
          <w:tcPr>
            <w:tcW w:w="1100" w:type="dxa"/>
            <w:vAlign w:val="center"/>
          </w:tcPr>
          <w:p w:rsidR="005C3D07" w:rsidRPr="00794C27" w:rsidRDefault="00A9739F" w:rsidP="005C3D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5C3D07" w:rsidRPr="00794C27">
              <w:rPr>
                <w:lang w:val="en-GB"/>
              </w:rPr>
              <w:t xml:space="preserve"> [TE</w:t>
            </w:r>
            <w:r w:rsidR="005C3D07" w:rsidRPr="00794C27">
              <w:rPr>
                <w:lang w:val="en-GB"/>
              </w:rPr>
              <w:t>7</w:t>
            </w:r>
            <w:r w:rsidR="005C3D07" w:rsidRPr="00794C27">
              <w:rPr>
                <w:lang w:val="en-GB"/>
              </w:rPr>
              <w:t>]:</w:t>
            </w:r>
          </w:p>
        </w:tc>
        <w:tc>
          <w:tcPr>
            <w:tcW w:w="4140" w:type="dxa"/>
            <w:vAlign w:val="center"/>
          </w:tcPr>
          <w:p w:rsidR="005C3D07" w:rsidRDefault="005C3D07" w:rsidP="005C3D07">
            <w:pPr>
              <w:rPr>
                <w:lang w:val="en-GB"/>
              </w:rPr>
            </w:pPr>
            <w:r w:rsidRPr="00794C27">
              <w:rPr>
                <w:lang w:val="en-GB"/>
              </w:rPr>
              <w:t>This recommendation shall be deleted because</w:t>
            </w:r>
            <w:r w:rsidRPr="00794C27">
              <w:rPr>
                <w:lang w:val="en-GB"/>
              </w:rPr>
              <w:t>:</w:t>
            </w:r>
          </w:p>
          <w:p w:rsidR="005C3D07" w:rsidRDefault="005C3D07" w:rsidP="005C3D07">
            <w:pPr>
              <w:pStyle w:val="Odstavecseseznamem"/>
              <w:numPr>
                <w:ilvl w:val="0"/>
                <w:numId w:val="3"/>
              </w:numPr>
              <w:ind w:left="454" w:hanging="425"/>
              <w:rPr>
                <w:lang w:val="en-GB"/>
              </w:rPr>
            </w:pPr>
            <w:r w:rsidRPr="00B76F8E">
              <w:rPr>
                <w:lang w:val="en-GB"/>
              </w:rPr>
              <w:t>I</w:t>
            </w:r>
            <w:r w:rsidRPr="00B76F8E">
              <w:rPr>
                <w:lang w:val="en-GB"/>
              </w:rPr>
              <w:t>t has not been discussed in Dec 2019 meeting at BNPP and does not exist in the final approved list of recommendations.</w:t>
            </w:r>
          </w:p>
          <w:p w:rsidR="005C3D07" w:rsidRPr="00B76F8E" w:rsidRDefault="005C3D07" w:rsidP="005C3D07">
            <w:pPr>
              <w:pStyle w:val="Odstavecseseznamem"/>
              <w:numPr>
                <w:ilvl w:val="0"/>
                <w:numId w:val="3"/>
              </w:numPr>
              <w:ind w:left="454" w:hanging="425"/>
              <w:rPr>
                <w:lang w:val="en-GB"/>
              </w:rPr>
            </w:pPr>
            <w:r w:rsidRPr="00B76F8E">
              <w:rPr>
                <w:lang w:val="en-GB"/>
              </w:rPr>
              <w:t>Updating of FSAR is a part of SBEOI contract with Russian vendor and will be performed in due time.</w:t>
            </w:r>
          </w:p>
        </w:tc>
        <w:tc>
          <w:tcPr>
            <w:tcW w:w="1276" w:type="dxa"/>
            <w:vAlign w:val="center"/>
          </w:tcPr>
          <w:p w:rsidR="005C3D07" w:rsidRDefault="005C3D07" w:rsidP="005C3D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Accepted</w:t>
            </w:r>
          </w:p>
        </w:tc>
        <w:tc>
          <w:tcPr>
            <w:tcW w:w="3386" w:type="dxa"/>
            <w:vAlign w:val="center"/>
          </w:tcPr>
          <w:p w:rsidR="005C3D07" w:rsidRPr="00794C27" w:rsidRDefault="00A9739F" w:rsidP="005C3D07">
            <w:pPr>
              <w:rPr>
                <w:lang w:val="en-GB"/>
              </w:rPr>
            </w:pPr>
            <w:r>
              <w:rPr>
                <w:lang w:val="en-GB"/>
              </w:rPr>
              <w:t>This recommendation had been added by Tavana in September 2019 and was not presented in the NPPD table of discussed items for the Dec 2019 meeting and hence not discussed.</w:t>
            </w:r>
            <w:r w:rsidR="00692200">
              <w:rPr>
                <w:lang w:val="en-GB"/>
              </w:rPr>
              <w:br/>
            </w:r>
            <w:r>
              <w:rPr>
                <w:lang w:val="en-GB"/>
              </w:rPr>
              <w:br/>
            </w:r>
            <w:r w:rsidRPr="00ED7F25">
              <w:rPr>
                <w:b/>
                <w:bCs/>
                <w:lang w:val="en-GB"/>
              </w:rPr>
              <w:t>Recommendation deleted.</w:t>
            </w:r>
            <w:r>
              <w:rPr>
                <w:lang w:val="en-GB"/>
              </w:rPr>
              <w:t xml:space="preserve">  </w:t>
            </w:r>
          </w:p>
        </w:tc>
      </w:tr>
      <w:tr w:rsidR="005C3D07" w:rsidRPr="00794C27" w:rsidTr="001C2DC2">
        <w:trPr>
          <w:cantSplit/>
        </w:trPr>
        <w:tc>
          <w:tcPr>
            <w:tcW w:w="1100" w:type="dxa"/>
            <w:vAlign w:val="center"/>
          </w:tcPr>
          <w:p w:rsidR="005C3D07" w:rsidRPr="00794C27" w:rsidRDefault="00A9739F" w:rsidP="005C3D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5C3D07" w:rsidRPr="00794C27">
              <w:rPr>
                <w:lang w:val="en-GB"/>
              </w:rPr>
              <w:t xml:space="preserve"> [TE</w:t>
            </w:r>
            <w:r w:rsidR="005C3D07" w:rsidRPr="00794C27">
              <w:rPr>
                <w:lang w:val="en-GB"/>
              </w:rPr>
              <w:t>8</w:t>
            </w:r>
            <w:r w:rsidR="005C3D07" w:rsidRPr="00794C27">
              <w:rPr>
                <w:lang w:val="en-GB"/>
              </w:rPr>
              <w:t>]:</w:t>
            </w:r>
          </w:p>
        </w:tc>
        <w:tc>
          <w:tcPr>
            <w:tcW w:w="4140" w:type="dxa"/>
            <w:vAlign w:val="center"/>
          </w:tcPr>
          <w:p w:rsidR="005C3D07" w:rsidRDefault="005C3D07" w:rsidP="005C3D07">
            <w:pPr>
              <w:rPr>
                <w:lang w:val="en-GB"/>
              </w:rPr>
            </w:pPr>
            <w:r w:rsidRPr="00794C27">
              <w:rPr>
                <w:lang w:val="en-GB"/>
              </w:rPr>
              <w:t>This recommendation shall be deleted because</w:t>
            </w:r>
            <w:r w:rsidRPr="00794C27">
              <w:rPr>
                <w:lang w:val="en-GB"/>
              </w:rPr>
              <w:t>:</w:t>
            </w:r>
          </w:p>
          <w:p w:rsidR="005C3D07" w:rsidRDefault="005C3D07" w:rsidP="005C3D07">
            <w:pPr>
              <w:pStyle w:val="Odstavecseseznamem"/>
              <w:numPr>
                <w:ilvl w:val="0"/>
                <w:numId w:val="4"/>
              </w:numPr>
              <w:ind w:left="454" w:hanging="425"/>
              <w:rPr>
                <w:lang w:val="en-GB"/>
              </w:rPr>
            </w:pPr>
            <w:r w:rsidRPr="00B76F8E">
              <w:rPr>
                <w:lang w:val="en-GB"/>
              </w:rPr>
              <w:t>I</w:t>
            </w:r>
            <w:r w:rsidRPr="00B76F8E">
              <w:rPr>
                <w:lang w:val="en-GB"/>
              </w:rPr>
              <w:t>t has not been discussed in Dec 2019 meeting at BNPP and does not exist in the final approved list of recommendations.</w:t>
            </w:r>
          </w:p>
          <w:p w:rsidR="005C3D07" w:rsidRPr="00B76F8E" w:rsidRDefault="005C3D07" w:rsidP="005C3D07">
            <w:pPr>
              <w:pStyle w:val="Odstavecseseznamem"/>
              <w:numPr>
                <w:ilvl w:val="0"/>
                <w:numId w:val="4"/>
              </w:numPr>
              <w:ind w:left="454" w:hanging="425"/>
              <w:rPr>
                <w:lang w:val="en-GB"/>
              </w:rPr>
            </w:pPr>
            <w:r w:rsidRPr="00B76F8E">
              <w:rPr>
                <w:lang w:val="en-GB"/>
              </w:rPr>
              <w:t>PSR has already been made compulsory for BNPP by INRA every 10 years.</w:t>
            </w:r>
          </w:p>
        </w:tc>
        <w:tc>
          <w:tcPr>
            <w:tcW w:w="1276" w:type="dxa"/>
            <w:vAlign w:val="center"/>
          </w:tcPr>
          <w:p w:rsidR="005C3D07" w:rsidRDefault="005C3D07" w:rsidP="005C3D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Accepted</w:t>
            </w:r>
          </w:p>
        </w:tc>
        <w:tc>
          <w:tcPr>
            <w:tcW w:w="3386" w:type="dxa"/>
            <w:vAlign w:val="center"/>
          </w:tcPr>
          <w:p w:rsidR="005C3D07" w:rsidRPr="00794C27" w:rsidRDefault="00A9739F" w:rsidP="005C3D07">
            <w:pPr>
              <w:rPr>
                <w:lang w:val="en-GB"/>
              </w:rPr>
            </w:pPr>
            <w:r>
              <w:rPr>
                <w:lang w:val="en-GB"/>
              </w:rPr>
              <w:t>This recommendation had been added by Tavana in September 2019 and was not presented in the NPPD table of discussed items for the Dec 2019 meeting and hence not discussed.</w:t>
            </w:r>
            <w:r w:rsidR="00692200">
              <w:rPr>
                <w:lang w:val="en-GB"/>
              </w:rPr>
              <w:br/>
            </w:r>
            <w:r>
              <w:rPr>
                <w:lang w:val="en-GB"/>
              </w:rPr>
              <w:br/>
            </w:r>
            <w:bookmarkStart w:id="0" w:name="_GoBack"/>
            <w:r w:rsidRPr="00ED7F25">
              <w:rPr>
                <w:b/>
                <w:bCs/>
                <w:lang w:val="en-GB"/>
              </w:rPr>
              <w:t>Recommendation deleted.</w:t>
            </w:r>
            <w:r>
              <w:rPr>
                <w:lang w:val="en-GB"/>
              </w:rPr>
              <w:t xml:space="preserve">  </w:t>
            </w:r>
            <w:bookmarkEnd w:id="0"/>
          </w:p>
        </w:tc>
      </w:tr>
    </w:tbl>
    <w:p w:rsidR="00EB18D0" w:rsidRPr="00EB18D0" w:rsidRDefault="00EB18D0" w:rsidP="00794C27">
      <w:pPr>
        <w:rPr>
          <w:lang w:val="en-GB"/>
        </w:rPr>
      </w:pPr>
    </w:p>
    <w:sectPr w:rsidR="00EB18D0" w:rsidRPr="00EB18D0" w:rsidSect="006922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11695"/>
    <w:multiLevelType w:val="hybridMultilevel"/>
    <w:tmpl w:val="288E5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16311"/>
    <w:multiLevelType w:val="hybridMultilevel"/>
    <w:tmpl w:val="7E54F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F473E"/>
    <w:multiLevelType w:val="hybridMultilevel"/>
    <w:tmpl w:val="C75E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63929"/>
    <w:multiLevelType w:val="hybridMultilevel"/>
    <w:tmpl w:val="1988B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C6"/>
    <w:rsid w:val="00053550"/>
    <w:rsid w:val="000F4BA0"/>
    <w:rsid w:val="001B671D"/>
    <w:rsid w:val="001C2DC2"/>
    <w:rsid w:val="00402090"/>
    <w:rsid w:val="005C3D07"/>
    <w:rsid w:val="00665CBE"/>
    <w:rsid w:val="00666333"/>
    <w:rsid w:val="00692200"/>
    <w:rsid w:val="006D7842"/>
    <w:rsid w:val="00723B47"/>
    <w:rsid w:val="00794C27"/>
    <w:rsid w:val="00A731C6"/>
    <w:rsid w:val="00A9739F"/>
    <w:rsid w:val="00AE7C11"/>
    <w:rsid w:val="00B76F8E"/>
    <w:rsid w:val="00DE15F4"/>
    <w:rsid w:val="00EB18D0"/>
    <w:rsid w:val="00ED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888B"/>
  <w15:chartTrackingRefBased/>
  <w15:docId w15:val="{0825661E-DF28-49E3-9FCA-B8CD04E9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3550"/>
    <w:pPr>
      <w:ind w:left="720"/>
      <w:contextualSpacing/>
    </w:pPr>
  </w:style>
  <w:style w:type="table" w:styleId="Mkatabulky">
    <w:name w:val="Table Grid"/>
    <w:basedOn w:val="Normlntabulka"/>
    <w:uiPriority w:val="39"/>
    <w:rsid w:val="00794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Sedlak Jiri</dc:creator>
  <cp:keywords/>
  <dc:description/>
  <cp:lastModifiedBy>Sedlak Jiri</cp:lastModifiedBy>
  <cp:revision>2</cp:revision>
  <dcterms:created xsi:type="dcterms:W3CDTF">2020-04-11T11:15:00Z</dcterms:created>
  <dcterms:modified xsi:type="dcterms:W3CDTF">2020-04-11T11:56:00Z</dcterms:modified>
</cp:coreProperties>
</file>