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590B">
      <w:pPr>
        <w:pStyle w:val="NormalWeb"/>
        <w:jc w:val="center"/>
      </w:pPr>
      <w:r>
        <w:rPr>
          <w:rStyle w:val="Strong"/>
        </w:rPr>
        <w:t>IRA2012/06/01</w:t>
      </w:r>
      <w:r>
        <w:rPr>
          <w:b/>
          <w:bCs/>
        </w:rPr>
        <w:br/>
      </w:r>
      <w:r>
        <w:rPr>
          <w:rStyle w:val="Strong"/>
        </w:rPr>
        <w:t>3.3.2 EM on management and maintaining design basis information through NPP life cycle</w:t>
      </w:r>
      <w:r>
        <w:rPr>
          <w:b/>
          <w:bCs/>
        </w:rPr>
        <w:br/>
      </w:r>
      <w:r>
        <w:rPr>
          <w:rStyle w:val="Strong"/>
        </w:rPr>
        <w:t>Iran, Islamic Republic of, Tehran</w:t>
      </w:r>
      <w:r>
        <w:rPr>
          <w:b/>
          <w:bCs/>
        </w:rPr>
        <w:br/>
      </w:r>
      <w:r>
        <w:rPr>
          <w:rStyle w:val="Strong"/>
        </w:rPr>
        <w:t>23 –</w:t>
      </w:r>
      <w:r>
        <w:rPr>
          <w:rStyle w:val="Strong"/>
        </w:rPr>
        <w:t xml:space="preserve"> </w:t>
      </w:r>
      <w:r>
        <w:rPr>
          <w:rStyle w:val="Strong"/>
        </w:rPr>
        <w:t>25 April 2016</w:t>
      </w:r>
      <w:bookmarkStart w:id="0" w:name="_GoBack"/>
      <w:bookmarkEnd w:id="0"/>
    </w:p>
    <w:p w:rsidR="00000000" w:rsidRDefault="004D590B">
      <w:pPr>
        <w:pStyle w:val="NormalWeb"/>
        <w:jc w:val="center"/>
      </w:pPr>
      <w:r>
        <w:rPr>
          <w:rStyle w:val="Strong"/>
          <w:u w:val="single"/>
        </w:rPr>
        <w:t>List of Participants</w:t>
      </w:r>
      <w:r>
        <w:br/>
      </w:r>
    </w:p>
    <w:tbl>
      <w:tblPr>
        <w:tblW w:w="5257" w:type="pct"/>
        <w:tblBorders>
          <w:top w:val="single" w:sz="6" w:space="0" w:color="auto"/>
          <w:left w:val="single" w:sz="6" w:space="0" w:color="auto"/>
          <w:bottom w:val="single" w:sz="6" w:space="0" w:color="auto"/>
          <w:right w:val="single"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367"/>
        <w:gridCol w:w="1110"/>
        <w:gridCol w:w="3828"/>
        <w:gridCol w:w="2410"/>
        <w:gridCol w:w="7087"/>
      </w:tblGrid>
      <w:tr w:rsidR="00E317B0" w:rsidTr="00E317B0">
        <w:tc>
          <w:tcPr>
            <w:tcW w:w="124" w:type="pct"/>
            <w:tcBorders>
              <w:top w:val="outset" w:sz="6" w:space="0" w:color="auto"/>
              <w:left w:val="outset" w:sz="6" w:space="0" w:color="auto"/>
              <w:bottom w:val="outset" w:sz="6" w:space="0" w:color="auto"/>
              <w:right w:val="outset" w:sz="6" w:space="0" w:color="auto"/>
            </w:tcBorders>
            <w:shd w:val="clear" w:color="auto" w:fill="FFFFFF"/>
            <w:hideMark/>
          </w:tcPr>
          <w:p w:rsidR="00E317B0" w:rsidRPr="00E317B0" w:rsidRDefault="00E317B0">
            <w:pPr>
              <w:rPr>
                <w:rFonts w:eastAsia="Times New Roman"/>
                <w:sz w:val="22"/>
                <w:szCs w:val="22"/>
              </w:rPr>
            </w:pPr>
            <w:r w:rsidRPr="00E317B0">
              <w:rPr>
                <w:rFonts w:eastAsia="Times New Roman"/>
                <w:b/>
                <w:bCs/>
                <w:sz w:val="22"/>
                <w:szCs w:val="22"/>
              </w:rPr>
              <w:t xml:space="preserve">1 </w:t>
            </w:r>
          </w:p>
        </w:tc>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E317B0" w:rsidRPr="00E317B0" w:rsidRDefault="00E317B0">
            <w:pPr>
              <w:rPr>
                <w:rFonts w:eastAsia="Times New Roman"/>
                <w:b/>
                <w:bCs/>
                <w:sz w:val="22"/>
                <w:szCs w:val="22"/>
              </w:rPr>
            </w:pPr>
            <w:r w:rsidRPr="00E317B0">
              <w:rPr>
                <w:rFonts w:eastAsia="Times New Roman"/>
                <w:b/>
                <w:bCs/>
                <w:sz w:val="22"/>
                <w:szCs w:val="22"/>
              </w:rPr>
              <w:t>IAEA</w:t>
            </w:r>
          </w:p>
        </w:tc>
        <w:tc>
          <w:tcPr>
            <w:tcW w:w="1293" w:type="pct"/>
            <w:tcBorders>
              <w:top w:val="outset" w:sz="6" w:space="0" w:color="auto"/>
              <w:left w:val="outset" w:sz="6" w:space="0" w:color="auto"/>
              <w:bottom w:val="outset" w:sz="6" w:space="0" w:color="auto"/>
              <w:right w:val="outset" w:sz="6" w:space="0" w:color="auto"/>
            </w:tcBorders>
            <w:shd w:val="clear" w:color="auto" w:fill="FFFFFF"/>
            <w:hideMark/>
          </w:tcPr>
          <w:p w:rsidR="00E317B0" w:rsidRPr="00E317B0" w:rsidRDefault="00E317B0">
            <w:pPr>
              <w:rPr>
                <w:rFonts w:eastAsia="Times New Roman"/>
                <w:sz w:val="22"/>
                <w:szCs w:val="22"/>
              </w:rPr>
            </w:pPr>
            <w:r w:rsidRPr="00E317B0">
              <w:rPr>
                <w:rFonts w:eastAsia="Times New Roman"/>
                <w:b/>
                <w:sz w:val="22"/>
                <w:szCs w:val="22"/>
              </w:rPr>
              <w:t xml:space="preserve">Mr Vitalii </w:t>
            </w:r>
            <w:proofErr w:type="spellStart"/>
            <w:r w:rsidRPr="00E317B0">
              <w:rPr>
                <w:rFonts w:eastAsia="Times New Roman"/>
                <w:b/>
                <w:sz w:val="22"/>
                <w:szCs w:val="22"/>
              </w:rPr>
              <w:t>Kolomiiets</w:t>
            </w:r>
            <w:proofErr w:type="spellEnd"/>
            <w:r w:rsidRPr="00E317B0">
              <w:rPr>
                <w:rFonts w:eastAsia="Times New Roman"/>
                <w:sz w:val="22"/>
                <w:szCs w:val="22"/>
              </w:rPr>
              <w:br/>
              <w:t>International Atomic Energy Agency</w:t>
            </w:r>
            <w:r w:rsidRPr="00E317B0">
              <w:rPr>
                <w:rFonts w:eastAsia="Times New Roman"/>
                <w:sz w:val="22"/>
                <w:szCs w:val="22"/>
              </w:rPr>
              <w:br/>
              <w:t xml:space="preserve">Department of Nuclear Energy </w:t>
            </w:r>
            <w:r w:rsidRPr="00E317B0">
              <w:rPr>
                <w:rFonts w:eastAsia="Times New Roman"/>
                <w:sz w:val="22"/>
                <w:szCs w:val="22"/>
              </w:rPr>
              <w:br/>
              <w:t xml:space="preserve">Division of Energy Planning and Nuclear Information and Knowledge </w:t>
            </w:r>
            <w:r w:rsidRPr="00E317B0">
              <w:rPr>
                <w:rFonts w:eastAsia="Times New Roman"/>
                <w:sz w:val="22"/>
                <w:szCs w:val="22"/>
              </w:rPr>
              <w:br/>
              <w:t xml:space="preserve">Nuclear Knowledge Management Section </w:t>
            </w:r>
            <w:r w:rsidRPr="00E317B0">
              <w:rPr>
                <w:rFonts w:eastAsia="Times New Roman"/>
                <w:sz w:val="22"/>
                <w:szCs w:val="22"/>
              </w:rPr>
              <w:br/>
              <w:t>A2447</w:t>
            </w:r>
            <w:r w:rsidRPr="00E317B0">
              <w:rPr>
                <w:rFonts w:eastAsia="Times New Roman"/>
                <w:sz w:val="22"/>
                <w:szCs w:val="22"/>
              </w:rPr>
              <w:br/>
              <w:t>P.O. Box 100, Vienna International Centre</w:t>
            </w:r>
            <w:r w:rsidRPr="00E317B0">
              <w:rPr>
                <w:rFonts w:eastAsia="Times New Roman"/>
                <w:sz w:val="22"/>
                <w:szCs w:val="22"/>
              </w:rPr>
              <w:br/>
            </w:r>
            <w:proofErr w:type="spellStart"/>
            <w:r w:rsidRPr="00E317B0">
              <w:rPr>
                <w:rFonts w:eastAsia="Times New Roman"/>
                <w:sz w:val="22"/>
                <w:szCs w:val="22"/>
              </w:rPr>
              <w:t>Wagramer</w:t>
            </w:r>
            <w:proofErr w:type="spellEnd"/>
            <w:r w:rsidRPr="00E317B0">
              <w:rPr>
                <w:rFonts w:eastAsia="Times New Roman"/>
                <w:sz w:val="22"/>
                <w:szCs w:val="22"/>
              </w:rPr>
              <w:t xml:space="preserve"> </w:t>
            </w:r>
            <w:proofErr w:type="spellStart"/>
            <w:r w:rsidRPr="00E317B0">
              <w:rPr>
                <w:rFonts w:eastAsia="Times New Roman"/>
                <w:sz w:val="22"/>
                <w:szCs w:val="22"/>
              </w:rPr>
              <w:t>Straße</w:t>
            </w:r>
            <w:proofErr w:type="spellEnd"/>
            <w:r w:rsidRPr="00E317B0">
              <w:rPr>
                <w:rFonts w:eastAsia="Times New Roman"/>
                <w:sz w:val="22"/>
                <w:szCs w:val="22"/>
              </w:rPr>
              <w:t xml:space="preserve"> 5</w:t>
            </w:r>
            <w:r w:rsidRPr="00E317B0">
              <w:rPr>
                <w:rFonts w:eastAsia="Times New Roman"/>
                <w:sz w:val="22"/>
                <w:szCs w:val="22"/>
              </w:rPr>
              <w:br/>
              <w:t>1400 Vienna</w:t>
            </w:r>
            <w:r w:rsidRPr="00E317B0">
              <w:rPr>
                <w:rFonts w:eastAsia="Times New Roman"/>
                <w:sz w:val="22"/>
                <w:szCs w:val="22"/>
              </w:rPr>
              <w:br/>
              <w:t>AUSTRIA</w:t>
            </w:r>
            <w:r w:rsidRPr="00E317B0">
              <w:rPr>
                <w:rFonts w:eastAsia="Times New Roman"/>
                <w:sz w:val="22"/>
                <w:szCs w:val="22"/>
              </w:rPr>
              <w:br/>
            </w:r>
            <w:r w:rsidRPr="00E317B0">
              <w:rPr>
                <w:rFonts w:eastAsia="Times New Roman"/>
                <w:sz w:val="22"/>
                <w:szCs w:val="22"/>
              </w:rPr>
              <w:br/>
              <w:t>Tel.: 0043 1 2600 26730</w:t>
            </w:r>
            <w:r w:rsidRPr="00E317B0">
              <w:rPr>
                <w:rFonts w:eastAsia="Times New Roman"/>
                <w:sz w:val="22"/>
                <w:szCs w:val="22"/>
              </w:rPr>
              <w:br/>
              <w:t>Fax: 0043 1 26007</w:t>
            </w:r>
            <w:r w:rsidRPr="00E317B0">
              <w:rPr>
                <w:rFonts w:eastAsia="Times New Roman"/>
                <w:sz w:val="22"/>
                <w:szCs w:val="22"/>
              </w:rPr>
              <w:br/>
            </w:r>
            <w:proofErr w:type="spellStart"/>
            <w:r w:rsidRPr="00E317B0">
              <w:rPr>
                <w:rFonts w:eastAsia="Times New Roman"/>
                <w:sz w:val="22"/>
                <w:szCs w:val="22"/>
              </w:rPr>
              <w:t>EMail</w:t>
            </w:r>
            <w:proofErr w:type="spellEnd"/>
            <w:r w:rsidRPr="00E317B0">
              <w:rPr>
                <w:rFonts w:eastAsia="Times New Roman"/>
                <w:sz w:val="22"/>
                <w:szCs w:val="22"/>
              </w:rPr>
              <w:t xml:space="preserve">: </w:t>
            </w:r>
            <w:hyperlink r:id="rId5" w:history="1">
              <w:r w:rsidRPr="00E317B0">
                <w:rPr>
                  <w:rStyle w:val="Hyperlink"/>
                  <w:rFonts w:eastAsia="Times New Roman"/>
                  <w:sz w:val="22"/>
                  <w:szCs w:val="22"/>
                </w:rPr>
                <w:t>V.Kolomiiets@iaea.org</w:t>
              </w:r>
            </w:hyperlink>
            <w:r w:rsidRPr="00E317B0">
              <w:rPr>
                <w:rFonts w:eastAsia="Times New Roman"/>
                <w:sz w:val="22"/>
                <w:szCs w:val="22"/>
              </w:rPr>
              <w:br/>
              <w:t xml:space="preserve">Internet: </w:t>
            </w:r>
            <w:hyperlink r:id="rId6" w:tgtFrame="_blank" w:history="1">
              <w:r w:rsidRPr="00E317B0">
                <w:rPr>
                  <w:rStyle w:val="Hyperlink"/>
                  <w:rFonts w:eastAsia="Times New Roman"/>
                  <w:sz w:val="22"/>
                  <w:szCs w:val="22"/>
                </w:rPr>
                <w:t>http://www.iaea.org</w:t>
              </w:r>
            </w:hyperlink>
            <w:r w:rsidRPr="00E317B0">
              <w:rPr>
                <w:rFonts w:eastAsia="Times New Roman"/>
                <w:sz w:val="22"/>
                <w:szCs w:val="22"/>
              </w:rPr>
              <w:t xml:space="preserve"> </w:t>
            </w:r>
          </w:p>
        </w:tc>
        <w:tc>
          <w:tcPr>
            <w:tcW w:w="3208" w:type="pct"/>
            <w:gridSpan w:val="2"/>
            <w:tcBorders>
              <w:top w:val="outset" w:sz="6" w:space="0" w:color="auto"/>
              <w:left w:val="outset" w:sz="6" w:space="0" w:color="auto"/>
              <w:bottom w:val="outset" w:sz="6" w:space="0" w:color="auto"/>
              <w:right w:val="outset" w:sz="6" w:space="0" w:color="auto"/>
            </w:tcBorders>
            <w:shd w:val="clear" w:color="auto" w:fill="FFFFFF"/>
          </w:tcPr>
          <w:p w:rsidR="00E317B0" w:rsidRDefault="00E317B0">
            <w:pPr>
              <w:rPr>
                <w:sz w:val="22"/>
                <w:szCs w:val="22"/>
              </w:rPr>
            </w:pPr>
            <w:r w:rsidRPr="00E317B0">
              <w:rPr>
                <w:b/>
                <w:bCs/>
                <w:sz w:val="22"/>
                <w:szCs w:val="22"/>
              </w:rPr>
              <w:t xml:space="preserve">Purpose of Travel: </w:t>
            </w:r>
            <w:r w:rsidRPr="00E317B0">
              <w:rPr>
                <w:sz w:val="22"/>
                <w:szCs w:val="22"/>
              </w:rPr>
              <w:t>To lead the mission and provide technical input on management and maintenance of design basis information through NPP life cycle and with explicit reference to NPPD's contract for Bushehr's two new pressurized light water reactors</w:t>
            </w:r>
            <w:r>
              <w:rPr>
                <w:sz w:val="22"/>
                <w:szCs w:val="22"/>
              </w:rPr>
              <w:t>.</w:t>
            </w:r>
          </w:p>
          <w:p w:rsidR="00E317B0" w:rsidRDefault="00E317B0">
            <w:pPr>
              <w:rPr>
                <w:sz w:val="22"/>
                <w:szCs w:val="22"/>
              </w:rPr>
            </w:pPr>
          </w:p>
          <w:p w:rsidR="00E317B0" w:rsidRPr="00E317B0" w:rsidRDefault="00E317B0">
            <w:pPr>
              <w:rPr>
                <w:rFonts w:eastAsia="Times New Roman"/>
                <w:sz w:val="22"/>
                <w:szCs w:val="22"/>
              </w:rPr>
            </w:pPr>
          </w:p>
        </w:tc>
      </w:tr>
      <w:tr w:rsidR="00E317B0" w:rsidTr="00E317B0">
        <w:tc>
          <w:tcPr>
            <w:tcW w:w="124" w:type="pct"/>
            <w:tcBorders>
              <w:top w:val="outset" w:sz="6" w:space="0" w:color="auto"/>
              <w:left w:val="outset" w:sz="6" w:space="0" w:color="auto"/>
              <w:bottom w:val="outset" w:sz="6" w:space="0" w:color="auto"/>
              <w:right w:val="outset" w:sz="6" w:space="0" w:color="auto"/>
            </w:tcBorders>
            <w:shd w:val="clear" w:color="auto" w:fill="FFFFFF"/>
            <w:hideMark/>
          </w:tcPr>
          <w:p w:rsidR="004A723C" w:rsidRPr="00E317B0" w:rsidRDefault="004A723C">
            <w:pPr>
              <w:rPr>
                <w:rFonts w:eastAsia="Times New Roman"/>
                <w:sz w:val="22"/>
                <w:szCs w:val="22"/>
              </w:rPr>
            </w:pPr>
            <w:r w:rsidRPr="00E317B0">
              <w:rPr>
                <w:rFonts w:eastAsia="Times New Roman"/>
                <w:b/>
                <w:bCs/>
                <w:sz w:val="22"/>
                <w:szCs w:val="22"/>
              </w:rPr>
              <w:t xml:space="preserve">2 </w:t>
            </w:r>
          </w:p>
        </w:tc>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4A723C" w:rsidRPr="00E317B0" w:rsidRDefault="004A723C">
            <w:pPr>
              <w:rPr>
                <w:rFonts w:eastAsia="Times New Roman"/>
                <w:b/>
                <w:bCs/>
                <w:sz w:val="22"/>
                <w:szCs w:val="22"/>
              </w:rPr>
            </w:pPr>
            <w:r w:rsidRPr="00E317B0">
              <w:rPr>
                <w:rFonts w:eastAsia="Times New Roman"/>
                <w:b/>
                <w:bCs/>
                <w:sz w:val="22"/>
                <w:szCs w:val="22"/>
              </w:rPr>
              <w:t xml:space="preserve">Austria </w:t>
            </w:r>
          </w:p>
        </w:tc>
        <w:tc>
          <w:tcPr>
            <w:tcW w:w="1293" w:type="pct"/>
            <w:tcBorders>
              <w:top w:val="outset" w:sz="6" w:space="0" w:color="auto"/>
              <w:left w:val="outset" w:sz="6" w:space="0" w:color="auto"/>
              <w:bottom w:val="outset" w:sz="6" w:space="0" w:color="auto"/>
              <w:right w:val="outset" w:sz="6" w:space="0" w:color="auto"/>
            </w:tcBorders>
            <w:shd w:val="clear" w:color="auto" w:fill="FFFFFF"/>
            <w:hideMark/>
          </w:tcPr>
          <w:p w:rsidR="00E317B0" w:rsidRDefault="004A723C">
            <w:pPr>
              <w:rPr>
                <w:rFonts w:eastAsia="Times New Roman"/>
                <w:b/>
                <w:sz w:val="22"/>
                <w:szCs w:val="22"/>
              </w:rPr>
            </w:pPr>
            <w:r w:rsidRPr="00E317B0">
              <w:rPr>
                <w:rFonts w:eastAsia="Times New Roman"/>
                <w:b/>
                <w:sz w:val="22"/>
                <w:szCs w:val="22"/>
              </w:rPr>
              <w:t xml:space="preserve">Mr </w:t>
            </w:r>
            <w:proofErr w:type="spellStart"/>
            <w:r w:rsidRPr="00E317B0">
              <w:rPr>
                <w:rFonts w:eastAsia="Times New Roman"/>
                <w:b/>
                <w:sz w:val="22"/>
                <w:szCs w:val="22"/>
              </w:rPr>
              <w:t>Oszvald</w:t>
            </w:r>
            <w:proofErr w:type="spellEnd"/>
            <w:r w:rsidRPr="00E317B0">
              <w:rPr>
                <w:rFonts w:eastAsia="Times New Roman"/>
                <w:b/>
                <w:sz w:val="22"/>
                <w:szCs w:val="22"/>
              </w:rPr>
              <w:t xml:space="preserve"> </w:t>
            </w:r>
            <w:proofErr w:type="spellStart"/>
            <w:r w:rsidRPr="00E317B0">
              <w:rPr>
                <w:rFonts w:eastAsia="Times New Roman"/>
                <w:b/>
                <w:sz w:val="22"/>
                <w:szCs w:val="22"/>
              </w:rPr>
              <w:t>Glockler</w:t>
            </w:r>
            <w:proofErr w:type="spellEnd"/>
          </w:p>
          <w:p w:rsidR="004D590B" w:rsidRDefault="00E317B0">
            <w:pPr>
              <w:rPr>
                <w:rFonts w:eastAsia="Times New Roman"/>
                <w:sz w:val="22"/>
                <w:szCs w:val="22"/>
              </w:rPr>
            </w:pPr>
            <w:proofErr w:type="spellStart"/>
            <w:r w:rsidRPr="00E317B0">
              <w:rPr>
                <w:rFonts w:eastAsia="Times New Roman"/>
                <w:sz w:val="22"/>
                <w:szCs w:val="22"/>
              </w:rPr>
              <w:t>SunPort</w:t>
            </w:r>
            <w:proofErr w:type="spellEnd"/>
            <w:r w:rsidRPr="00E317B0">
              <w:rPr>
                <w:rFonts w:eastAsia="Times New Roman"/>
                <w:sz w:val="22"/>
                <w:szCs w:val="22"/>
              </w:rPr>
              <w:t xml:space="preserve"> SA</w:t>
            </w:r>
            <w:r w:rsidR="004A723C" w:rsidRPr="00E317B0">
              <w:rPr>
                <w:rFonts w:eastAsia="Times New Roman"/>
                <w:sz w:val="22"/>
                <w:szCs w:val="22"/>
              </w:rPr>
              <w:br/>
            </w:r>
            <w:proofErr w:type="spellStart"/>
            <w:r w:rsidR="004A723C" w:rsidRPr="00E317B0">
              <w:rPr>
                <w:rFonts w:eastAsia="Times New Roman"/>
                <w:sz w:val="22"/>
                <w:szCs w:val="22"/>
              </w:rPr>
              <w:t>TechGate</w:t>
            </w:r>
            <w:proofErr w:type="spellEnd"/>
            <w:r w:rsidR="004A723C" w:rsidRPr="00E317B0">
              <w:rPr>
                <w:rFonts w:eastAsia="Times New Roman"/>
                <w:sz w:val="22"/>
                <w:szCs w:val="22"/>
              </w:rPr>
              <w:t xml:space="preserve"> Vienna, </w:t>
            </w:r>
            <w:r w:rsidR="004D590B">
              <w:rPr>
                <w:rFonts w:eastAsia="Times New Roman"/>
                <w:sz w:val="22"/>
                <w:szCs w:val="22"/>
              </w:rPr>
              <w:t>Floor 10</w:t>
            </w:r>
          </w:p>
          <w:p w:rsidR="004A723C" w:rsidRPr="00E317B0" w:rsidRDefault="004A723C">
            <w:pPr>
              <w:rPr>
                <w:rFonts w:eastAsia="Times New Roman"/>
                <w:sz w:val="22"/>
                <w:szCs w:val="22"/>
              </w:rPr>
            </w:pPr>
            <w:proofErr w:type="spellStart"/>
            <w:r w:rsidRPr="00E317B0">
              <w:rPr>
                <w:rFonts w:eastAsia="Times New Roman"/>
                <w:sz w:val="22"/>
                <w:szCs w:val="22"/>
              </w:rPr>
              <w:t>Donau</w:t>
            </w:r>
            <w:proofErr w:type="spellEnd"/>
            <w:r w:rsidRPr="00E317B0">
              <w:rPr>
                <w:rFonts w:eastAsia="Times New Roman"/>
                <w:sz w:val="22"/>
                <w:szCs w:val="22"/>
              </w:rPr>
              <w:t xml:space="preserve">-City </w:t>
            </w:r>
            <w:proofErr w:type="spellStart"/>
            <w:r w:rsidRPr="00E317B0">
              <w:rPr>
                <w:rFonts w:eastAsia="Times New Roman"/>
                <w:sz w:val="22"/>
                <w:szCs w:val="22"/>
              </w:rPr>
              <w:t>Strasse</w:t>
            </w:r>
            <w:proofErr w:type="spellEnd"/>
            <w:r w:rsidRPr="00E317B0">
              <w:rPr>
                <w:rFonts w:eastAsia="Times New Roman"/>
                <w:sz w:val="22"/>
                <w:szCs w:val="22"/>
              </w:rPr>
              <w:t xml:space="preserve"> 1, </w:t>
            </w:r>
            <w:r w:rsidRPr="00E317B0">
              <w:rPr>
                <w:rFonts w:eastAsia="Times New Roman"/>
                <w:sz w:val="22"/>
                <w:szCs w:val="22"/>
              </w:rPr>
              <w:br/>
              <w:t>Vienna</w:t>
            </w:r>
            <w:r w:rsidR="004D590B">
              <w:rPr>
                <w:rFonts w:eastAsia="Times New Roman"/>
                <w:sz w:val="22"/>
                <w:szCs w:val="22"/>
              </w:rPr>
              <w:t xml:space="preserve"> - </w:t>
            </w:r>
            <w:r w:rsidR="004D590B" w:rsidRPr="00E317B0">
              <w:rPr>
                <w:rFonts w:eastAsia="Times New Roman"/>
                <w:sz w:val="22"/>
                <w:szCs w:val="22"/>
              </w:rPr>
              <w:t xml:space="preserve"> </w:t>
            </w:r>
            <w:r w:rsidR="004D590B" w:rsidRPr="00E317B0">
              <w:rPr>
                <w:rFonts w:eastAsia="Times New Roman"/>
                <w:sz w:val="22"/>
                <w:szCs w:val="22"/>
              </w:rPr>
              <w:t>A-1220</w:t>
            </w:r>
            <w:r w:rsidRPr="00E317B0">
              <w:rPr>
                <w:rFonts w:eastAsia="Times New Roman"/>
                <w:sz w:val="22"/>
                <w:szCs w:val="22"/>
              </w:rPr>
              <w:br/>
              <w:t>AUSTRIA</w:t>
            </w:r>
            <w:r w:rsidRPr="00E317B0">
              <w:rPr>
                <w:rFonts w:eastAsia="Times New Roman"/>
                <w:sz w:val="22"/>
                <w:szCs w:val="22"/>
              </w:rPr>
              <w:br/>
            </w:r>
            <w:r w:rsidRPr="00E317B0">
              <w:rPr>
                <w:rFonts w:eastAsia="Times New Roman"/>
                <w:sz w:val="22"/>
                <w:szCs w:val="22"/>
              </w:rPr>
              <w:br/>
              <w:t>Tel.: 0043 664 140 5901</w:t>
            </w:r>
            <w:r w:rsidRPr="00E317B0">
              <w:rPr>
                <w:rFonts w:eastAsia="Times New Roman"/>
                <w:sz w:val="22"/>
                <w:szCs w:val="22"/>
              </w:rPr>
              <w:br/>
            </w:r>
            <w:proofErr w:type="spellStart"/>
            <w:r w:rsidRPr="00E317B0">
              <w:rPr>
                <w:rFonts w:eastAsia="Times New Roman"/>
                <w:sz w:val="22"/>
                <w:szCs w:val="22"/>
              </w:rPr>
              <w:t>EMail</w:t>
            </w:r>
            <w:proofErr w:type="spellEnd"/>
            <w:r w:rsidRPr="00E317B0">
              <w:rPr>
                <w:rFonts w:eastAsia="Times New Roman"/>
                <w:sz w:val="22"/>
                <w:szCs w:val="22"/>
              </w:rPr>
              <w:t xml:space="preserve">: </w:t>
            </w:r>
            <w:hyperlink r:id="rId7" w:history="1">
              <w:r w:rsidRPr="00E317B0">
                <w:rPr>
                  <w:rStyle w:val="Hyperlink"/>
                  <w:rFonts w:eastAsia="Times New Roman"/>
                  <w:sz w:val="22"/>
                  <w:szCs w:val="22"/>
                </w:rPr>
                <w:t>o.glockler@sunport.ch</w:t>
              </w:r>
            </w:hyperlink>
            <w:r w:rsidRPr="00E317B0">
              <w:rPr>
                <w:rFonts w:eastAsia="Times New Roman"/>
                <w:sz w:val="22"/>
                <w:szCs w:val="22"/>
              </w:rPr>
              <w:t xml:space="preserve"> </w:t>
            </w:r>
          </w:p>
          <w:p w:rsidR="004A723C" w:rsidRPr="00E317B0" w:rsidRDefault="004A723C">
            <w:pPr>
              <w:rPr>
                <w:rFonts w:eastAsia="Times New Roman"/>
                <w:sz w:val="22"/>
                <w:szCs w:val="22"/>
              </w:rPr>
            </w:pPr>
          </w:p>
        </w:tc>
        <w:tc>
          <w:tcPr>
            <w:tcW w:w="814" w:type="pct"/>
            <w:tcBorders>
              <w:top w:val="outset" w:sz="6" w:space="0" w:color="auto"/>
              <w:left w:val="outset" w:sz="6" w:space="0" w:color="auto"/>
              <w:bottom w:val="outset" w:sz="6" w:space="0" w:color="auto"/>
              <w:right w:val="outset" w:sz="6" w:space="0" w:color="auto"/>
            </w:tcBorders>
            <w:shd w:val="clear" w:color="auto" w:fill="FFFFFF"/>
          </w:tcPr>
          <w:p w:rsidR="00E317B0" w:rsidRPr="00E317B0" w:rsidRDefault="004A723C" w:rsidP="00E317B0">
            <w:pPr>
              <w:tabs>
                <w:tab w:val="left" w:pos="-1440"/>
                <w:tab w:val="left" w:pos="-720"/>
                <w:tab w:val="left" w:pos="2700"/>
              </w:tabs>
              <w:suppressAutoHyphens/>
              <w:rPr>
                <w:spacing w:val="-2"/>
                <w:sz w:val="22"/>
                <w:szCs w:val="22"/>
              </w:rPr>
            </w:pPr>
            <w:r w:rsidRPr="00E317B0">
              <w:rPr>
                <w:rFonts w:eastAsia="Times New Roman"/>
                <w:b/>
                <w:sz w:val="22"/>
                <w:szCs w:val="22"/>
              </w:rPr>
              <w:t>Qualifications:</w:t>
            </w:r>
            <w:r w:rsidR="00E317B0" w:rsidRPr="00E317B0">
              <w:rPr>
                <w:spacing w:val="-2"/>
                <w:sz w:val="22"/>
                <w:szCs w:val="22"/>
              </w:rPr>
              <w:t xml:space="preserve"> </w:t>
            </w:r>
            <w:r w:rsidR="00E317B0" w:rsidRPr="00E317B0">
              <w:rPr>
                <w:spacing w:val="-2"/>
                <w:sz w:val="22"/>
                <w:szCs w:val="22"/>
              </w:rPr>
              <w:t>Practical experience in NPP operation, LTO, IS development, DK/DBI management, Configuration Management</w:t>
            </w:r>
          </w:p>
          <w:p w:rsidR="004A723C" w:rsidRPr="00E317B0" w:rsidRDefault="004A723C" w:rsidP="004A723C">
            <w:pPr>
              <w:rPr>
                <w:rFonts w:eastAsia="Times New Roman"/>
                <w:b/>
                <w:sz w:val="22"/>
                <w:szCs w:val="22"/>
              </w:rPr>
            </w:pPr>
          </w:p>
          <w:p w:rsidR="004A723C" w:rsidRPr="00E317B0" w:rsidRDefault="004A723C" w:rsidP="004A723C">
            <w:pPr>
              <w:rPr>
                <w:rFonts w:eastAsia="Times New Roman"/>
                <w:sz w:val="22"/>
                <w:szCs w:val="22"/>
              </w:rPr>
            </w:pPr>
          </w:p>
          <w:p w:rsidR="004A723C" w:rsidRPr="00E317B0" w:rsidRDefault="004A723C" w:rsidP="004A723C">
            <w:pPr>
              <w:rPr>
                <w:rFonts w:eastAsia="Times New Roman"/>
                <w:sz w:val="22"/>
                <w:szCs w:val="22"/>
              </w:rPr>
            </w:pPr>
          </w:p>
          <w:p w:rsidR="004A723C" w:rsidRPr="00E317B0" w:rsidRDefault="004A723C" w:rsidP="004A723C">
            <w:pPr>
              <w:rPr>
                <w:rFonts w:eastAsia="Times New Roman"/>
                <w:sz w:val="22"/>
                <w:szCs w:val="22"/>
              </w:rPr>
            </w:pPr>
          </w:p>
          <w:p w:rsidR="004A723C" w:rsidRPr="00E317B0" w:rsidRDefault="004A723C" w:rsidP="004A723C">
            <w:pPr>
              <w:rPr>
                <w:rFonts w:eastAsia="Times New Roman"/>
                <w:sz w:val="22"/>
                <w:szCs w:val="22"/>
              </w:rPr>
            </w:pPr>
          </w:p>
        </w:tc>
        <w:tc>
          <w:tcPr>
            <w:tcW w:w="2394" w:type="pct"/>
            <w:vMerge w:val="restart"/>
            <w:tcBorders>
              <w:top w:val="outset" w:sz="6" w:space="0" w:color="auto"/>
              <w:left w:val="outset" w:sz="6" w:space="0" w:color="auto"/>
              <w:right w:val="outset" w:sz="6" w:space="0" w:color="auto"/>
            </w:tcBorders>
            <w:shd w:val="clear" w:color="auto" w:fill="FFFFFF"/>
          </w:tcPr>
          <w:p w:rsidR="004A723C" w:rsidRPr="00E317B0" w:rsidRDefault="004A723C" w:rsidP="00E317B0">
            <w:pPr>
              <w:rPr>
                <w:spacing w:val="-2"/>
                <w:sz w:val="22"/>
                <w:szCs w:val="22"/>
              </w:rPr>
            </w:pPr>
            <w:r w:rsidRPr="00E317B0">
              <w:rPr>
                <w:rFonts w:eastAsia="Times New Roman"/>
                <w:b/>
                <w:sz w:val="22"/>
                <w:szCs w:val="22"/>
              </w:rPr>
              <w:lastRenderedPageBreak/>
              <w:t>Duties</w:t>
            </w:r>
            <w:r w:rsidR="00E317B0">
              <w:rPr>
                <w:rFonts w:eastAsia="Times New Roman"/>
                <w:b/>
                <w:sz w:val="22"/>
                <w:szCs w:val="22"/>
              </w:rPr>
              <w:t>:</w:t>
            </w:r>
            <w:r w:rsidRPr="00E317B0">
              <w:rPr>
                <w:rFonts w:eastAsia="Times New Roman"/>
                <w:b/>
                <w:sz w:val="22"/>
                <w:szCs w:val="22"/>
              </w:rPr>
              <w:t xml:space="preserve"> </w:t>
            </w:r>
            <w:r w:rsidR="00E317B0">
              <w:rPr>
                <w:rFonts w:eastAsia="Times New Roman"/>
                <w:b/>
                <w:sz w:val="22"/>
                <w:szCs w:val="22"/>
              </w:rPr>
              <w:t xml:space="preserve"> </w:t>
            </w:r>
            <w:r w:rsidRPr="00E317B0">
              <w:rPr>
                <w:spacing w:val="-2"/>
                <w:sz w:val="22"/>
                <w:szCs w:val="22"/>
              </w:rPr>
              <w:t>As an IAEA IEX team member, and with explicit reference to NPPD's contract for Bushehr's two new pressurized light water reactors,</w:t>
            </w:r>
            <w:r w:rsidR="00E317B0">
              <w:rPr>
                <w:spacing w:val="-2"/>
                <w:sz w:val="22"/>
                <w:szCs w:val="22"/>
              </w:rPr>
              <w:t xml:space="preserve"> </w:t>
            </w:r>
            <w:r w:rsidRPr="00E317B0">
              <w:rPr>
                <w:spacing w:val="-2"/>
                <w:sz w:val="22"/>
                <w:szCs w:val="22"/>
              </w:rPr>
              <w:t>to support and contribute to the coordination of activities of the IRAN NPPD organization in design knowledge management (DKM) programme establishment and to analyse current situation in the area:</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w:t>
            </w:r>
            <w:r w:rsidRPr="00E317B0">
              <w:rPr>
                <w:spacing w:val="-2"/>
                <w:sz w:val="22"/>
                <w:szCs w:val="22"/>
              </w:rPr>
              <w:tab/>
              <w:t xml:space="preserve">National and international responsibilities for ensuring design knowledge </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w:t>
            </w:r>
            <w:r w:rsidRPr="00E317B0">
              <w:rPr>
                <w:spacing w:val="-2"/>
                <w:sz w:val="22"/>
                <w:szCs w:val="22"/>
              </w:rPr>
              <w:tab/>
              <w:t>Regulatory perspectives and requirements on design knowledge management</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w:t>
            </w:r>
            <w:r w:rsidRPr="00E317B0">
              <w:rPr>
                <w:spacing w:val="-2"/>
                <w:sz w:val="22"/>
                <w:szCs w:val="22"/>
              </w:rPr>
              <w:tab/>
              <w:t xml:space="preserve">National licensing requirements for design documentation and validation </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lastRenderedPageBreak/>
              <w:t>-</w:t>
            </w:r>
            <w:r w:rsidRPr="00E317B0">
              <w:rPr>
                <w:spacing w:val="-2"/>
                <w:sz w:val="22"/>
                <w:szCs w:val="22"/>
              </w:rPr>
              <w:tab/>
              <w:t>Importance and responsibility for design authority — the concept, approaches and problems</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w:t>
            </w:r>
            <w:r w:rsidRPr="00E317B0">
              <w:rPr>
                <w:spacing w:val="-2"/>
                <w:sz w:val="22"/>
                <w:szCs w:val="22"/>
              </w:rPr>
              <w:tab/>
              <w:t>Vendor responsibilities for design knowledge management</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w:t>
            </w:r>
            <w:r w:rsidRPr="00E317B0">
              <w:rPr>
                <w:spacing w:val="-2"/>
                <w:sz w:val="22"/>
                <w:szCs w:val="22"/>
              </w:rPr>
              <w:tab/>
              <w:t>Assessing and maintaining competence of the design authority</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w:t>
            </w:r>
            <w:r w:rsidRPr="00E317B0">
              <w:rPr>
                <w:spacing w:val="-2"/>
                <w:sz w:val="22"/>
                <w:szCs w:val="22"/>
              </w:rPr>
              <w:tab/>
              <w:t>Advanced integrated design management systems and approaches</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w:t>
            </w:r>
            <w:r w:rsidRPr="00E317B0">
              <w:rPr>
                <w:spacing w:val="-2"/>
                <w:sz w:val="22"/>
                <w:szCs w:val="22"/>
              </w:rPr>
              <w:tab/>
              <w:t>The design change process in different countries (vendor, regulator, utility perspectives)</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w:t>
            </w:r>
            <w:r w:rsidRPr="00E317B0">
              <w:rPr>
                <w:spacing w:val="-2"/>
                <w:sz w:val="22"/>
                <w:szCs w:val="22"/>
              </w:rPr>
              <w:tab/>
              <w:t>Design basis validation: approaches, challenges, future directions</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w:t>
            </w:r>
            <w:r w:rsidRPr="00E317B0">
              <w:rPr>
                <w:spacing w:val="-2"/>
                <w:sz w:val="22"/>
                <w:szCs w:val="22"/>
              </w:rPr>
              <w:tab/>
              <w:t>International peer reviews of design basis of new facilities, best practices, and lessons learned</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w:t>
            </w:r>
            <w:r w:rsidRPr="00E317B0">
              <w:rPr>
                <w:spacing w:val="-2"/>
                <w:sz w:val="22"/>
                <w:szCs w:val="22"/>
              </w:rPr>
              <w:tab/>
              <w:t>Nuclear facility business models for outsourcing and associated risks of design knowledge loss</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w:t>
            </w:r>
            <w:r w:rsidRPr="00E317B0">
              <w:rPr>
                <w:spacing w:val="-2"/>
                <w:sz w:val="22"/>
                <w:szCs w:val="22"/>
              </w:rPr>
              <w:tab/>
              <w:t>Importance of periodic safety reviews and licence renewals to revalidate the design basis</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w:t>
            </w:r>
            <w:r w:rsidRPr="00E317B0">
              <w:rPr>
                <w:spacing w:val="-2"/>
                <w:sz w:val="22"/>
                <w:szCs w:val="22"/>
              </w:rPr>
              <w:tab/>
              <w:t>Knowledge transfer from vendor to utility-owners during the new-build process</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w:t>
            </w:r>
            <w:r w:rsidRPr="00E317B0">
              <w:rPr>
                <w:spacing w:val="-2"/>
                <w:sz w:val="22"/>
                <w:szCs w:val="22"/>
              </w:rPr>
              <w:tab/>
              <w:t>Challenges presented by commercial interests with respect to design basis over the lifecycle</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w:t>
            </w:r>
            <w:r w:rsidRPr="00E317B0">
              <w:rPr>
                <w:spacing w:val="-2"/>
                <w:sz w:val="22"/>
                <w:szCs w:val="22"/>
              </w:rPr>
              <w:tab/>
              <w:t>Design knowledge management challenges faced by new-build projects</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w:t>
            </w:r>
            <w:r w:rsidRPr="00E317B0">
              <w:rPr>
                <w:spacing w:val="-2"/>
                <w:sz w:val="22"/>
                <w:szCs w:val="22"/>
              </w:rPr>
              <w:tab/>
              <w:t>Current technologies and approaches to plant information management</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w:t>
            </w:r>
            <w:r w:rsidRPr="00E317B0">
              <w:rPr>
                <w:spacing w:val="-2"/>
                <w:sz w:val="22"/>
                <w:szCs w:val="22"/>
              </w:rPr>
              <w:tab/>
              <w:t>Preserving information and data on facility operating, maintenance and design change history</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w:t>
            </w:r>
            <w:r w:rsidRPr="00E317B0">
              <w:rPr>
                <w:spacing w:val="-2"/>
                <w:sz w:val="22"/>
                <w:szCs w:val="22"/>
              </w:rPr>
              <w:tab/>
              <w:t>Plant Information Model (PIM) as a tool to manage facility configuration information</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w:t>
            </w:r>
            <w:r w:rsidRPr="00E317B0">
              <w:rPr>
                <w:spacing w:val="-2"/>
                <w:sz w:val="22"/>
                <w:szCs w:val="22"/>
              </w:rPr>
              <w:tab/>
              <w:t>The needs, areas of application, challenges and issues related to implementation of data support systems at NPP</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w:t>
            </w:r>
            <w:r w:rsidR="00E317B0">
              <w:rPr>
                <w:spacing w:val="-2"/>
                <w:sz w:val="22"/>
                <w:szCs w:val="22"/>
              </w:rPr>
              <w:t xml:space="preserve"> </w:t>
            </w:r>
            <w:r w:rsidRPr="00E317B0">
              <w:rPr>
                <w:spacing w:val="-2"/>
                <w:sz w:val="22"/>
                <w:szCs w:val="22"/>
              </w:rPr>
              <w:t>Configuration Management</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 xml:space="preserve">Identify DK and DBI needed to be handover and preserved and which can be used as basis or part of plant information system  needed for safe operation and future LTO (Safety requirements, PSAR/FSAR elements, Start-up and </w:t>
            </w:r>
            <w:r w:rsidRPr="00E317B0">
              <w:rPr>
                <w:spacing w:val="-2"/>
                <w:sz w:val="22"/>
                <w:szCs w:val="22"/>
              </w:rPr>
              <w:lastRenderedPageBreak/>
              <w:t>Equipment tests results, Design specification and drawings</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 xml:space="preserve">          </w:t>
            </w:r>
          </w:p>
          <w:p w:rsidR="004A723C" w:rsidRPr="00E317B0" w:rsidRDefault="004A723C" w:rsidP="004A723C">
            <w:pPr>
              <w:tabs>
                <w:tab w:val="left" w:pos="-1440"/>
                <w:tab w:val="left" w:pos="-720"/>
                <w:tab w:val="left" w:pos="318"/>
                <w:tab w:val="left" w:pos="720"/>
              </w:tabs>
              <w:suppressAutoHyphens/>
              <w:ind w:left="340"/>
              <w:jc w:val="both"/>
              <w:rPr>
                <w:spacing w:val="-2"/>
                <w:sz w:val="22"/>
                <w:szCs w:val="22"/>
              </w:rPr>
            </w:pPr>
            <w:r w:rsidRPr="00E317B0">
              <w:rPr>
                <w:spacing w:val="-2"/>
                <w:sz w:val="22"/>
                <w:szCs w:val="22"/>
              </w:rPr>
              <w:t xml:space="preserve">Be responsible for implementation and delivery presentations on request (agreed with TO), facilitation of discussion, group work leading and </w:t>
            </w:r>
            <w:r w:rsidRPr="00E317B0">
              <w:rPr>
                <w:spacing w:val="-2"/>
                <w:sz w:val="22"/>
                <w:szCs w:val="22"/>
              </w:rPr>
              <w:t xml:space="preserve">development of recommendations </w:t>
            </w:r>
            <w:r w:rsidRPr="00E317B0">
              <w:rPr>
                <w:spacing w:val="-2"/>
                <w:sz w:val="22"/>
                <w:szCs w:val="22"/>
              </w:rPr>
              <w:t>as for the DKM programme at NPPD.</w:t>
            </w:r>
          </w:p>
          <w:p w:rsidR="004A723C" w:rsidRPr="00E317B0" w:rsidRDefault="004A723C" w:rsidP="004A723C">
            <w:pPr>
              <w:rPr>
                <w:rFonts w:eastAsia="Times New Roman"/>
                <w:sz w:val="22"/>
                <w:szCs w:val="22"/>
              </w:rPr>
            </w:pPr>
          </w:p>
        </w:tc>
      </w:tr>
      <w:tr w:rsidR="00E317B0" w:rsidTr="00E317B0">
        <w:tc>
          <w:tcPr>
            <w:tcW w:w="124" w:type="pct"/>
            <w:tcBorders>
              <w:top w:val="outset" w:sz="6" w:space="0" w:color="auto"/>
              <w:left w:val="outset" w:sz="6" w:space="0" w:color="auto"/>
              <w:bottom w:val="outset" w:sz="6" w:space="0" w:color="auto"/>
              <w:right w:val="outset" w:sz="6" w:space="0" w:color="auto"/>
            </w:tcBorders>
            <w:shd w:val="clear" w:color="auto" w:fill="FFFFFF"/>
          </w:tcPr>
          <w:p w:rsidR="00E317B0" w:rsidRPr="00E317B0" w:rsidRDefault="00E317B0" w:rsidP="008A235F">
            <w:pPr>
              <w:rPr>
                <w:rFonts w:eastAsia="Times New Roman"/>
                <w:sz w:val="22"/>
                <w:szCs w:val="22"/>
              </w:rPr>
            </w:pPr>
            <w:r w:rsidRPr="00E317B0">
              <w:rPr>
                <w:rFonts w:eastAsia="Times New Roman"/>
                <w:b/>
                <w:bCs/>
                <w:sz w:val="22"/>
                <w:szCs w:val="22"/>
              </w:rPr>
              <w:lastRenderedPageBreak/>
              <w:t xml:space="preserve">3 </w:t>
            </w:r>
          </w:p>
        </w:tc>
        <w:tc>
          <w:tcPr>
            <w:tcW w:w="375" w:type="pct"/>
            <w:tcBorders>
              <w:top w:val="outset" w:sz="6" w:space="0" w:color="auto"/>
              <w:left w:val="outset" w:sz="6" w:space="0" w:color="auto"/>
              <w:bottom w:val="outset" w:sz="6" w:space="0" w:color="auto"/>
              <w:right w:val="outset" w:sz="6" w:space="0" w:color="auto"/>
            </w:tcBorders>
            <w:shd w:val="clear" w:color="auto" w:fill="FFFFFF"/>
          </w:tcPr>
          <w:p w:rsidR="00E317B0" w:rsidRPr="00E317B0" w:rsidRDefault="00E317B0" w:rsidP="008A235F">
            <w:pPr>
              <w:rPr>
                <w:rFonts w:eastAsia="Times New Roman"/>
                <w:b/>
                <w:bCs/>
                <w:sz w:val="22"/>
                <w:szCs w:val="22"/>
              </w:rPr>
            </w:pPr>
            <w:r w:rsidRPr="00E317B0">
              <w:rPr>
                <w:rFonts w:eastAsia="Times New Roman"/>
                <w:b/>
                <w:bCs/>
                <w:sz w:val="22"/>
                <w:szCs w:val="22"/>
              </w:rPr>
              <w:t xml:space="preserve">Hungary </w:t>
            </w:r>
          </w:p>
        </w:tc>
        <w:tc>
          <w:tcPr>
            <w:tcW w:w="1293" w:type="pct"/>
            <w:tcBorders>
              <w:top w:val="outset" w:sz="6" w:space="0" w:color="auto"/>
              <w:left w:val="outset" w:sz="6" w:space="0" w:color="auto"/>
              <w:bottom w:val="outset" w:sz="6" w:space="0" w:color="auto"/>
              <w:right w:val="outset" w:sz="6" w:space="0" w:color="auto"/>
            </w:tcBorders>
            <w:shd w:val="clear" w:color="auto" w:fill="FFFFFF"/>
          </w:tcPr>
          <w:p w:rsidR="00E317B0" w:rsidRPr="00E317B0" w:rsidRDefault="00E317B0" w:rsidP="008A235F">
            <w:pPr>
              <w:rPr>
                <w:rFonts w:eastAsia="Times New Roman"/>
                <w:b/>
                <w:sz w:val="22"/>
                <w:szCs w:val="22"/>
              </w:rPr>
            </w:pPr>
            <w:r w:rsidRPr="00E317B0">
              <w:rPr>
                <w:rFonts w:eastAsia="Times New Roman"/>
                <w:b/>
                <w:sz w:val="22"/>
                <w:szCs w:val="22"/>
              </w:rPr>
              <w:t xml:space="preserve">Mr </w:t>
            </w:r>
            <w:proofErr w:type="spellStart"/>
            <w:r w:rsidRPr="00E317B0">
              <w:rPr>
                <w:rFonts w:eastAsia="Times New Roman"/>
                <w:b/>
                <w:sz w:val="22"/>
                <w:szCs w:val="22"/>
              </w:rPr>
              <w:t>Sándor</w:t>
            </w:r>
            <w:proofErr w:type="spellEnd"/>
            <w:r w:rsidRPr="00E317B0">
              <w:rPr>
                <w:rFonts w:eastAsia="Times New Roman"/>
                <w:b/>
                <w:sz w:val="22"/>
                <w:szCs w:val="22"/>
              </w:rPr>
              <w:t xml:space="preserve"> </w:t>
            </w:r>
            <w:proofErr w:type="spellStart"/>
            <w:r w:rsidRPr="00E317B0">
              <w:rPr>
                <w:rFonts w:eastAsia="Times New Roman"/>
                <w:b/>
                <w:sz w:val="22"/>
                <w:szCs w:val="22"/>
              </w:rPr>
              <w:t>Szucsán</w:t>
            </w:r>
            <w:proofErr w:type="spellEnd"/>
          </w:p>
          <w:p w:rsidR="004D590B" w:rsidRPr="004D590B" w:rsidRDefault="004D590B" w:rsidP="004D590B">
            <w:pPr>
              <w:rPr>
                <w:rFonts w:eastAsia="Times New Roman"/>
                <w:sz w:val="22"/>
                <w:szCs w:val="22"/>
              </w:rPr>
            </w:pPr>
            <w:r w:rsidRPr="004D590B">
              <w:rPr>
                <w:rFonts w:eastAsia="Times New Roman"/>
                <w:sz w:val="22"/>
                <w:szCs w:val="22"/>
              </w:rPr>
              <w:t>ALEX-ENG Technical Advisory and Service Ltd. Co.</w:t>
            </w:r>
            <w:r w:rsidRPr="004D590B">
              <w:rPr>
                <w:rFonts w:eastAsia="Times New Roman"/>
                <w:sz w:val="22"/>
                <w:szCs w:val="22"/>
              </w:rPr>
              <w:br/>
            </w:r>
            <w:proofErr w:type="spellStart"/>
            <w:r w:rsidRPr="004D590B">
              <w:rPr>
                <w:rFonts w:eastAsia="Times New Roman"/>
                <w:sz w:val="22"/>
                <w:szCs w:val="22"/>
              </w:rPr>
              <w:t>Arany</w:t>
            </w:r>
            <w:proofErr w:type="spellEnd"/>
            <w:r w:rsidRPr="004D590B">
              <w:rPr>
                <w:rFonts w:eastAsia="Times New Roman"/>
                <w:sz w:val="22"/>
                <w:szCs w:val="22"/>
              </w:rPr>
              <w:t xml:space="preserve"> Janos </w:t>
            </w:r>
            <w:proofErr w:type="spellStart"/>
            <w:r w:rsidRPr="004D590B">
              <w:rPr>
                <w:rFonts w:eastAsia="Times New Roman"/>
                <w:sz w:val="22"/>
                <w:szCs w:val="22"/>
              </w:rPr>
              <w:t>utca</w:t>
            </w:r>
            <w:proofErr w:type="spellEnd"/>
            <w:r w:rsidRPr="004D590B">
              <w:rPr>
                <w:rFonts w:eastAsia="Times New Roman"/>
                <w:sz w:val="22"/>
                <w:szCs w:val="22"/>
              </w:rPr>
              <w:t xml:space="preserve"> 53</w:t>
            </w:r>
            <w:r w:rsidRPr="004D590B">
              <w:rPr>
                <w:rFonts w:eastAsia="Times New Roman"/>
                <w:sz w:val="22"/>
                <w:szCs w:val="22"/>
              </w:rPr>
              <w:br/>
              <w:t xml:space="preserve">7030 </w:t>
            </w:r>
            <w:proofErr w:type="spellStart"/>
            <w:r w:rsidRPr="004D590B">
              <w:rPr>
                <w:rFonts w:eastAsia="Times New Roman"/>
                <w:sz w:val="22"/>
                <w:szCs w:val="22"/>
              </w:rPr>
              <w:t>Paks</w:t>
            </w:r>
            <w:proofErr w:type="spellEnd"/>
            <w:r w:rsidRPr="004D590B">
              <w:rPr>
                <w:rFonts w:eastAsia="Times New Roman"/>
                <w:sz w:val="22"/>
                <w:szCs w:val="22"/>
              </w:rPr>
              <w:br/>
              <w:t>Hungary</w:t>
            </w:r>
          </w:p>
          <w:p w:rsidR="00E317B0" w:rsidRPr="00E317B0" w:rsidRDefault="00E317B0" w:rsidP="008A235F">
            <w:pPr>
              <w:rPr>
                <w:rFonts w:eastAsia="Times New Roman"/>
                <w:sz w:val="22"/>
                <w:szCs w:val="22"/>
              </w:rPr>
            </w:pPr>
            <w:r w:rsidRPr="00E317B0">
              <w:rPr>
                <w:rFonts w:eastAsia="Times New Roman"/>
                <w:sz w:val="22"/>
                <w:szCs w:val="22"/>
              </w:rPr>
              <w:br/>
            </w:r>
            <w:r w:rsidRPr="00E317B0">
              <w:rPr>
                <w:rFonts w:eastAsia="Times New Roman"/>
                <w:sz w:val="22"/>
                <w:szCs w:val="22"/>
              </w:rPr>
              <w:br/>
              <w:t>Tel.: 0036 75 310941</w:t>
            </w:r>
            <w:r w:rsidRPr="00E317B0">
              <w:rPr>
                <w:rFonts w:eastAsia="Times New Roman"/>
                <w:sz w:val="22"/>
                <w:szCs w:val="22"/>
              </w:rPr>
              <w:br/>
              <w:t>Fax: 0036 75 310941</w:t>
            </w:r>
            <w:r w:rsidRPr="00E317B0">
              <w:rPr>
                <w:rFonts w:eastAsia="Times New Roman"/>
                <w:sz w:val="22"/>
                <w:szCs w:val="22"/>
              </w:rPr>
              <w:br/>
            </w:r>
            <w:proofErr w:type="spellStart"/>
            <w:r w:rsidRPr="00E317B0">
              <w:rPr>
                <w:rFonts w:eastAsia="Times New Roman"/>
                <w:sz w:val="22"/>
                <w:szCs w:val="22"/>
              </w:rPr>
              <w:t>EMail</w:t>
            </w:r>
            <w:proofErr w:type="spellEnd"/>
            <w:r w:rsidRPr="00E317B0">
              <w:rPr>
                <w:rFonts w:eastAsia="Times New Roman"/>
                <w:sz w:val="22"/>
                <w:szCs w:val="22"/>
              </w:rPr>
              <w:t xml:space="preserve">: </w:t>
            </w:r>
            <w:hyperlink r:id="rId8" w:history="1">
              <w:r w:rsidRPr="00E317B0">
                <w:rPr>
                  <w:rStyle w:val="Hyperlink"/>
                  <w:rFonts w:eastAsia="Times New Roman"/>
                  <w:sz w:val="22"/>
                  <w:szCs w:val="22"/>
                </w:rPr>
                <w:t>alexeng@t-online.hu</w:t>
              </w:r>
            </w:hyperlink>
            <w:r w:rsidRPr="00E317B0">
              <w:rPr>
                <w:rFonts w:eastAsia="Times New Roman"/>
                <w:sz w:val="22"/>
                <w:szCs w:val="22"/>
              </w:rPr>
              <w:t xml:space="preserve"> </w:t>
            </w:r>
          </w:p>
        </w:tc>
        <w:tc>
          <w:tcPr>
            <w:tcW w:w="814" w:type="pct"/>
            <w:tcBorders>
              <w:top w:val="outset" w:sz="6" w:space="0" w:color="auto"/>
              <w:left w:val="outset" w:sz="6" w:space="0" w:color="auto"/>
              <w:bottom w:val="outset" w:sz="6" w:space="0" w:color="auto"/>
              <w:right w:val="outset" w:sz="6" w:space="0" w:color="auto"/>
            </w:tcBorders>
            <w:shd w:val="clear" w:color="auto" w:fill="FFFFFF"/>
          </w:tcPr>
          <w:p w:rsidR="00E317B0" w:rsidRPr="00E317B0" w:rsidRDefault="00E317B0" w:rsidP="008A235F">
            <w:pPr>
              <w:rPr>
                <w:rFonts w:eastAsia="Times New Roman"/>
                <w:b/>
                <w:sz w:val="22"/>
                <w:szCs w:val="22"/>
              </w:rPr>
            </w:pPr>
            <w:r w:rsidRPr="00E317B0">
              <w:rPr>
                <w:rFonts w:eastAsia="Times New Roman"/>
                <w:b/>
                <w:sz w:val="22"/>
                <w:szCs w:val="22"/>
              </w:rPr>
              <w:t>Qualifications:</w:t>
            </w:r>
            <w:r w:rsidRPr="00E317B0">
              <w:rPr>
                <w:spacing w:val="-2"/>
                <w:sz w:val="22"/>
                <w:szCs w:val="22"/>
              </w:rPr>
              <w:t xml:space="preserve"> </w:t>
            </w:r>
            <w:r w:rsidRPr="00E317B0">
              <w:rPr>
                <w:spacing w:val="-2"/>
                <w:sz w:val="22"/>
                <w:szCs w:val="22"/>
              </w:rPr>
              <w:t xml:space="preserve">Practical experience in NPP operation, LTO, IS development, DK/DBI </w:t>
            </w:r>
            <w:proofErr w:type="spellStart"/>
            <w:r w:rsidRPr="00E317B0">
              <w:rPr>
                <w:spacing w:val="-2"/>
                <w:sz w:val="22"/>
                <w:szCs w:val="22"/>
              </w:rPr>
              <w:t>managment</w:t>
            </w:r>
            <w:proofErr w:type="spellEnd"/>
          </w:p>
          <w:p w:rsidR="00E317B0" w:rsidRPr="00E317B0" w:rsidRDefault="00E317B0" w:rsidP="008A235F">
            <w:pPr>
              <w:rPr>
                <w:rFonts w:eastAsia="Times New Roman"/>
                <w:sz w:val="22"/>
                <w:szCs w:val="22"/>
              </w:rPr>
            </w:pPr>
          </w:p>
        </w:tc>
        <w:tc>
          <w:tcPr>
            <w:tcW w:w="2394" w:type="pct"/>
            <w:vMerge/>
            <w:tcBorders>
              <w:top w:val="outset" w:sz="6" w:space="0" w:color="auto"/>
              <w:left w:val="outset" w:sz="6" w:space="0" w:color="auto"/>
              <w:right w:val="outset" w:sz="6" w:space="0" w:color="auto"/>
            </w:tcBorders>
            <w:shd w:val="clear" w:color="auto" w:fill="FFFFFF"/>
          </w:tcPr>
          <w:p w:rsidR="00E317B0" w:rsidRPr="00E317B0" w:rsidRDefault="00E317B0" w:rsidP="004A723C">
            <w:pPr>
              <w:rPr>
                <w:rFonts w:eastAsia="Times New Roman"/>
                <w:b/>
                <w:sz w:val="22"/>
                <w:szCs w:val="22"/>
              </w:rPr>
            </w:pPr>
          </w:p>
        </w:tc>
      </w:tr>
      <w:tr w:rsidR="00E317B0" w:rsidTr="00E317B0">
        <w:tc>
          <w:tcPr>
            <w:tcW w:w="124" w:type="pct"/>
            <w:tcBorders>
              <w:top w:val="outset" w:sz="6" w:space="0" w:color="auto"/>
              <w:left w:val="outset" w:sz="6" w:space="0" w:color="auto"/>
              <w:bottom w:val="outset" w:sz="6" w:space="0" w:color="auto"/>
              <w:right w:val="outset" w:sz="6" w:space="0" w:color="auto"/>
            </w:tcBorders>
            <w:shd w:val="clear" w:color="auto" w:fill="FFFFFF"/>
          </w:tcPr>
          <w:p w:rsidR="00E317B0" w:rsidRPr="00E317B0" w:rsidRDefault="00E317B0" w:rsidP="00FA2CA9">
            <w:pPr>
              <w:rPr>
                <w:rFonts w:eastAsia="Times New Roman"/>
                <w:sz w:val="22"/>
                <w:szCs w:val="22"/>
              </w:rPr>
            </w:pPr>
            <w:r w:rsidRPr="00E317B0">
              <w:rPr>
                <w:rFonts w:eastAsia="Times New Roman"/>
                <w:b/>
                <w:bCs/>
                <w:sz w:val="22"/>
                <w:szCs w:val="22"/>
              </w:rPr>
              <w:t xml:space="preserve">4 </w:t>
            </w:r>
          </w:p>
        </w:tc>
        <w:tc>
          <w:tcPr>
            <w:tcW w:w="375" w:type="pct"/>
            <w:tcBorders>
              <w:top w:val="outset" w:sz="6" w:space="0" w:color="auto"/>
              <w:left w:val="outset" w:sz="6" w:space="0" w:color="auto"/>
              <w:bottom w:val="outset" w:sz="6" w:space="0" w:color="auto"/>
              <w:right w:val="outset" w:sz="6" w:space="0" w:color="auto"/>
            </w:tcBorders>
            <w:shd w:val="clear" w:color="auto" w:fill="FFFFFF"/>
          </w:tcPr>
          <w:p w:rsidR="00E317B0" w:rsidRPr="00E317B0" w:rsidRDefault="00E317B0" w:rsidP="00FA2CA9">
            <w:pPr>
              <w:rPr>
                <w:rFonts w:eastAsia="Times New Roman"/>
                <w:b/>
                <w:bCs/>
                <w:sz w:val="22"/>
                <w:szCs w:val="22"/>
              </w:rPr>
            </w:pPr>
            <w:r w:rsidRPr="00E317B0">
              <w:rPr>
                <w:rFonts w:eastAsia="Times New Roman"/>
                <w:b/>
                <w:bCs/>
                <w:sz w:val="22"/>
                <w:szCs w:val="22"/>
              </w:rPr>
              <w:t xml:space="preserve">Italy </w:t>
            </w:r>
          </w:p>
        </w:tc>
        <w:tc>
          <w:tcPr>
            <w:tcW w:w="1293" w:type="pct"/>
            <w:tcBorders>
              <w:top w:val="outset" w:sz="6" w:space="0" w:color="auto"/>
              <w:left w:val="outset" w:sz="6" w:space="0" w:color="auto"/>
              <w:bottom w:val="outset" w:sz="6" w:space="0" w:color="auto"/>
              <w:right w:val="outset" w:sz="6" w:space="0" w:color="auto"/>
            </w:tcBorders>
            <w:shd w:val="clear" w:color="auto" w:fill="FFFFFF"/>
          </w:tcPr>
          <w:p w:rsidR="00E317B0" w:rsidRPr="00E317B0" w:rsidRDefault="00E317B0" w:rsidP="00FA2CA9">
            <w:pPr>
              <w:rPr>
                <w:rFonts w:eastAsia="Times New Roman"/>
                <w:sz w:val="22"/>
                <w:szCs w:val="22"/>
              </w:rPr>
            </w:pPr>
            <w:r w:rsidRPr="00E317B0">
              <w:rPr>
                <w:rFonts w:eastAsia="Times New Roman"/>
                <w:b/>
                <w:sz w:val="22"/>
                <w:szCs w:val="22"/>
              </w:rPr>
              <w:t xml:space="preserve">Mr Oscar Agostino </w:t>
            </w:r>
            <w:proofErr w:type="spellStart"/>
            <w:r w:rsidRPr="00E317B0">
              <w:rPr>
                <w:rFonts w:eastAsia="Times New Roman"/>
                <w:b/>
                <w:sz w:val="22"/>
                <w:szCs w:val="22"/>
              </w:rPr>
              <w:t>Mignone</w:t>
            </w:r>
            <w:proofErr w:type="spellEnd"/>
            <w:r w:rsidRPr="00E317B0">
              <w:rPr>
                <w:rFonts w:eastAsia="Times New Roman"/>
                <w:sz w:val="22"/>
                <w:szCs w:val="22"/>
              </w:rPr>
              <w:br/>
            </w:r>
            <w:r w:rsidR="004D590B" w:rsidRPr="004D590B">
              <w:rPr>
                <w:rFonts w:eastAsia="Times New Roman"/>
                <w:sz w:val="22"/>
                <w:szCs w:val="22"/>
              </w:rPr>
              <w:t xml:space="preserve">Via Carlo </w:t>
            </w:r>
            <w:proofErr w:type="spellStart"/>
            <w:r w:rsidR="004D590B" w:rsidRPr="004D590B">
              <w:rPr>
                <w:rFonts w:eastAsia="Times New Roman"/>
                <w:sz w:val="22"/>
                <w:szCs w:val="22"/>
              </w:rPr>
              <w:t>Cattaneo</w:t>
            </w:r>
            <w:proofErr w:type="spellEnd"/>
            <w:r w:rsidR="004D590B" w:rsidRPr="004D590B">
              <w:rPr>
                <w:rFonts w:eastAsia="Times New Roman"/>
                <w:sz w:val="22"/>
                <w:szCs w:val="22"/>
              </w:rPr>
              <w:t xml:space="preserve"> 95,</w:t>
            </w:r>
            <w:r w:rsidR="004D590B" w:rsidRPr="004D590B">
              <w:rPr>
                <w:rFonts w:eastAsia="Times New Roman"/>
                <w:sz w:val="22"/>
                <w:szCs w:val="22"/>
              </w:rPr>
              <w:br/>
              <w:t xml:space="preserve">20025 </w:t>
            </w:r>
            <w:proofErr w:type="spellStart"/>
            <w:r w:rsidR="004D590B" w:rsidRPr="004D590B">
              <w:rPr>
                <w:rFonts w:eastAsia="Times New Roman"/>
                <w:sz w:val="22"/>
                <w:szCs w:val="22"/>
              </w:rPr>
              <w:t>Legnano</w:t>
            </w:r>
            <w:proofErr w:type="spellEnd"/>
            <w:r w:rsidR="004D590B" w:rsidRPr="004D590B">
              <w:rPr>
                <w:rFonts w:eastAsia="Times New Roman"/>
                <w:sz w:val="22"/>
                <w:szCs w:val="22"/>
              </w:rPr>
              <w:br/>
              <w:t>ITALY</w:t>
            </w:r>
            <w:r w:rsidRPr="00E317B0">
              <w:rPr>
                <w:rFonts w:eastAsia="Times New Roman"/>
                <w:sz w:val="22"/>
                <w:szCs w:val="22"/>
              </w:rPr>
              <w:br/>
            </w:r>
            <w:r w:rsidRPr="00E317B0">
              <w:rPr>
                <w:rFonts w:eastAsia="Times New Roman"/>
                <w:sz w:val="22"/>
                <w:szCs w:val="22"/>
              </w:rPr>
              <w:br/>
              <w:t>Tel.: 39331 45 40 48</w:t>
            </w:r>
            <w:r w:rsidRPr="00E317B0">
              <w:rPr>
                <w:rFonts w:eastAsia="Times New Roman"/>
                <w:sz w:val="22"/>
                <w:szCs w:val="22"/>
              </w:rPr>
              <w:br/>
            </w:r>
            <w:proofErr w:type="spellStart"/>
            <w:r w:rsidRPr="00E317B0">
              <w:rPr>
                <w:rFonts w:eastAsia="Times New Roman"/>
                <w:sz w:val="22"/>
                <w:szCs w:val="22"/>
              </w:rPr>
              <w:t>EMail</w:t>
            </w:r>
            <w:proofErr w:type="spellEnd"/>
            <w:r w:rsidRPr="00E317B0">
              <w:rPr>
                <w:rFonts w:eastAsia="Times New Roman"/>
                <w:sz w:val="22"/>
                <w:szCs w:val="22"/>
              </w:rPr>
              <w:t xml:space="preserve">: </w:t>
            </w:r>
            <w:hyperlink r:id="rId9" w:history="1">
              <w:r w:rsidRPr="00E317B0">
                <w:rPr>
                  <w:rStyle w:val="Hyperlink"/>
                  <w:rFonts w:eastAsia="Times New Roman"/>
                  <w:sz w:val="22"/>
                  <w:szCs w:val="22"/>
                </w:rPr>
                <w:t>ing.oscar.mignone@hotmail.com</w:t>
              </w:r>
            </w:hyperlink>
            <w:r w:rsidRPr="00E317B0">
              <w:rPr>
                <w:rFonts w:eastAsia="Times New Roman"/>
                <w:sz w:val="22"/>
                <w:szCs w:val="22"/>
              </w:rPr>
              <w:t xml:space="preserve"> </w:t>
            </w:r>
          </w:p>
        </w:tc>
        <w:tc>
          <w:tcPr>
            <w:tcW w:w="814" w:type="pct"/>
            <w:tcBorders>
              <w:top w:val="outset" w:sz="6" w:space="0" w:color="auto"/>
              <w:left w:val="outset" w:sz="6" w:space="0" w:color="auto"/>
              <w:bottom w:val="outset" w:sz="6" w:space="0" w:color="auto"/>
              <w:right w:val="outset" w:sz="6" w:space="0" w:color="auto"/>
            </w:tcBorders>
            <w:shd w:val="clear" w:color="auto" w:fill="FFFFFF"/>
          </w:tcPr>
          <w:p w:rsidR="00E317B0" w:rsidRPr="00E317B0" w:rsidRDefault="00E317B0" w:rsidP="00E317B0">
            <w:pPr>
              <w:tabs>
                <w:tab w:val="left" w:pos="-1440"/>
                <w:tab w:val="left" w:pos="-720"/>
                <w:tab w:val="left" w:pos="2700"/>
              </w:tabs>
              <w:suppressAutoHyphens/>
              <w:rPr>
                <w:spacing w:val="-2"/>
                <w:sz w:val="22"/>
                <w:szCs w:val="22"/>
              </w:rPr>
            </w:pPr>
            <w:r w:rsidRPr="00E317B0">
              <w:rPr>
                <w:rFonts w:eastAsia="Times New Roman"/>
                <w:b/>
                <w:sz w:val="22"/>
                <w:szCs w:val="22"/>
              </w:rPr>
              <w:t>Qualifications:</w:t>
            </w:r>
            <w:r w:rsidRPr="00E317B0">
              <w:rPr>
                <w:spacing w:val="-2"/>
                <w:sz w:val="22"/>
                <w:szCs w:val="22"/>
              </w:rPr>
              <w:t xml:space="preserve"> </w:t>
            </w:r>
            <w:r w:rsidRPr="00E317B0">
              <w:rPr>
                <w:spacing w:val="-2"/>
                <w:sz w:val="22"/>
                <w:szCs w:val="22"/>
              </w:rPr>
              <w:t>Broad experience in:</w:t>
            </w:r>
          </w:p>
          <w:p w:rsidR="00E317B0" w:rsidRPr="00E317B0" w:rsidRDefault="00E317B0" w:rsidP="00E317B0">
            <w:pPr>
              <w:tabs>
                <w:tab w:val="left" w:pos="-1440"/>
                <w:tab w:val="left" w:pos="-720"/>
                <w:tab w:val="left" w:pos="2700"/>
              </w:tabs>
              <w:suppressAutoHyphens/>
              <w:rPr>
                <w:spacing w:val="-2"/>
                <w:sz w:val="22"/>
                <w:szCs w:val="22"/>
              </w:rPr>
            </w:pPr>
            <w:r w:rsidRPr="00E317B0">
              <w:rPr>
                <w:spacing w:val="-2"/>
                <w:sz w:val="22"/>
                <w:szCs w:val="22"/>
              </w:rPr>
              <w:t>Managing Nuclear Engineering, Nuclear Safety Analyses, Plant Development and Nuclear Technology, Project Management, and Project Controls,</w:t>
            </w:r>
          </w:p>
          <w:p w:rsidR="00E317B0" w:rsidRPr="00E317B0" w:rsidRDefault="00E317B0" w:rsidP="00E317B0">
            <w:pPr>
              <w:rPr>
                <w:rFonts w:eastAsia="Times New Roman"/>
                <w:b/>
                <w:sz w:val="22"/>
                <w:szCs w:val="22"/>
              </w:rPr>
            </w:pPr>
          </w:p>
          <w:p w:rsidR="00E317B0" w:rsidRPr="00E317B0" w:rsidRDefault="00E317B0" w:rsidP="004A723C">
            <w:pPr>
              <w:rPr>
                <w:rFonts w:eastAsia="Times New Roman"/>
                <w:sz w:val="22"/>
                <w:szCs w:val="22"/>
              </w:rPr>
            </w:pPr>
          </w:p>
        </w:tc>
        <w:tc>
          <w:tcPr>
            <w:tcW w:w="2394" w:type="pct"/>
            <w:vMerge/>
            <w:tcBorders>
              <w:left w:val="outset" w:sz="6" w:space="0" w:color="auto"/>
              <w:right w:val="outset" w:sz="6" w:space="0" w:color="auto"/>
            </w:tcBorders>
            <w:shd w:val="clear" w:color="auto" w:fill="FFFFFF"/>
          </w:tcPr>
          <w:p w:rsidR="00E317B0" w:rsidRPr="00E317B0" w:rsidRDefault="00E317B0" w:rsidP="004A723C">
            <w:pPr>
              <w:rPr>
                <w:rFonts w:eastAsia="Times New Roman"/>
                <w:sz w:val="22"/>
                <w:szCs w:val="22"/>
              </w:rPr>
            </w:pPr>
          </w:p>
        </w:tc>
      </w:tr>
    </w:tbl>
    <w:p w:rsidR="00000000" w:rsidRDefault="004D590B" w:rsidP="00E317B0">
      <w:pPr>
        <w:rPr>
          <w:rFonts w:eastAsia="Times New Roman"/>
        </w:rPr>
      </w:pPr>
    </w:p>
    <w:sectPr w:rsidR="00000000" w:rsidSect="004A723C">
      <w:pgSz w:w="16838" w:h="11906" w:orient="landscape"/>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4A723C"/>
    <w:rsid w:val="004A723C"/>
    <w:rsid w:val="004D590B"/>
    <w:rsid w:val="00E31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0038">
      <w:bodyDiv w:val="1"/>
      <w:marLeft w:val="0"/>
      <w:marRight w:val="0"/>
      <w:marTop w:val="0"/>
      <w:marBottom w:val="0"/>
      <w:divBdr>
        <w:top w:val="none" w:sz="0" w:space="0" w:color="auto"/>
        <w:left w:val="none" w:sz="0" w:space="0" w:color="auto"/>
        <w:bottom w:val="none" w:sz="0" w:space="0" w:color="auto"/>
        <w:right w:val="none" w:sz="0" w:space="0" w:color="auto"/>
      </w:divBdr>
    </w:div>
    <w:div w:id="710349190">
      <w:bodyDiv w:val="1"/>
      <w:marLeft w:val="0"/>
      <w:marRight w:val="0"/>
      <w:marTop w:val="0"/>
      <w:marBottom w:val="0"/>
      <w:divBdr>
        <w:top w:val="none" w:sz="0" w:space="0" w:color="auto"/>
        <w:left w:val="none" w:sz="0" w:space="0" w:color="auto"/>
        <w:bottom w:val="none" w:sz="0" w:space="0" w:color="auto"/>
        <w:right w:val="none" w:sz="0" w:space="0" w:color="auto"/>
      </w:divBdr>
    </w:div>
    <w:div w:id="713966319">
      <w:bodyDiv w:val="1"/>
      <w:marLeft w:val="0"/>
      <w:marRight w:val="0"/>
      <w:marTop w:val="0"/>
      <w:marBottom w:val="0"/>
      <w:divBdr>
        <w:top w:val="none" w:sz="0" w:space="0" w:color="auto"/>
        <w:left w:val="none" w:sz="0" w:space="0" w:color="auto"/>
        <w:bottom w:val="none" w:sz="0" w:space="0" w:color="auto"/>
        <w:right w:val="none" w:sz="0" w:space="0" w:color="auto"/>
      </w:divBdr>
    </w:div>
    <w:div w:id="1487628354">
      <w:bodyDiv w:val="1"/>
      <w:marLeft w:val="0"/>
      <w:marRight w:val="0"/>
      <w:marTop w:val="0"/>
      <w:marBottom w:val="0"/>
      <w:divBdr>
        <w:top w:val="none" w:sz="0" w:space="0" w:color="auto"/>
        <w:left w:val="none" w:sz="0" w:space="0" w:color="auto"/>
        <w:bottom w:val="none" w:sz="0" w:space="0" w:color="auto"/>
        <w:right w:val="none" w:sz="0" w:space="0" w:color="auto"/>
      </w:divBdr>
    </w:div>
    <w:div w:id="1850872221">
      <w:bodyDiv w:val="1"/>
      <w:marLeft w:val="0"/>
      <w:marRight w:val="0"/>
      <w:marTop w:val="0"/>
      <w:marBottom w:val="0"/>
      <w:divBdr>
        <w:top w:val="none" w:sz="0" w:space="0" w:color="auto"/>
        <w:left w:val="none" w:sz="0" w:space="0" w:color="auto"/>
        <w:bottom w:val="none" w:sz="0" w:space="0" w:color="auto"/>
        <w:right w:val="none" w:sz="0" w:space="0" w:color="auto"/>
      </w:divBdr>
    </w:div>
    <w:div w:id="20869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eng@t-online.hu" TargetMode="External"/><Relationship Id="rId3" Type="http://schemas.openxmlformats.org/officeDocument/2006/relationships/settings" Target="settings.xml"/><Relationship Id="rId7" Type="http://schemas.openxmlformats.org/officeDocument/2006/relationships/hyperlink" Target="Mailto:o.glockler@sunport.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aea.org" TargetMode="External"/><Relationship Id="rId11" Type="http://schemas.openxmlformats.org/officeDocument/2006/relationships/theme" Target="theme/theme1.xml"/><Relationship Id="rId5" Type="http://schemas.openxmlformats.org/officeDocument/2006/relationships/hyperlink" Target="Mailto:V.Kolomiiets@iaea.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g.oscar.mignon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List Of Participants</vt:lpstr>
    </vt:vector>
  </TitlesOfParts>
  <Company>IAEA</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Participants</dc:title>
  <dc:creator>RIZK, Nasrin</dc:creator>
  <cp:lastModifiedBy>RIZK, Nasrin</cp:lastModifiedBy>
  <cp:revision>2</cp:revision>
  <dcterms:created xsi:type="dcterms:W3CDTF">2016-03-03T17:28:00Z</dcterms:created>
  <dcterms:modified xsi:type="dcterms:W3CDTF">2016-03-03T17:28:00Z</dcterms:modified>
</cp:coreProperties>
</file>