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EB" w:rsidRPr="005B0CEB" w:rsidRDefault="005B0CEB" w:rsidP="00337D29">
      <w:pPr>
        <w:pStyle w:val="NormalWeb"/>
        <w:shd w:val="clear" w:color="auto" w:fill="FFFFFF"/>
        <w:bidi/>
        <w:spacing w:before="120" w:beforeAutospacing="0" w:after="150" w:afterAutospacing="0"/>
        <w:jc w:val="lowKashida"/>
        <w:rPr>
          <w:rFonts w:ascii="BMitra" w:hAnsi="BMitra" w:cs="B Nazanin" w:hint="cs"/>
          <w:b/>
          <w:bCs/>
          <w:color w:val="333333"/>
          <w:sz w:val="32"/>
          <w:szCs w:val="32"/>
          <w:rtl/>
        </w:rPr>
      </w:pPr>
      <w:r w:rsidRPr="005B0CEB">
        <w:rPr>
          <w:rFonts w:ascii="BMitra" w:hAnsi="BMitra" w:cs="B Nazanin" w:hint="cs"/>
          <w:b/>
          <w:bCs/>
          <w:color w:val="333333"/>
          <w:sz w:val="32"/>
          <w:szCs w:val="32"/>
          <w:rtl/>
        </w:rPr>
        <w:t xml:space="preserve">راهبرد کلان </w:t>
      </w:r>
    </w:p>
    <w:p w:rsidR="00337D29" w:rsidRPr="00823E19" w:rsidRDefault="00337D29" w:rsidP="005B0CEB">
      <w:pPr>
        <w:pStyle w:val="NormalWeb"/>
        <w:shd w:val="clear" w:color="auto" w:fill="FFFFFF"/>
        <w:bidi/>
        <w:spacing w:before="120" w:beforeAutospacing="0" w:after="150" w:afterAutospacing="0"/>
        <w:jc w:val="lowKashida"/>
        <w:rPr>
          <w:rFonts w:ascii="BMitra" w:hAnsi="BMitra" w:cs="B Nazanin"/>
          <w:color w:val="333333"/>
          <w:sz w:val="30"/>
          <w:szCs w:val="28"/>
        </w:rPr>
      </w:pPr>
      <w:r w:rsidRPr="00823E19">
        <w:rPr>
          <w:rFonts w:ascii="BMitra" w:hAnsi="BMitra" w:cs="B Nazanin"/>
          <w:color w:val="333333"/>
          <w:sz w:val="30"/>
          <w:szCs w:val="28"/>
          <w:rtl/>
        </w:rPr>
        <w:t xml:space="preserve">بسترسازي براي بهره‌گيري موثر از قابليت‌هاي </w:t>
      </w:r>
      <w:r w:rsidRPr="00823E19">
        <w:rPr>
          <w:rFonts w:ascii="BMitra" w:hAnsi="BMitra" w:cs="B Nazanin" w:hint="cs"/>
          <w:color w:val="333333"/>
          <w:sz w:val="30"/>
          <w:szCs w:val="28"/>
          <w:rtl/>
        </w:rPr>
        <w:t xml:space="preserve">مشارکت حداکثری </w:t>
      </w:r>
      <w:r w:rsidRPr="00823E19">
        <w:rPr>
          <w:rFonts w:ascii="BMitra" w:hAnsi="BMitra" w:cs="B Nazanin"/>
          <w:color w:val="333333"/>
          <w:sz w:val="30"/>
          <w:szCs w:val="28"/>
          <w:rtl/>
        </w:rPr>
        <w:t xml:space="preserve"> از طريق تسهيل جذب سرمايه‌گذاري داخلي و خارجي و مشاركت‌هاي عمومي-خصوصي</w:t>
      </w:r>
      <w:r w:rsidRPr="00823E19">
        <w:rPr>
          <w:rFonts w:ascii="BMitra" w:hAnsi="BMitra" w:cs="B Nazanin" w:hint="cs"/>
          <w:color w:val="333333"/>
          <w:sz w:val="30"/>
          <w:szCs w:val="28"/>
          <w:rtl/>
        </w:rPr>
        <w:t xml:space="preserve"> و بورس و سایر روش های تامین مالی منابع پایدار برای توسعه نیروگاهی اتمی کشور </w:t>
      </w:r>
      <w:r w:rsidRPr="00823E19">
        <w:rPr>
          <w:rFonts w:ascii="BMitra" w:hAnsi="BMitra" w:cs="B Nazanin" w:hint="cs"/>
          <w:color w:val="FF0000"/>
          <w:sz w:val="30"/>
          <w:szCs w:val="28"/>
          <w:rtl/>
        </w:rPr>
        <w:t xml:space="preserve">بصورت متمرکز و غیر متمرکز </w:t>
      </w:r>
      <w:r w:rsidRPr="00823E19">
        <w:rPr>
          <w:rFonts w:ascii="BMitra" w:hAnsi="BMitra" w:cs="B Nazanin" w:hint="cs"/>
          <w:color w:val="333333"/>
          <w:sz w:val="30"/>
          <w:szCs w:val="28"/>
          <w:rtl/>
        </w:rPr>
        <w:t>به میزان ده هزار مگاوات</w:t>
      </w: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5B0CEB" w:rsidRDefault="005B0CEB" w:rsidP="005B0CEB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  <w:sectPr w:rsidR="005B0CEB" w:rsidSect="005B0CE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852F27" w:rsidRDefault="00852F27" w:rsidP="00823E19">
      <w:pPr>
        <w:bidi/>
        <w:spacing w:after="0"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tbl>
      <w:tblPr>
        <w:tblStyle w:val="TableGrid"/>
        <w:tblW w:w="5049" w:type="pct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7772"/>
        <w:gridCol w:w="5501"/>
        <w:gridCol w:w="6054"/>
        <w:gridCol w:w="1782"/>
      </w:tblGrid>
      <w:tr w:rsidR="00A842A5" w:rsidRPr="00823E19" w:rsidTr="00943E5C">
        <w:trPr>
          <w:trHeight w:val="454"/>
          <w:tblHeader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FFFFFF" w:themeFill="background1"/>
            <w:vAlign w:val="center"/>
          </w:tcPr>
          <w:p w:rsidR="00A842A5" w:rsidRPr="00943E5C" w:rsidRDefault="00A842A5" w:rsidP="00823E19">
            <w:pPr>
              <w:bidi/>
              <w:jc w:val="center"/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  <w:lang w:bidi="fa-IR"/>
              </w:rPr>
            </w:pPr>
            <w:r w:rsidRPr="00943E5C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>اهداف و راهبردهای کمیته تامین مالی و اقتصادی</w:t>
            </w:r>
          </w:p>
        </w:tc>
      </w:tr>
      <w:tr w:rsidR="00823E19" w:rsidRPr="00823E19" w:rsidTr="00943E5C">
        <w:trPr>
          <w:trHeight w:val="454"/>
          <w:tblHeader/>
          <w:jc w:val="center"/>
        </w:trPr>
        <w:tc>
          <w:tcPr>
            <w:tcW w:w="1841" w:type="pct"/>
            <w:tcBorders>
              <w:top w:val="single" w:sz="8" w:space="0" w:color="002060"/>
            </w:tcBorders>
            <w:shd w:val="clear" w:color="auto" w:fill="DEEAF6" w:themeFill="accent1" w:themeFillTint="33"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b/>
                <w:bCs/>
                <w:sz w:val="32"/>
                <w:szCs w:val="32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>سیاست‌های اجرایی</w:t>
            </w:r>
          </w:p>
        </w:tc>
        <w:tc>
          <w:tcPr>
            <w:tcW w:w="1303" w:type="pct"/>
            <w:tcBorders>
              <w:top w:val="single" w:sz="8" w:space="0" w:color="002060"/>
            </w:tcBorders>
            <w:shd w:val="clear" w:color="auto" w:fill="DEEAF6" w:themeFill="accent1" w:themeFillTint="33"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b/>
                <w:bCs/>
                <w:sz w:val="32"/>
                <w:szCs w:val="32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</w:rPr>
              <w:t>اهداف</w:t>
            </w:r>
          </w:p>
        </w:tc>
        <w:tc>
          <w:tcPr>
            <w:tcW w:w="1434" w:type="pct"/>
            <w:tcBorders>
              <w:top w:val="single" w:sz="8" w:space="0" w:color="002060"/>
            </w:tcBorders>
            <w:shd w:val="clear" w:color="auto" w:fill="DEEAF6" w:themeFill="accent1" w:themeFillTint="33"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  <w:lang w:bidi="fa-IR"/>
              </w:rPr>
              <w:t>راهبردها</w:t>
            </w:r>
          </w:p>
        </w:tc>
        <w:tc>
          <w:tcPr>
            <w:tcW w:w="422" w:type="pct"/>
            <w:tcBorders>
              <w:top w:val="single" w:sz="8" w:space="0" w:color="002060"/>
            </w:tcBorders>
            <w:shd w:val="clear" w:color="auto" w:fill="DEEAF6" w:themeFill="accent1" w:themeFillTint="33"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b/>
                <w:bCs/>
                <w:sz w:val="32"/>
                <w:szCs w:val="32"/>
                <w:rtl/>
                <w:lang w:bidi="fa-IR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32"/>
                <w:szCs w:val="32"/>
                <w:rtl/>
                <w:lang w:bidi="fa-IR"/>
              </w:rPr>
              <w:t>اهداف کلان</w:t>
            </w: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ارتقای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هماهنگی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درون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سازمانی،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درون‏بخشی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و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بین‏بخشی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برای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افزایش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کمیت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و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کیفیت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نیروگاه‌های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اتمی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کاهش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هزینه‏های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تولید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نیروگاه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اتمی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و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افزایش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سود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آوری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نیروگاه‌های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اتمی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فراهم‏سازی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مستقیم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و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غیر‏مستقیم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فرصت‏های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اقتصادی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کوتاهمدت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و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بلند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مدت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برای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افزایش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رشد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اقتصادی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کشور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و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بهبود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کیفیت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زندگی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شهروندان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از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طریق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پایدار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هسته‌ای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برای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آینده</w:t>
            </w:r>
          </w:p>
        </w:tc>
        <w:tc>
          <w:tcPr>
            <w:tcW w:w="422" w:type="pct"/>
            <w:vMerge w:val="restart"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/>
                <w:b/>
                <w:bCs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</w:rPr>
              <w:t>کارآمدی ساختارهای اقتصادی توسعه نیروگاهی هسته‌ای کشور</w:t>
            </w:r>
          </w:p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مسئولیت‏پذیری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اجتماعی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مشارکت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در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نیروگاه‌های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اتمی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</w:rPr>
              <w:t>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رتقاء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ترویج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جایگاه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اقتصاد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هسته‌ای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بین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مردم</w:t>
            </w:r>
          </w:p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823E19">
              <w:rPr>
                <w:rFonts w:ascii="Times New Roman" w:hAnsi="Times New Roman" w:cs="B Mitra"/>
                <w:sz w:val="28"/>
                <w:szCs w:val="28"/>
                <w:rtl/>
              </w:rPr>
              <w:t>تدو</w:t>
            </w:r>
            <w:r w:rsidRPr="00823E19">
              <w:rPr>
                <w:rFonts w:ascii="Times New Roman" w:hAnsi="Times New Roman" w:cs="B Mitra" w:hint="cs"/>
                <w:sz w:val="28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8"/>
                <w:szCs w:val="28"/>
                <w:rtl/>
              </w:rPr>
              <w:t>ن</w:t>
            </w:r>
            <w:r w:rsidRPr="00823E19">
              <w:rPr>
                <w:rFonts w:ascii="Times New Roman" w:hAnsi="Times New Roman" w:cs="B Mitra"/>
                <w:sz w:val="28"/>
                <w:szCs w:val="28"/>
                <w:rtl/>
              </w:rPr>
              <w:t xml:space="preserve"> الگو</w:t>
            </w:r>
            <w:r w:rsidRPr="00823E19">
              <w:rPr>
                <w:rFonts w:ascii="Times New Roman" w:hAnsi="Times New Roman" w:cs="B Mitra" w:hint="cs"/>
                <w:sz w:val="28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8"/>
                <w:szCs w:val="28"/>
                <w:rtl/>
              </w:rPr>
              <w:t xml:space="preserve"> مشارکت  مردم</w:t>
            </w:r>
            <w:r w:rsidRPr="00823E19">
              <w:rPr>
                <w:rFonts w:ascii="Times New Roman" w:hAnsi="Times New Roman" w:cs="B Mitra" w:hint="cs"/>
                <w:sz w:val="28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8"/>
                <w:szCs w:val="28"/>
                <w:rtl/>
              </w:rPr>
              <w:t xml:space="preserve"> در قالب اقتصاد توانم</w:t>
            </w:r>
            <w:r w:rsidRPr="00823E19">
              <w:rPr>
                <w:rFonts w:ascii="Times New Roman" w:hAnsi="Times New Roman" w:cs="B Mitra" w:hint="cs"/>
                <w:sz w:val="28"/>
                <w:szCs w:val="28"/>
                <w:rtl/>
              </w:rPr>
              <w:t>ن</w:t>
            </w:r>
            <w:r w:rsidRPr="00823E19">
              <w:rPr>
                <w:rFonts w:ascii="Times New Roman" w:hAnsi="Times New Roman" w:cs="B Mitra"/>
                <w:sz w:val="28"/>
                <w:szCs w:val="28"/>
                <w:rtl/>
              </w:rPr>
              <w:t>د</w:t>
            </w:r>
          </w:p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823E19">
              <w:rPr>
                <w:rFonts w:ascii="Times New Roman" w:hAnsi="Times New Roman" w:cs="B Mitra" w:hint="cs"/>
                <w:sz w:val="28"/>
                <w:szCs w:val="28"/>
                <w:rtl/>
              </w:rPr>
              <w:t xml:space="preserve">ایجاد </w:t>
            </w:r>
            <w:r w:rsidRPr="00823E19">
              <w:rPr>
                <w:rFonts w:ascii="Times New Roman" w:hAnsi="Times New Roman" w:cs="B Mitra"/>
                <w:sz w:val="28"/>
                <w:szCs w:val="28"/>
                <w:rtl/>
              </w:rPr>
              <w:t>بستر</w:t>
            </w:r>
            <w:r w:rsidRPr="00823E19">
              <w:rPr>
                <w:rFonts w:ascii="Times New Roman" w:hAnsi="Times New Roman" w:cs="B Mitra" w:hint="cs"/>
                <w:sz w:val="28"/>
                <w:szCs w:val="28"/>
                <w:rtl/>
              </w:rPr>
              <w:t xml:space="preserve">های </w:t>
            </w:r>
            <w:r w:rsidRPr="00823E19">
              <w:rPr>
                <w:rFonts w:ascii="Times New Roman" w:hAnsi="Times New Roman" w:cs="B Mitra"/>
                <w:sz w:val="28"/>
                <w:szCs w:val="28"/>
                <w:rtl/>
              </w:rPr>
              <w:t>لازم برا</w:t>
            </w:r>
            <w:r w:rsidRPr="00823E19">
              <w:rPr>
                <w:rFonts w:ascii="Times New Roman" w:hAnsi="Times New Roman" w:cs="B Mitra" w:hint="cs"/>
                <w:sz w:val="28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8"/>
                <w:szCs w:val="28"/>
                <w:rtl/>
              </w:rPr>
              <w:t xml:space="preserve"> حر</w:t>
            </w:r>
            <w:bookmarkStart w:id="0" w:name="_GoBack"/>
            <w:bookmarkEnd w:id="0"/>
            <w:r w:rsidRPr="00823E19">
              <w:rPr>
                <w:rFonts w:ascii="Times New Roman" w:hAnsi="Times New Roman" w:cs="B Mitra"/>
                <w:sz w:val="28"/>
                <w:szCs w:val="28"/>
                <w:rtl/>
              </w:rPr>
              <w:t>کت به سمت مشارکت عموم</w:t>
            </w:r>
            <w:r w:rsidRPr="00823E19">
              <w:rPr>
                <w:rFonts w:ascii="Times New Roman" w:hAnsi="Times New Roman" w:cs="B Mitra" w:hint="cs"/>
                <w:sz w:val="28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8"/>
                <w:szCs w:val="28"/>
                <w:rtl/>
              </w:rPr>
              <w:t xml:space="preserve"> تام</w:t>
            </w:r>
            <w:r w:rsidRPr="00823E19">
              <w:rPr>
                <w:rFonts w:ascii="Times New Roman" w:hAnsi="Times New Roman" w:cs="B Mitra" w:hint="cs"/>
                <w:sz w:val="28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8"/>
                <w:szCs w:val="28"/>
                <w:rtl/>
              </w:rPr>
              <w:t>ن</w:t>
            </w:r>
            <w:r w:rsidRPr="00823E19">
              <w:rPr>
                <w:rFonts w:ascii="Times New Roman" w:hAnsi="Times New Roman" w:cs="B Mitra"/>
                <w:sz w:val="28"/>
                <w:szCs w:val="28"/>
                <w:rtl/>
              </w:rPr>
              <w:t xml:space="preserve"> مال</w:t>
            </w:r>
            <w:r w:rsidRPr="00823E19">
              <w:rPr>
                <w:rFonts w:ascii="Times New Roman" w:hAnsi="Times New Roman" w:cs="B Mitra" w:hint="cs"/>
                <w:sz w:val="28"/>
                <w:szCs w:val="28"/>
                <w:rtl/>
              </w:rPr>
              <w:t>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</w:rPr>
              <w:t>ارتقاء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</w:rPr>
              <w:t>جایگاه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</w:rPr>
              <w:t>نیروگاه‌سازی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</w:rPr>
              <w:t>اتمی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</w:rPr>
              <w:t>ایران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</w:rPr>
              <w:t>به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</w:rPr>
              <w:t>جایگاه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</w:rPr>
              <w:t>نخست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highlight w:val="yellow"/>
                <w:rtl/>
              </w:rPr>
              <w:t>خاورمیانه</w:t>
            </w: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وجود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محیطی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امن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و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ایمن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با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محیط‏زیستی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پایدار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در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حوزه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از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طریق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هسته‌ای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با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ظرفیت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صرفه‌جویی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در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انرژی‌های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فسیلی</w:t>
            </w: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823E19" w:rsidRPr="00823E19" w:rsidTr="00943E5C">
        <w:trPr>
          <w:trHeight w:val="1304"/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استفاده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از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ظرفیت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دیپلماسی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اقتصادی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برای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نیروگاه‌های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هسته‌ای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در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کشور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میزبانی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فعالیت‏های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اقتصادی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ارزش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افزوده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بالا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اشتغال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پایدار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دارای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اثرات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هم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افزایی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قالب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خوشه‌های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نیروگاه‌های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اتمی</w:t>
            </w: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حکمرانی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خوب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اقتصاد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هسته‌ای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برای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ایفای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نقش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مطلوب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اقتصادی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در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سطح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ملی،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منطقه‏ای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و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بین‏المللی</w:t>
            </w: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823E19" w:rsidRPr="00823E19" w:rsidTr="00943E5C">
        <w:trPr>
          <w:trHeight w:val="964"/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بهبود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فرایند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نیروگاههای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اتمی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محور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شدن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سازمان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اتمی ایران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برق کشور با فناوری هسته‌ای</w:t>
            </w:r>
          </w:p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ایفای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نقش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رهبری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حوزه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پاک</w:t>
            </w: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</w:pP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تعامل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با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ذی‏نفعان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در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چارچوب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الگوی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مدیریت</w:t>
            </w:r>
            <w:r w:rsidRPr="00823E19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</w:rPr>
              <w:t>ذی‏نفعان</w:t>
            </w: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بورسی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شفاف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نمودن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اقتصاد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نیروگاه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هسته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اصلاح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ساختارها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فراهم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نمودن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ترتیبات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نهادی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نیروگاههای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اتمی</w:t>
            </w: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مشارکت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فعال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اقتصادی،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ایجاد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اشتغال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افزایش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کیفیت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زندگی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شهروندان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بواسطه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استفاده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از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پاک</w:t>
            </w: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ایجاد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یکپارچگی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دستگاهی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پایدار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ایجاد،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بهبود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زیرساختهای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تجاری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فروش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هسته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</w:t>
            </w: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>تعامل مستمر و سرما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گذار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مشترک صنعت و انرژ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هسته 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برا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تام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مال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پا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دار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برق واحد ها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صنعت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از طر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برق هسته 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تقویت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همکاری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ذی‏نفعان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دولتی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خصوصی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حوزه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ایمنی،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امنیت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محیط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زیست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افزایش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سهم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اقتصاد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هسته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رشد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اقتصادی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کشور</w:t>
            </w: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>توسعه نظام مد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ر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ز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ست‏مح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ط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در تطابق با استاندارها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روزآمد ب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ن‏الملل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در چارچوب بهبود مستمر ز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ست‏مح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ط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و عدم استفاده از سوخت فس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ل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پیاده‌سازی الگوی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«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پاک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نیازمند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جامعه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بدون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نفت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فردا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»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منظور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رفع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تعارض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صلاحیت‏ها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دستگاه‏های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اجرایی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فعال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تعیین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جرایم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ضمانت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اجراهای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لازم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جهت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انجام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وظایف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ماموریت‏ها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هوای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پاک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عدم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استفاده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از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پاک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هسته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فراهم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نمودن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زمینه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حکمرانی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شرکتی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بخش‏های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اقتصاد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هسته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ای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>بازتعر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ف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نقش اقتصاد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سازمان انرژ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اتم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 xml:space="preserve">ی در راستای ارتقای نقش حاکمیتی 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فضای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حرفه‏ای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سایر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نهادها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ارگان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تدوین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برنامه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اقتصاد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کشوری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طراحی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استقرار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مدل‏های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نوین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فروش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هسته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رویکرد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اقتصادی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تعرفه‏گذاری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منعطف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رقابتی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مشارکت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سایر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بخش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پاک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کشور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lastRenderedPageBreak/>
              <w:t>تدوین الزامات تولید انرژی پاک در کشور، از طریق تامین انرژی با فناوری هسته‌ای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ذخیره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سوخت‌های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فسیلی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 xml:space="preserve">افزایش 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>مشارکت بخش خصوص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و سرما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گذار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خارج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و انتقال تجربه و فناور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بازتعریف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قیمت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تمام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شده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لحاظ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صرفه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جویی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سوخت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تدوین ساز و کار فروش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هسته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خارج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از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کشور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(صادرات برق) با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مدیریت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سازمان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اتمی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صورت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یکپارچه‏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تدوین مدل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مدیریتی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بهره‏مندی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از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ظرفیتهای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قانونی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حقوقی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مناطق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آزاد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ویژه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اقتصادی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برای توسعه نیروگاه‌های هسته‌ای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سطح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زنجیره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 مالی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کاربرد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الگوهای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تأمین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المللی</w:t>
            </w: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نیروگاه‌های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اتمی از طریق ایجاد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فرصت‏های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تأمین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دسترس،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اقتصادی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پایدار</w:t>
            </w:r>
          </w:p>
        </w:tc>
        <w:tc>
          <w:tcPr>
            <w:tcW w:w="422" w:type="pct"/>
            <w:vMerge w:val="restart"/>
            <w:textDirection w:val="tbRl"/>
            <w:vAlign w:val="center"/>
          </w:tcPr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 مالی پایدار احداث و بهره‌برداری نیروگاه‌های هسته ای</w:t>
            </w:r>
          </w:p>
          <w:p w:rsidR="00823E19" w:rsidRPr="00823E19" w:rsidRDefault="00823E19" w:rsidP="00823E19">
            <w:pPr>
              <w:bidi/>
              <w:ind w:left="113" w:right="113"/>
              <w:jc w:val="center"/>
              <w:rPr>
                <w:rFonts w:ascii="Times New Roman" w:hAnsi="Times New Roman" w:cs="B Mitra"/>
                <w:sz w:val="24"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برقراری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نظام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پایدار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نیروگاه‌های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اتمی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ارتقاء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همکاری‏های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فنی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اقتصادی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سطح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منطقه‏ای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بین‏المللی</w:t>
            </w: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 xml:space="preserve">ایجاد 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س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ستم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ها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تام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مال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 xml:space="preserve">ی مطمئن 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با استفاده از ظرف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ها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قانون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 و ارتقای مستمر آن</w:t>
            </w:r>
          </w:p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حداکثر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سازی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مشارکت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دولت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تأمین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پروژه</w:t>
            </w:r>
            <w:r w:rsidRPr="00823E19">
              <w:rPr>
                <w:rFonts w:ascii="Times New Roman" w:hAnsi="Times New Roman" w:cs="Cambria" w:hint="eastAsia"/>
                <w:sz w:val="24"/>
                <w:szCs w:val="28"/>
                <w:rtl/>
              </w:rPr>
              <w:t>­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هاي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زیرساختی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غیر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جذاب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براي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بخش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خصوصی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ایجاد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مشوق‏ها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تضمین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سرمایه‏گذاري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براي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افزایش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مشارکت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بخش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خصوصی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>(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داخلی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بین‏المللی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)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تأمین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پروژه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زیرساختی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توسعه‏ای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در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حوزه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نیروگاههای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اتمی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ارتقاء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توسعه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تسهیل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مبادله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اطلاعات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مدلهای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مختلف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>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جاد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بستر مناسب برا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تدو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ن،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نظارت و اعمال ضمانت اجرا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تام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  <w:r w:rsidRPr="00823E19">
              <w:rPr>
                <w:rFonts w:ascii="Times New Roman" w:hAnsi="Times New Roman" w:cs="B Mitra" w:hint="eastAsia"/>
                <w:sz w:val="24"/>
                <w:szCs w:val="28"/>
                <w:rtl/>
              </w:rPr>
              <w:t>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مال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ورود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بازارهای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از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طریق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مشارک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جمعی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مثل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بازار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بورس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-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صندوق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پروژه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...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ارتقای نقش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روش‌های 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نوین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استفاده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از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فاینانس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یوزانس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جلب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مشارکت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شرکت‏های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چندملیتی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سودآوری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بیشتر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ساخت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نیروگاه‌ها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تمرکز برایجاد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خوشه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cs/>
              </w:rPr>
              <w:t>‎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‏های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از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طرق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مدل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سرمایه‌گذاری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 xml:space="preserve">مختلف 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>(</w:t>
            </w:r>
            <w:r w:rsidRPr="00823E19">
              <w:rPr>
                <w:rFonts w:ascii="Times New Roman" w:hAnsi="Times New Roman" w:cs="B Mitra"/>
                <w:sz w:val="24"/>
                <w:szCs w:val="28"/>
              </w:rPr>
              <w:t>BOT_BOO_BLT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)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ایجاد مکانیزم‏های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لازم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برای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 از طریق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بورس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سایر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روش‌های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تامین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مالی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اوراق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بدهی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تدوین و اجرای مدل‏ها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ابزارهای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متناسب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جذب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سرمایه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از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طریق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شرکت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انرژی</w:t>
            </w:r>
            <w:r w:rsidRPr="00823E19">
              <w:rPr>
                <w:rFonts w:ascii="Times New Roman" w:hAnsi="Times New Roman" w:cs="B Mitra"/>
                <w:sz w:val="24"/>
                <w:szCs w:val="28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rtl/>
              </w:rPr>
              <w:t>نوین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  <w:tr w:rsidR="00823E19" w:rsidRPr="00823E19" w:rsidTr="00943E5C">
        <w:trPr>
          <w:trHeight w:val="2111"/>
          <w:jc w:val="center"/>
        </w:trPr>
        <w:tc>
          <w:tcPr>
            <w:tcW w:w="1841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</w:pP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ایجاد بستر مناسب برای سرمايه‌گذاران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خارجي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همانند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سرمايه‌گذاران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داخليجهت استفاده از تمامي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مزاياي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تضامين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حمايت‌هاي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قانون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(سرمايه‌گذاران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خارجي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كه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علاقمند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به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استفاده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از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مزايا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حمايت‌هاي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«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قانون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تشويق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حمايت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سرمايه‌گذاري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خارجي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مصوب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  <w:lang w:bidi="fa-IR"/>
              </w:rPr>
              <w:t xml:space="preserve">۱۳۸۱»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و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اصلاحات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بعدي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آن</w:t>
            </w:r>
            <w:r w:rsidRPr="00823E19">
              <w:rPr>
                <w:rFonts w:ascii="Times New Roman" w:hAnsi="Times New Roman" w:cs="B Mitra"/>
                <w:sz w:val="24"/>
                <w:szCs w:val="28"/>
                <w:highlight w:val="yellow"/>
                <w:rtl/>
              </w:rPr>
              <w:t xml:space="preserve"> </w:t>
            </w:r>
            <w:r w:rsidRPr="00823E19">
              <w:rPr>
                <w:rFonts w:ascii="Times New Roman" w:hAnsi="Times New Roman" w:cs="B Mitra" w:hint="cs"/>
                <w:sz w:val="24"/>
                <w:szCs w:val="28"/>
                <w:highlight w:val="yellow"/>
                <w:rtl/>
              </w:rPr>
              <w:t>هستند)</w:t>
            </w:r>
          </w:p>
        </w:tc>
        <w:tc>
          <w:tcPr>
            <w:tcW w:w="1303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  <w:p w:rsidR="00823E19" w:rsidRPr="00823E19" w:rsidRDefault="00823E19" w:rsidP="00823E19">
            <w:pPr>
              <w:bidi/>
              <w:rPr>
                <w:rFonts w:ascii="Times New Roman" w:hAnsi="Times New Roman" w:cs="B Mitra"/>
                <w:sz w:val="24"/>
                <w:szCs w:val="28"/>
              </w:rPr>
            </w:pPr>
          </w:p>
        </w:tc>
        <w:tc>
          <w:tcPr>
            <w:tcW w:w="1434" w:type="pct"/>
            <w:vAlign w:val="center"/>
          </w:tcPr>
          <w:p w:rsidR="00823E19" w:rsidRPr="00823E19" w:rsidRDefault="00823E19" w:rsidP="00823E19">
            <w:pPr>
              <w:bidi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  <w:tc>
          <w:tcPr>
            <w:tcW w:w="422" w:type="pct"/>
            <w:vMerge/>
            <w:vAlign w:val="center"/>
          </w:tcPr>
          <w:p w:rsidR="00823E19" w:rsidRPr="00823E19" w:rsidRDefault="00823E19" w:rsidP="00823E19">
            <w:pPr>
              <w:bidi/>
              <w:jc w:val="center"/>
              <w:rPr>
                <w:rFonts w:ascii="Times New Roman" w:hAnsi="Times New Roman" w:cs="B Mitra" w:hint="cs"/>
                <w:sz w:val="24"/>
                <w:szCs w:val="28"/>
                <w:rtl/>
              </w:rPr>
            </w:pPr>
          </w:p>
        </w:tc>
      </w:tr>
    </w:tbl>
    <w:p w:rsidR="00823E19" w:rsidRDefault="00823E19" w:rsidP="00823E19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  <w:sectPr w:rsidR="00823E19" w:rsidSect="005B0CEB">
          <w:pgSz w:w="23814" w:h="16839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:rsidR="00823E19" w:rsidRPr="00525302" w:rsidRDefault="00823E19" w:rsidP="00823E19">
      <w:pPr>
        <w:pStyle w:val="NormalWeb"/>
        <w:shd w:val="clear" w:color="auto" w:fill="FFFFFF"/>
        <w:bidi/>
        <w:spacing w:before="120" w:beforeAutospacing="0" w:after="150" w:afterAutospacing="0"/>
        <w:jc w:val="mediumKashida"/>
        <w:rPr>
          <w:rFonts w:ascii="BMitra" w:hAnsi="BMitra" w:cs="B Nazanin"/>
          <w:color w:val="333333"/>
          <w:sz w:val="32"/>
          <w:szCs w:val="32"/>
        </w:rPr>
      </w:pPr>
      <w:r w:rsidRPr="00367F4A">
        <w:rPr>
          <w:rFonts w:ascii="BMitra" w:hAnsi="BMitra" w:cs="B Nazanin" w:hint="cs"/>
          <w:color w:val="333333"/>
          <w:sz w:val="32"/>
          <w:szCs w:val="32"/>
          <w:highlight w:val="cyan"/>
          <w:rtl/>
        </w:rPr>
        <w:lastRenderedPageBreak/>
        <w:t>سازمان</w:t>
      </w:r>
      <w:r w:rsidRPr="00367F4A">
        <w:rPr>
          <w:rFonts w:ascii="BMitra" w:hAnsi="BMitra" w:cs="B Nazanin"/>
          <w:color w:val="333333"/>
          <w:sz w:val="32"/>
          <w:szCs w:val="32"/>
          <w:highlight w:val="cyan"/>
          <w:rtl/>
        </w:rPr>
        <w:t xml:space="preserve"> مكلف است حداكثر ظرف مدت دو (2) ماه پس از لازم‌الاجرا شدن اين </w:t>
      </w:r>
      <w:r w:rsidRPr="00367F4A">
        <w:rPr>
          <w:rFonts w:ascii="BMitra" w:hAnsi="BMitra" w:cs="B Nazanin" w:hint="cs"/>
          <w:color w:val="333333"/>
          <w:sz w:val="32"/>
          <w:szCs w:val="32"/>
          <w:highlight w:val="cyan"/>
          <w:rtl/>
        </w:rPr>
        <w:t>سند</w:t>
      </w:r>
      <w:r w:rsidRPr="00367F4A">
        <w:rPr>
          <w:rFonts w:ascii="BMitra" w:hAnsi="BMitra" w:cs="B Nazanin"/>
          <w:color w:val="333333"/>
          <w:sz w:val="32"/>
          <w:szCs w:val="32"/>
          <w:highlight w:val="cyan"/>
          <w:rtl/>
        </w:rPr>
        <w:t xml:space="preserve">، نسبت به اعلان عمومي و برخط فرصت‌هاي سرمايه‌گذاري و مشاركت </w:t>
      </w:r>
      <w:r w:rsidRPr="00367F4A">
        <w:rPr>
          <w:rFonts w:ascii="BMitra" w:hAnsi="BMitra" w:cs="B Nazanin" w:hint="cs"/>
          <w:color w:val="333333"/>
          <w:sz w:val="32"/>
          <w:szCs w:val="32"/>
          <w:highlight w:val="cyan"/>
          <w:rtl/>
        </w:rPr>
        <w:t>را</w:t>
      </w:r>
      <w:r w:rsidRPr="00367F4A">
        <w:rPr>
          <w:rFonts w:ascii="BMitra" w:hAnsi="BMitra" w:cs="B Nazanin"/>
          <w:color w:val="333333"/>
          <w:sz w:val="32"/>
          <w:szCs w:val="32"/>
          <w:highlight w:val="cyan"/>
          <w:rtl/>
        </w:rPr>
        <w:t xml:space="preserve"> در وب‌سايت شفافيت، شامل اطلاعات </w:t>
      </w:r>
      <w:r w:rsidRPr="00367F4A">
        <w:rPr>
          <w:rFonts w:ascii="BMitra" w:hAnsi="BMitra" w:cs="B Nazanin" w:hint="cs"/>
          <w:color w:val="333333"/>
          <w:sz w:val="32"/>
          <w:szCs w:val="32"/>
          <w:highlight w:val="cyan"/>
          <w:rtl/>
        </w:rPr>
        <w:t>کامل</w:t>
      </w:r>
      <w:r w:rsidRPr="00367F4A">
        <w:rPr>
          <w:rFonts w:ascii="BMitra" w:hAnsi="BMitra" w:cs="B Nazanin"/>
          <w:color w:val="333333"/>
          <w:sz w:val="32"/>
          <w:szCs w:val="32"/>
          <w:highlight w:val="cyan"/>
          <w:rtl/>
        </w:rPr>
        <w:t xml:space="preserve"> به نحوي كه هر ماه به روز رساني گردد، اقدام نمايد</w:t>
      </w:r>
    </w:p>
    <w:p w:rsidR="00823E19" w:rsidRDefault="00823E19" w:rsidP="00823E19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823E19" w:rsidRDefault="00823E19" w:rsidP="00823E19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p w:rsidR="00823E19" w:rsidRDefault="00823E19" w:rsidP="00823E19">
      <w:pPr>
        <w:bidi/>
        <w:jc w:val="center"/>
        <w:rPr>
          <w:rFonts w:ascii="Times New Roman" w:hAnsi="Times New Roman" w:cs="B Mitra"/>
          <w:b/>
          <w:bCs/>
          <w:sz w:val="24"/>
          <w:szCs w:val="44"/>
          <w:rtl/>
        </w:rPr>
      </w:pPr>
    </w:p>
    <w:sectPr w:rsidR="00823E19" w:rsidSect="00823E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27"/>
    <w:rsid w:val="0000012C"/>
    <w:rsid w:val="000167EE"/>
    <w:rsid w:val="000A33D9"/>
    <w:rsid w:val="00175DF3"/>
    <w:rsid w:val="001A19B5"/>
    <w:rsid w:val="00264315"/>
    <w:rsid w:val="00337D29"/>
    <w:rsid w:val="00370A0A"/>
    <w:rsid w:val="00375690"/>
    <w:rsid w:val="003765D3"/>
    <w:rsid w:val="00420041"/>
    <w:rsid w:val="004340E9"/>
    <w:rsid w:val="004C0390"/>
    <w:rsid w:val="004C6C03"/>
    <w:rsid w:val="00542A35"/>
    <w:rsid w:val="00574877"/>
    <w:rsid w:val="005B0CEB"/>
    <w:rsid w:val="006B337C"/>
    <w:rsid w:val="006D6D48"/>
    <w:rsid w:val="006F240F"/>
    <w:rsid w:val="007F0F6A"/>
    <w:rsid w:val="00820C0C"/>
    <w:rsid w:val="00823E19"/>
    <w:rsid w:val="00852F27"/>
    <w:rsid w:val="00943E5C"/>
    <w:rsid w:val="009575F8"/>
    <w:rsid w:val="009E1D38"/>
    <w:rsid w:val="00A71457"/>
    <w:rsid w:val="00A842A5"/>
    <w:rsid w:val="00AF520D"/>
    <w:rsid w:val="00B31E65"/>
    <w:rsid w:val="00B33CEB"/>
    <w:rsid w:val="00C17A23"/>
    <w:rsid w:val="00CD09EF"/>
    <w:rsid w:val="00CF653B"/>
    <w:rsid w:val="00E013A0"/>
    <w:rsid w:val="00E7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BACAFF-00C1-493E-9F99-4E521211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CFC7-0198-4C0A-AE17-936EB2B2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29</cp:revision>
  <dcterms:created xsi:type="dcterms:W3CDTF">2022-01-30T10:48:00Z</dcterms:created>
  <dcterms:modified xsi:type="dcterms:W3CDTF">2022-01-30T14:07:00Z</dcterms:modified>
</cp:coreProperties>
</file>