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32D" w:rsidRPr="00985AB7" w:rsidRDefault="0036432D" w:rsidP="0036432D">
      <w:pPr>
        <w:spacing w:after="200" w:line="276" w:lineRule="auto"/>
        <w:rPr>
          <w:b/>
          <w:lang w:eastAsia="ja-JP"/>
        </w:rPr>
      </w:pPr>
      <w:r>
        <w:rPr>
          <w:rFonts w:eastAsia="Batang"/>
          <w:b/>
          <w:bCs/>
          <w:lang w:val="en"/>
        </w:rPr>
        <w:t xml:space="preserve">IGALL </w:t>
      </w:r>
      <w:r w:rsidRPr="00985AB7">
        <w:rPr>
          <w:rFonts w:eastAsia="Batang"/>
          <w:b/>
          <w:bCs/>
          <w:lang w:val="en"/>
        </w:rPr>
        <w:t>PROGRAMME TERMS OF REFERENCE</w:t>
      </w:r>
    </w:p>
    <w:p w:rsidR="0036432D" w:rsidRPr="00F42C74" w:rsidRDefault="0036432D" w:rsidP="0036432D">
      <w:pPr>
        <w:shd w:val="clear" w:color="auto" w:fill="FFFFFF"/>
        <w:jc w:val="center"/>
        <w:rPr>
          <w:rFonts w:eastAsia="Batang"/>
          <w:b/>
          <w:bCs/>
          <w:lang w:val="en"/>
        </w:rPr>
      </w:pPr>
    </w:p>
    <w:p w:rsidR="0036432D" w:rsidRPr="00F42C74" w:rsidRDefault="0036432D" w:rsidP="0036432D">
      <w:pPr>
        <w:shd w:val="clear" w:color="auto" w:fill="FFFFFF"/>
        <w:spacing w:before="100" w:after="100"/>
        <w:outlineLvl w:val="0"/>
        <w:rPr>
          <w:rFonts w:eastAsia="Batang"/>
          <w:b/>
          <w:bCs/>
          <w:szCs w:val="22"/>
        </w:rPr>
      </w:pPr>
      <w:r w:rsidRPr="00F42C74">
        <w:rPr>
          <w:rFonts w:eastAsia="Batang"/>
          <w:b/>
          <w:bCs/>
          <w:szCs w:val="22"/>
        </w:rPr>
        <w:t>1. Background</w:t>
      </w:r>
    </w:p>
    <w:p w:rsidR="0036432D" w:rsidRPr="00CC4B88" w:rsidRDefault="0036432D" w:rsidP="0036432D">
      <w:pPr>
        <w:pStyle w:val="TecDocBodyText"/>
        <w:widowControl/>
        <w:spacing w:after="0"/>
        <w:ind w:firstLine="0"/>
      </w:pPr>
      <w:r w:rsidRPr="00CC4B88">
        <w:t>According to the IAEA Safety Standards [1], “the design for a nuclear power plant shall take due account of ageing and wear out effects in all operational states for which a component is credited, including testing, maintenance, maintenance outages, plant states during a postulated initiating event and plant states following a postulated initiating event.” Also</w:t>
      </w:r>
      <w:r>
        <w:t>,</w:t>
      </w:r>
      <w:r w:rsidRPr="00CC4B88">
        <w:t xml:space="preserve"> according to the IAEA Safety Standards, “The operating organization shall ensure that an effective ageing management programme is implemented to ensure that required safety functions of systems, structures and components are fulfilled over the entire operating lifetime of the plant” [2]. Data on operating experience can be collected and retained for use as input for the management of plant ageing.</w:t>
      </w:r>
    </w:p>
    <w:p w:rsidR="0036432D" w:rsidRPr="00CC4B88" w:rsidRDefault="0036432D" w:rsidP="0036432D">
      <w:pPr>
        <w:pStyle w:val="TecDocBodyText"/>
        <w:widowControl/>
        <w:spacing w:after="0"/>
        <w:ind w:firstLine="0"/>
      </w:pPr>
      <w:r w:rsidRPr="00CC4B88">
        <w:t>Systematic ageing management provides for the availability of safety functions throughout the service life of the plant and decommissioning, taking into account changes that occur with time and use. This requires addressing both physical ageing of systems, structures and components (SSCs), which results in degradation of their performance characteristics, and obsolescence of SSCs, i.e. their becoming out of date in comparison with current knowledge, standards and regulations, and technology [3]. Effective ageing management throughout the service life of an SSC requires the use of a systematic approach that provides a framework for coordinating all programmes and activities relating to the understanding, prevention, detection, monitoring and mitigation of ageing effects on the plant components or structures and includes maintenance, in-service inspection, testing, and surveillance, as well as operations, technical support programmes (including analysis of any ageing effects and degradation mechanisms) and external programmes such as research and development [3–5].</w:t>
      </w:r>
    </w:p>
    <w:p w:rsidR="0036432D" w:rsidRPr="00CC4B88" w:rsidRDefault="0036432D" w:rsidP="0036432D">
      <w:pPr>
        <w:pStyle w:val="TecDocBodyText"/>
        <w:widowControl/>
        <w:spacing w:after="0"/>
        <w:ind w:firstLine="0"/>
      </w:pPr>
      <w:r w:rsidRPr="00CC4B88">
        <w:t>The IAEA started to develop guidance on the safety aspects of ageing management in the 1990s [6]. Subsequently</w:t>
      </w:r>
      <w:r>
        <w:t>,</w:t>
      </w:r>
      <w:r w:rsidRPr="00CC4B88">
        <w:t xml:space="preserve"> </w:t>
      </w:r>
      <w:r>
        <w:t>many</w:t>
      </w:r>
      <w:r w:rsidRPr="00CC4B88">
        <w:t xml:space="preserve"> reports on the subject were published, providing general methodological guidance [7–9], as well as specific guidance for selected major nuclear power plant structures and components, such as reactor vessels, reactor internals, piping, steam generators, containment, etc. [10–20]. </w:t>
      </w:r>
    </w:p>
    <w:p w:rsidR="0036432D" w:rsidRPr="00CC4B88" w:rsidRDefault="0036432D" w:rsidP="0036432D">
      <w:pPr>
        <w:pStyle w:val="TecDocBodyText"/>
        <w:widowControl/>
        <w:spacing w:after="0"/>
        <w:ind w:firstLine="0"/>
      </w:pPr>
      <w:r w:rsidRPr="00CC4B88">
        <w:t xml:space="preserve">In recent decades, the number of IAEA Member States giving high priority to continuing the operation of nuclear power plants beyond the time frame originally anticipated (typically 30–40 years) has steadily increased. Recognizing the need to assist its Member States in dealing with the unique challenges associated with long term operation (LTO), the IAEA conducted the </w:t>
      </w:r>
      <w:proofErr w:type="spellStart"/>
      <w:r w:rsidRPr="00CC4B88">
        <w:t>Extrabudgetary</w:t>
      </w:r>
      <w:proofErr w:type="spellEnd"/>
      <w:r w:rsidRPr="00CC4B88">
        <w:t xml:space="preserve"> Programme on Safety Aspects of Long Term Operation of Water Moderated Reactors in 2003–2006 [21]. The outcome of the programme was consolidated in a Safety Report on Safe Long Term Operation of Nuclear Power Plants [22]. Ageing management is one of the focal points of Refs [21, 22].</w:t>
      </w:r>
    </w:p>
    <w:p w:rsidR="0036432D" w:rsidRPr="00CC4B88" w:rsidRDefault="0036432D" w:rsidP="0036432D">
      <w:pPr>
        <w:pStyle w:val="TecDocBodyText"/>
        <w:widowControl/>
        <w:spacing w:after="0"/>
        <w:ind w:firstLine="0"/>
      </w:pPr>
      <w:r w:rsidRPr="00CC4B88">
        <w:t>General recommendations on methodology, key elements and implementation of the effective ageing management programmes (AMPs) for SSCs important to safety of nuclear power plants are provided in the IAEA Safety Guide on Ageing Management and Development of a Programme for Long Term Operation of Nuclear Power Plants [3]. Ref. [3] however does not provide comprehensive information on specific AMPs</w:t>
      </w:r>
      <w:r w:rsidR="0088361B">
        <w:t xml:space="preserve"> and TLAAs to address ageing effects of specific structures and components</w:t>
      </w:r>
      <w:r w:rsidRPr="00CC4B88">
        <w:t>.</w:t>
      </w:r>
    </w:p>
    <w:p w:rsidR="0036432D" w:rsidRPr="00CC4B88" w:rsidRDefault="0036432D" w:rsidP="0036432D">
      <w:pPr>
        <w:pStyle w:val="TecDocBodyText"/>
        <w:widowControl/>
        <w:spacing w:after="0"/>
        <w:ind w:firstLine="0"/>
      </w:pPr>
      <w:r w:rsidRPr="00CC4B88">
        <w:t>In parallel with the development of the safety related publications described above, the IAEA also developed and published documents focused on engineering, technological and scientific aspects of ageing management [23–25].</w:t>
      </w:r>
    </w:p>
    <w:p w:rsidR="0036432D" w:rsidRPr="00CC4B88" w:rsidRDefault="0036432D" w:rsidP="0036432D">
      <w:pPr>
        <w:pStyle w:val="TecDocBodyText"/>
        <w:widowControl/>
        <w:spacing w:after="0"/>
        <w:ind w:firstLine="0"/>
      </w:pPr>
      <w:r w:rsidRPr="00CC4B88">
        <w:t xml:space="preserve">To complement the existing guidance and technical information described above, a need was identified to establish a process to collectively and systematically document and analyse </w:t>
      </w:r>
      <w:r w:rsidRPr="00CC4B88">
        <w:lastRenderedPageBreak/>
        <w:t>research results and operating experience. The resulting effort addresses various types of water moderated reactor. The process facilitates exchange of technical information on ageing management among participating Member States. The results provide guidance on what constitutes an acceptable AMP for specific structures and components, and on ageing effects and degradation mechanisms, as well as tools for assessing existing plant programmes.</w:t>
      </w:r>
    </w:p>
    <w:p w:rsidR="0036432D" w:rsidRPr="00CC4B88" w:rsidRDefault="0036432D" w:rsidP="0036432D">
      <w:pPr>
        <w:pStyle w:val="TecDocBodyText"/>
        <w:widowControl/>
        <w:spacing w:after="0"/>
        <w:ind w:firstLine="0"/>
      </w:pPr>
      <w:r w:rsidRPr="00CC4B88">
        <w:t>The United States Nuclear Regulatory Commission (NRC) has developed a consistent approach to ageing management in connection with license renewal for operating plants [26–29], and, at the request of the IAEA, agreed to provide the current revision of the GALL Report [29], as a basis to be used in developing this report.</w:t>
      </w:r>
    </w:p>
    <w:p w:rsidR="0036432D" w:rsidRPr="00CC4B88" w:rsidRDefault="0036432D" w:rsidP="0036432D">
      <w:pPr>
        <w:pStyle w:val="TecDocBodyText"/>
        <w:widowControl/>
        <w:spacing w:after="0"/>
        <w:ind w:firstLine="0"/>
      </w:pPr>
      <w:r w:rsidRPr="00CC4B88">
        <w:t xml:space="preserve">The development of this report was initiated in May 2009 during a Technical Meeting at the IAEA and conducted through the IAEA </w:t>
      </w:r>
      <w:proofErr w:type="spellStart"/>
      <w:r w:rsidRPr="00CC4B88">
        <w:t>Extrabudgetary</w:t>
      </w:r>
      <w:proofErr w:type="spellEnd"/>
      <w:r w:rsidRPr="00CC4B88">
        <w:t xml:space="preserve"> Programme on International Generic Ageing Lessons Learned in 2010–2013 [30].</w:t>
      </w:r>
      <w:r>
        <w:t xml:space="preserve"> This IGALL Phase 1 was continued in the years 2014 to 2015 as IGALL Phase 2 and in the years 2016 to 2017 as IGALL Phase 3. Phase 4 of the EBP will follow in the years 2018 and 2019. The individual goals achieved in the different phases are described in chapter 4.</w:t>
      </w:r>
    </w:p>
    <w:p w:rsidR="0036432D" w:rsidRPr="00CC4B88" w:rsidRDefault="0036432D" w:rsidP="0036432D">
      <w:pPr>
        <w:pStyle w:val="TecDocBodyText"/>
        <w:widowControl/>
        <w:spacing w:after="0"/>
        <w:ind w:firstLine="0"/>
        <w:rPr>
          <w:lang w:val="en-US"/>
        </w:rPr>
      </w:pPr>
    </w:p>
    <w:p w:rsidR="0036432D" w:rsidRPr="00F42C74" w:rsidRDefault="0036432D" w:rsidP="0036432D">
      <w:pPr>
        <w:shd w:val="clear" w:color="auto" w:fill="FFFFFF"/>
        <w:spacing w:before="100" w:after="100"/>
        <w:jc w:val="both"/>
        <w:outlineLvl w:val="0"/>
        <w:rPr>
          <w:rFonts w:eastAsia="Batang"/>
          <w:b/>
          <w:bCs/>
          <w:color w:val="333333"/>
          <w:szCs w:val="22"/>
          <w:lang w:val="en"/>
        </w:rPr>
      </w:pPr>
      <w:r w:rsidRPr="00F42C74">
        <w:rPr>
          <w:rFonts w:eastAsia="Batang"/>
          <w:b/>
          <w:bCs/>
          <w:color w:val="333333"/>
          <w:szCs w:val="22"/>
          <w:lang w:val="en"/>
        </w:rPr>
        <w:t xml:space="preserve">2. </w:t>
      </w:r>
      <w:proofErr w:type="spellStart"/>
      <w:r w:rsidRPr="00F42C74">
        <w:rPr>
          <w:rFonts w:eastAsia="Batang"/>
          <w:b/>
          <w:bCs/>
          <w:color w:val="333333"/>
          <w:szCs w:val="22"/>
          <w:lang w:val="en"/>
        </w:rPr>
        <w:t>Programme</w:t>
      </w:r>
      <w:proofErr w:type="spellEnd"/>
      <w:r w:rsidRPr="00F42C74">
        <w:rPr>
          <w:rFonts w:eastAsia="Batang"/>
          <w:b/>
          <w:bCs/>
          <w:color w:val="333333"/>
          <w:szCs w:val="22"/>
          <w:lang w:val="en"/>
        </w:rPr>
        <w:t xml:space="preserve"> objective</w:t>
      </w:r>
    </w:p>
    <w:p w:rsidR="0036432D" w:rsidRDefault="0036432D" w:rsidP="0036432D">
      <w:pPr>
        <w:shd w:val="clear" w:color="auto" w:fill="FFFFFF"/>
        <w:spacing w:before="100" w:after="100"/>
        <w:jc w:val="both"/>
        <w:rPr>
          <w:rFonts w:eastAsia="Batang"/>
          <w:color w:val="333333"/>
          <w:szCs w:val="22"/>
          <w:lang w:val="en"/>
        </w:rPr>
      </w:pPr>
      <w:r w:rsidRPr="00F42C74">
        <w:rPr>
          <w:rFonts w:eastAsia="Batang"/>
          <w:color w:val="333333"/>
          <w:szCs w:val="22"/>
          <w:lang w:val="en"/>
        </w:rPr>
        <w:t xml:space="preserve">The </w:t>
      </w:r>
      <w:proofErr w:type="spellStart"/>
      <w:r w:rsidRPr="00F42C74">
        <w:rPr>
          <w:rFonts w:eastAsia="Batang"/>
          <w:color w:val="333333"/>
          <w:szCs w:val="22"/>
          <w:lang w:val="en"/>
        </w:rPr>
        <w:t>Programme</w:t>
      </w:r>
      <w:proofErr w:type="spellEnd"/>
      <w:r w:rsidRPr="00F42C74">
        <w:rPr>
          <w:rFonts w:eastAsia="Batang"/>
          <w:color w:val="333333"/>
          <w:szCs w:val="22"/>
          <w:lang w:val="en"/>
        </w:rPr>
        <w:t xml:space="preserve"> objective is to develop a general framework needed to effectively pursue experience and lessons learned on AM.</w:t>
      </w:r>
      <w:r>
        <w:rPr>
          <w:rFonts w:eastAsia="Batang"/>
          <w:color w:val="333333"/>
          <w:szCs w:val="22"/>
          <w:lang w:val="en"/>
        </w:rPr>
        <w:t xml:space="preserve"> </w:t>
      </w:r>
      <w:r w:rsidRPr="00F42C74">
        <w:rPr>
          <w:rFonts w:eastAsia="Batang"/>
          <w:color w:val="333333"/>
          <w:szCs w:val="22"/>
          <w:lang w:val="en"/>
        </w:rPr>
        <w:t xml:space="preserve">The </w:t>
      </w:r>
      <w:proofErr w:type="spellStart"/>
      <w:r w:rsidRPr="00F42C74">
        <w:rPr>
          <w:rFonts w:eastAsia="Batang"/>
          <w:color w:val="333333"/>
          <w:szCs w:val="22"/>
          <w:lang w:val="en"/>
        </w:rPr>
        <w:t>Programme</w:t>
      </w:r>
      <w:proofErr w:type="spellEnd"/>
      <w:r w:rsidRPr="00F42C74">
        <w:rPr>
          <w:rFonts w:eastAsia="Batang"/>
          <w:color w:val="333333"/>
          <w:szCs w:val="22"/>
          <w:lang w:val="en"/>
        </w:rPr>
        <w:t xml:space="preserve"> will facilitate exchange of experience accumulated in Member States operating NPPs, on identification, establishment, </w:t>
      </w:r>
      <w:r w:rsidRPr="00F42C74">
        <w:rPr>
          <w:rFonts w:eastAsia="Batang"/>
          <w:color w:val="333333"/>
          <w:szCs w:val="22"/>
        </w:rPr>
        <w:t>implementation</w:t>
      </w:r>
      <w:r w:rsidRPr="00F42C74">
        <w:rPr>
          <w:color w:val="333333"/>
          <w:szCs w:val="22"/>
          <w:lang w:eastAsia="ja-JP"/>
        </w:rPr>
        <w:t>, and improvement</w:t>
      </w:r>
      <w:r w:rsidRPr="00F42C74">
        <w:rPr>
          <w:rFonts w:eastAsia="Batang"/>
          <w:color w:val="333333"/>
          <w:szCs w:val="22"/>
          <w:lang w:val="en"/>
        </w:rPr>
        <w:t xml:space="preserve"> of AMPs. Consideration of lessons learned worldwide for various types of reactors will assist MS in implementing effective and harmonized AM.</w:t>
      </w:r>
      <w:bookmarkStart w:id="0" w:name="scope"/>
      <w:bookmarkEnd w:id="0"/>
    </w:p>
    <w:p w:rsidR="0036432D" w:rsidRDefault="0036432D" w:rsidP="0036432D">
      <w:pPr>
        <w:tabs>
          <w:tab w:val="left" w:pos="1035"/>
        </w:tabs>
        <w:jc w:val="both"/>
      </w:pPr>
      <w:r w:rsidRPr="00C46546">
        <w:t xml:space="preserve">The </w:t>
      </w:r>
      <w:r w:rsidRPr="00D255A0">
        <w:t>International Generic Ageing Lessons Learned (IGALL)</w:t>
      </w:r>
      <w:r w:rsidRPr="0078162B">
        <w:t xml:space="preserve"> </w:t>
      </w:r>
      <w:r>
        <w:t xml:space="preserve">Safety </w:t>
      </w:r>
      <w:r w:rsidRPr="00D255A0">
        <w:t>Report</w:t>
      </w:r>
      <w:r>
        <w:t xml:space="preserve"> will </w:t>
      </w:r>
      <w:r w:rsidRPr="00C46546">
        <w:t>contain for SSCs important to safety:</w:t>
      </w:r>
    </w:p>
    <w:p w:rsidR="0036432D" w:rsidRPr="00C46546" w:rsidRDefault="0036432D" w:rsidP="0036432D">
      <w:pPr>
        <w:tabs>
          <w:tab w:val="left" w:pos="1035"/>
        </w:tabs>
      </w:pPr>
    </w:p>
    <w:p w:rsidR="0036432D" w:rsidRPr="00C46546" w:rsidRDefault="0036432D" w:rsidP="0036432D">
      <w:pPr>
        <w:widowControl w:val="0"/>
        <w:numPr>
          <w:ilvl w:val="0"/>
          <w:numId w:val="6"/>
        </w:numPr>
        <w:suppressAutoHyphens/>
        <w:jc w:val="both"/>
      </w:pPr>
      <w:r w:rsidRPr="00C46546">
        <w:t>A generic sample of ageing management review (AMR) tables;</w:t>
      </w:r>
    </w:p>
    <w:p w:rsidR="0036432D" w:rsidRPr="00C46546" w:rsidRDefault="0036432D" w:rsidP="0036432D">
      <w:pPr>
        <w:widowControl w:val="0"/>
        <w:numPr>
          <w:ilvl w:val="0"/>
          <w:numId w:val="6"/>
        </w:numPr>
        <w:suppressAutoHyphens/>
        <w:jc w:val="both"/>
      </w:pPr>
      <w:r w:rsidRPr="00C46546">
        <w:t xml:space="preserve">A collection of proven ageing management </w:t>
      </w:r>
      <w:proofErr w:type="spellStart"/>
      <w:r w:rsidRPr="00C46546">
        <w:t>programmes</w:t>
      </w:r>
      <w:proofErr w:type="spellEnd"/>
      <w:r w:rsidRPr="00C46546">
        <w:t xml:space="preserve"> (AMPs);</w:t>
      </w:r>
    </w:p>
    <w:p w:rsidR="0036432D" w:rsidRPr="00C46546" w:rsidRDefault="0036432D" w:rsidP="0036432D">
      <w:pPr>
        <w:widowControl w:val="0"/>
        <w:numPr>
          <w:ilvl w:val="0"/>
          <w:numId w:val="6"/>
        </w:numPr>
        <w:suppressAutoHyphens/>
        <w:jc w:val="both"/>
      </w:pPr>
      <w:r w:rsidRPr="00C46546">
        <w:t>A collection of typical time limited ageing analyses (TLAAs).</w:t>
      </w:r>
    </w:p>
    <w:p w:rsidR="0036432D" w:rsidRDefault="0036432D" w:rsidP="0036432D">
      <w:pPr>
        <w:shd w:val="clear" w:color="auto" w:fill="FFFFFF"/>
        <w:spacing w:before="100" w:after="100"/>
        <w:jc w:val="both"/>
        <w:outlineLvl w:val="0"/>
        <w:rPr>
          <w:rFonts w:eastAsia="Batang"/>
          <w:b/>
          <w:bCs/>
          <w:szCs w:val="22"/>
        </w:rPr>
      </w:pPr>
    </w:p>
    <w:p w:rsidR="0036432D" w:rsidRPr="00F42C74" w:rsidRDefault="0036432D" w:rsidP="0036432D">
      <w:pPr>
        <w:shd w:val="clear" w:color="auto" w:fill="FFFFFF"/>
        <w:spacing w:before="100" w:after="100"/>
        <w:jc w:val="both"/>
        <w:outlineLvl w:val="0"/>
        <w:rPr>
          <w:rFonts w:eastAsia="Batang"/>
          <w:b/>
          <w:bCs/>
          <w:szCs w:val="22"/>
        </w:rPr>
      </w:pPr>
      <w:r w:rsidRPr="00F42C74">
        <w:rPr>
          <w:rFonts w:eastAsia="Batang"/>
          <w:b/>
          <w:bCs/>
          <w:szCs w:val="22"/>
        </w:rPr>
        <w:t>3. Scope</w:t>
      </w:r>
    </w:p>
    <w:p w:rsidR="0036432D" w:rsidRPr="00C46546" w:rsidRDefault="0036432D" w:rsidP="0036432D">
      <w:pPr>
        <w:jc w:val="both"/>
      </w:pPr>
      <w:bookmarkStart w:id="1" w:name="implementation"/>
      <w:r w:rsidRPr="00C46546">
        <w:t xml:space="preserve">The </w:t>
      </w:r>
      <w:proofErr w:type="spellStart"/>
      <w:r w:rsidRPr="00F42C74">
        <w:rPr>
          <w:rFonts w:eastAsia="Batang"/>
          <w:szCs w:val="22"/>
        </w:rPr>
        <w:t>Programme</w:t>
      </w:r>
      <w:proofErr w:type="spellEnd"/>
      <w:r w:rsidRPr="00F42C74">
        <w:rPr>
          <w:rFonts w:eastAsia="Batang"/>
          <w:szCs w:val="22"/>
        </w:rPr>
        <w:t xml:space="preserve"> will compile proven AMPs </w:t>
      </w:r>
      <w:r>
        <w:rPr>
          <w:rFonts w:eastAsia="Batang"/>
          <w:szCs w:val="22"/>
        </w:rPr>
        <w:t xml:space="preserve">and typical TLAAs </w:t>
      </w:r>
      <w:r w:rsidRPr="00C46546">
        <w:t xml:space="preserve">ageing management of passive and active structures and components (SCs) </w:t>
      </w:r>
      <w:r w:rsidRPr="00F42C74">
        <w:rPr>
          <w:rFonts w:eastAsia="Batang"/>
          <w:szCs w:val="22"/>
        </w:rPr>
        <w:t xml:space="preserve">for NPPs with </w:t>
      </w:r>
      <w:r w:rsidRPr="00F42C74">
        <w:rPr>
          <w:rFonts w:eastAsia="Batang"/>
          <w:color w:val="333333"/>
          <w:szCs w:val="22"/>
          <w:lang w:val="en"/>
        </w:rPr>
        <w:t>PWR (</w:t>
      </w:r>
      <w:r>
        <w:rPr>
          <w:rFonts w:eastAsia="Batang"/>
          <w:color w:val="333333"/>
          <w:szCs w:val="22"/>
          <w:lang w:val="en"/>
        </w:rPr>
        <w:t xml:space="preserve">incl. </w:t>
      </w:r>
      <w:r w:rsidRPr="00F42C74">
        <w:rPr>
          <w:rFonts w:eastAsia="Batang"/>
          <w:color w:val="333333"/>
          <w:szCs w:val="22"/>
          <w:lang w:val="en"/>
        </w:rPr>
        <w:t>WWER), BWR</w:t>
      </w:r>
      <w:r w:rsidRPr="00F42C74">
        <w:rPr>
          <w:color w:val="333333"/>
          <w:szCs w:val="22"/>
          <w:lang w:val="en" w:eastAsia="ja-JP"/>
        </w:rPr>
        <w:t>,</w:t>
      </w:r>
      <w:r w:rsidRPr="00F42C74">
        <w:rPr>
          <w:rFonts w:eastAsia="Batang"/>
          <w:color w:val="333333"/>
          <w:szCs w:val="22"/>
          <w:lang w:val="en"/>
        </w:rPr>
        <w:t xml:space="preserve"> CANDU</w:t>
      </w:r>
      <w:r w:rsidRPr="00F42C74">
        <w:rPr>
          <w:color w:val="333333"/>
          <w:szCs w:val="22"/>
          <w:lang w:val="en" w:eastAsia="ja-JP"/>
        </w:rPr>
        <w:t xml:space="preserve"> and PHWR</w:t>
      </w:r>
      <w:r w:rsidRPr="00F42C74">
        <w:rPr>
          <w:rFonts w:eastAsia="Batang"/>
          <w:color w:val="333333"/>
          <w:szCs w:val="22"/>
          <w:lang w:val="en"/>
        </w:rPr>
        <w:t xml:space="preserve"> reactors</w:t>
      </w:r>
      <w:r w:rsidRPr="00C46546" w:rsidDel="00BC2C18">
        <w:t xml:space="preserve"> </w:t>
      </w:r>
      <w:r w:rsidRPr="00C46546">
        <w:t xml:space="preserve">that can have an impact, directly or indirectly, on the safe operation of the plant and that are susceptible to ageing degradation. </w:t>
      </w:r>
    </w:p>
    <w:p w:rsidR="0036432D" w:rsidRPr="00C46546" w:rsidRDefault="0036432D" w:rsidP="0036432D"/>
    <w:p w:rsidR="0036432D" w:rsidRPr="00C46546" w:rsidRDefault="0036432D" w:rsidP="0036432D">
      <w:pPr>
        <w:jc w:val="both"/>
        <w:rPr>
          <w:lang w:val="en-GB"/>
        </w:rPr>
      </w:pPr>
      <w:r w:rsidRPr="004B403A">
        <w:t xml:space="preserve">The information provided will be relevant for plants </w:t>
      </w:r>
      <w:r>
        <w:t>in</w:t>
      </w:r>
      <w:r w:rsidRPr="004B403A">
        <w:t xml:space="preserve"> operation, for plants considering LTO, as well as for new plants including new designs. </w:t>
      </w:r>
      <w:r w:rsidRPr="004B403A">
        <w:rPr>
          <w:lang w:val="en-GB"/>
        </w:rPr>
        <w:t>Although the Programme will be focused mainly on management of physical ageing, technological obsolescence of SSCs important to safety will be also addressed. Conceptual aspects of obsolescence (such as consistency with current knowledge and standards) are out of Programme scope.</w:t>
      </w:r>
      <w:r w:rsidRPr="00C46546">
        <w:rPr>
          <w:lang w:val="en-GB"/>
        </w:rPr>
        <w:t xml:space="preserve"> </w:t>
      </w:r>
    </w:p>
    <w:p w:rsidR="0036432D" w:rsidRPr="00C46546" w:rsidRDefault="0036432D" w:rsidP="0036432D">
      <w:pPr>
        <w:rPr>
          <w:lang w:val="en-GB"/>
        </w:rPr>
      </w:pPr>
    </w:p>
    <w:p w:rsidR="0036432D" w:rsidRPr="00C46546" w:rsidRDefault="0036432D" w:rsidP="0036432D">
      <w:pPr>
        <w:ind w:left="15"/>
        <w:jc w:val="both"/>
      </w:pPr>
      <w:r w:rsidRPr="00C46546">
        <w:t>Th</w:t>
      </w:r>
      <w:r>
        <w:t>e IGALL Safety R</w:t>
      </w:r>
      <w:r w:rsidRPr="00C46546">
        <w:t>eport is not intended to facilitate comprehensive identification of components and structures for ageing management. In particular this report does not address identification of structures and components (scoping and screening) for long term operation and should not be used as a checklist or as a scoping and screening document. Scoping and screening is described in [</w:t>
      </w:r>
      <w:r>
        <w:t>22</w:t>
      </w:r>
      <w:r w:rsidRPr="00C46546">
        <w:t>].</w:t>
      </w:r>
    </w:p>
    <w:p w:rsidR="0036432D" w:rsidRPr="00C46546" w:rsidRDefault="0036432D" w:rsidP="0036432D">
      <w:pPr>
        <w:tabs>
          <w:tab w:val="left" w:pos="1035"/>
        </w:tabs>
      </w:pPr>
    </w:p>
    <w:p w:rsidR="0036432D" w:rsidRPr="00C46546" w:rsidRDefault="0036432D" w:rsidP="0036432D">
      <w:pPr>
        <w:tabs>
          <w:tab w:val="left" w:pos="1035"/>
        </w:tabs>
        <w:jc w:val="both"/>
      </w:pPr>
      <w:r w:rsidRPr="00C46546">
        <w:lastRenderedPageBreak/>
        <w:t xml:space="preserve">The information provided in this report </w:t>
      </w:r>
      <w:r>
        <w:t xml:space="preserve">will </w:t>
      </w:r>
      <w:r w:rsidRPr="00C46546">
        <w:t xml:space="preserve">represent proven practices of participating Member States. Some all of these proven practices may not be applicable to every </w:t>
      </w:r>
      <w:r w:rsidRPr="00CA33FC">
        <w:t>NPP</w:t>
      </w:r>
      <w:r>
        <w:t xml:space="preserve"> </w:t>
      </w:r>
      <w:r w:rsidRPr="00C46546">
        <w:t>or Member State.</w:t>
      </w:r>
    </w:p>
    <w:p w:rsidR="00945954" w:rsidRDefault="00945954" w:rsidP="00945954">
      <w:pPr>
        <w:spacing w:after="200" w:line="276" w:lineRule="auto"/>
        <w:rPr>
          <w:rFonts w:eastAsia="Batang"/>
          <w:b/>
          <w:bCs/>
          <w:szCs w:val="22"/>
        </w:rPr>
      </w:pPr>
    </w:p>
    <w:p w:rsidR="0036432D" w:rsidRPr="00F42C74" w:rsidRDefault="0036432D" w:rsidP="00945954">
      <w:pPr>
        <w:spacing w:after="200" w:line="276" w:lineRule="auto"/>
        <w:rPr>
          <w:rFonts w:eastAsia="Batang"/>
          <w:b/>
          <w:bCs/>
          <w:szCs w:val="22"/>
        </w:rPr>
      </w:pPr>
      <w:r w:rsidRPr="00F42C74">
        <w:rPr>
          <w:rFonts w:eastAsia="Batang"/>
          <w:b/>
          <w:bCs/>
          <w:szCs w:val="22"/>
        </w:rPr>
        <w:t>4</w:t>
      </w:r>
      <w:bookmarkEnd w:id="1"/>
      <w:r w:rsidRPr="00F42C74">
        <w:rPr>
          <w:rFonts w:eastAsia="Batang"/>
          <w:b/>
          <w:bCs/>
          <w:szCs w:val="22"/>
        </w:rPr>
        <w:t xml:space="preserve">. Implementation </w:t>
      </w:r>
    </w:p>
    <w:p w:rsidR="0036432D" w:rsidRPr="006C1D9C" w:rsidRDefault="0036432D" w:rsidP="0036432D">
      <w:pPr>
        <w:pStyle w:val="BodyTextMultiline"/>
        <w:numPr>
          <w:ilvl w:val="0"/>
          <w:numId w:val="0"/>
        </w:numPr>
        <w:spacing w:after="0" w:line="240" w:lineRule="auto"/>
        <w:rPr>
          <w:b/>
          <w:sz w:val="24"/>
        </w:rPr>
      </w:pPr>
      <w:r w:rsidRPr="006C1D9C">
        <w:rPr>
          <w:b/>
          <w:sz w:val="24"/>
        </w:rPr>
        <w:t xml:space="preserve">IGALL Phase 1 (2010-2013)  </w:t>
      </w:r>
    </w:p>
    <w:p w:rsidR="0036432D" w:rsidRDefault="0036432D" w:rsidP="0036432D">
      <w:pPr>
        <w:pStyle w:val="BodyTextMultiline"/>
        <w:numPr>
          <w:ilvl w:val="0"/>
          <w:numId w:val="0"/>
        </w:numPr>
        <w:spacing w:after="0" w:line="240" w:lineRule="auto"/>
        <w:rPr>
          <w:sz w:val="24"/>
        </w:rPr>
      </w:pPr>
      <w:r w:rsidRPr="004A2B19">
        <w:rPr>
          <w:sz w:val="24"/>
        </w:rPr>
        <w:t xml:space="preserve">Following the presentation and discussion of the EBP proposal to the Permanent Missions of the IAEA Member States, the EBP was initiated in the middle of 2010. </w:t>
      </w:r>
    </w:p>
    <w:p w:rsidR="0036432D" w:rsidRPr="004A2B19" w:rsidRDefault="0036432D" w:rsidP="0036432D">
      <w:pPr>
        <w:pStyle w:val="BodyTextMultiline"/>
        <w:numPr>
          <w:ilvl w:val="0"/>
          <w:numId w:val="0"/>
        </w:numPr>
        <w:spacing w:after="0" w:line="240" w:lineRule="auto"/>
        <w:rPr>
          <w:sz w:val="24"/>
        </w:rPr>
      </w:pPr>
    </w:p>
    <w:p w:rsidR="0036432D" w:rsidRPr="004A2B19" w:rsidRDefault="0036432D" w:rsidP="0036432D">
      <w:pPr>
        <w:jc w:val="both"/>
      </w:pPr>
      <w:r w:rsidRPr="004A2B19">
        <w:t xml:space="preserve">EBP activities were </w:t>
      </w:r>
      <w:r>
        <w:t xml:space="preserve">in its Phase 1 </w:t>
      </w:r>
      <w:r w:rsidRPr="004A2B19">
        <w:t xml:space="preserve">guided by a </w:t>
      </w:r>
      <w:r>
        <w:t>S</w:t>
      </w:r>
      <w:r w:rsidRPr="004A2B19">
        <w:t xml:space="preserve">teering </w:t>
      </w:r>
      <w:r>
        <w:t>G</w:t>
      </w:r>
      <w:r w:rsidRPr="004A2B19">
        <w:t xml:space="preserve">roup composed of senior Member State representatives, implemented by three working groups (WG), coordinated and reviewed by a </w:t>
      </w:r>
      <w:r>
        <w:t>C</w:t>
      </w:r>
      <w:r w:rsidRPr="004A2B19">
        <w:t xml:space="preserve">learing </w:t>
      </w:r>
      <w:r>
        <w:t>G</w:t>
      </w:r>
      <w:r w:rsidRPr="004A2B19">
        <w:t>roup. The 3 WGs dealt with the following areas:</w:t>
      </w:r>
    </w:p>
    <w:p w:rsidR="0036432D" w:rsidRPr="004A2B19" w:rsidRDefault="0036432D" w:rsidP="0036432D">
      <w:pPr>
        <w:jc w:val="both"/>
      </w:pPr>
    </w:p>
    <w:p w:rsidR="0036432D" w:rsidRPr="004A2B19" w:rsidRDefault="0036432D" w:rsidP="0036432D">
      <w:pPr>
        <w:widowControl w:val="0"/>
        <w:numPr>
          <w:ilvl w:val="0"/>
          <w:numId w:val="3"/>
        </w:numPr>
        <w:suppressAutoHyphens/>
        <w:ind w:right="-1"/>
        <w:jc w:val="both"/>
      </w:pPr>
      <w:r w:rsidRPr="004A2B19">
        <w:t>WG1- mechanical components;</w:t>
      </w:r>
    </w:p>
    <w:p w:rsidR="0036432D" w:rsidRPr="004A2B19" w:rsidRDefault="0036432D" w:rsidP="0036432D">
      <w:pPr>
        <w:widowControl w:val="0"/>
        <w:numPr>
          <w:ilvl w:val="0"/>
          <w:numId w:val="3"/>
        </w:numPr>
        <w:suppressAutoHyphens/>
        <w:ind w:right="-1"/>
        <w:jc w:val="both"/>
      </w:pPr>
      <w:r w:rsidRPr="004A2B19">
        <w:t>WG2- electrical and I&amp;C components;</w:t>
      </w:r>
    </w:p>
    <w:p w:rsidR="0036432D" w:rsidRPr="004A2B19" w:rsidRDefault="0036432D" w:rsidP="0036432D">
      <w:pPr>
        <w:widowControl w:val="0"/>
        <w:numPr>
          <w:ilvl w:val="0"/>
          <w:numId w:val="3"/>
        </w:numPr>
        <w:suppressAutoHyphens/>
        <w:ind w:right="-1"/>
        <w:jc w:val="both"/>
      </w:pPr>
      <w:r w:rsidRPr="004A2B19">
        <w:t>WG3- civil structures and components.</w:t>
      </w:r>
    </w:p>
    <w:p w:rsidR="0036432D" w:rsidRDefault="0036432D" w:rsidP="0036432D">
      <w:pPr>
        <w:widowControl w:val="0"/>
        <w:autoSpaceDE w:val="0"/>
        <w:autoSpaceDN w:val="0"/>
        <w:adjustRightInd w:val="0"/>
        <w:jc w:val="both"/>
      </w:pPr>
    </w:p>
    <w:p w:rsidR="0036432D" w:rsidRPr="004A2B19" w:rsidRDefault="0036432D" w:rsidP="0036432D">
      <w:pPr>
        <w:widowControl w:val="0"/>
        <w:autoSpaceDE w:val="0"/>
        <w:autoSpaceDN w:val="0"/>
        <w:adjustRightInd w:val="0"/>
        <w:jc w:val="both"/>
      </w:pPr>
      <w:r w:rsidRPr="004A2B19">
        <w:t xml:space="preserve">The </w:t>
      </w:r>
      <w:proofErr w:type="spellStart"/>
      <w:r w:rsidRPr="004A2B19">
        <w:t>Programme</w:t>
      </w:r>
      <w:proofErr w:type="spellEnd"/>
      <w:r w:rsidRPr="004A2B19">
        <w:t xml:space="preserve"> implementation  relied on voluntary in kind and financial contributions from Japan and the USA as well as in kind contributions from Argentina, Belgium, Brazil, Bulgaria, Canada, China, the Czech Republic, France, Germany, Hungary, India, Mexico, the Netherlands, Russian Federation, Slovakia, Spain, Sweden, Switzerland, the Ukraine, the European Commission and the NEA of the OECD.</w:t>
      </w:r>
    </w:p>
    <w:p w:rsidR="0036432D" w:rsidRPr="004A2B19" w:rsidRDefault="0036432D" w:rsidP="0036432D">
      <w:pPr>
        <w:pStyle w:val="BodyTextMultiline"/>
        <w:numPr>
          <w:ilvl w:val="0"/>
          <w:numId w:val="0"/>
        </w:numPr>
        <w:spacing w:after="0" w:line="240" w:lineRule="auto"/>
        <w:rPr>
          <w:sz w:val="24"/>
        </w:rPr>
      </w:pPr>
    </w:p>
    <w:p w:rsidR="0036432D" w:rsidRPr="004A2B19" w:rsidRDefault="0036432D" w:rsidP="0036432D">
      <w:pPr>
        <w:pStyle w:val="BodyTextMultiline"/>
        <w:numPr>
          <w:ilvl w:val="0"/>
          <w:numId w:val="0"/>
        </w:numPr>
        <w:spacing w:after="0" w:line="240" w:lineRule="auto"/>
        <w:rPr>
          <w:sz w:val="24"/>
        </w:rPr>
      </w:pPr>
      <w:r w:rsidRPr="004A2B19">
        <w:rPr>
          <w:sz w:val="24"/>
        </w:rPr>
        <w:t>The EBP activities relied heavily on work carried out by the participating experts in their countries. The EBP meetings served mainly co-ordination purposes.</w:t>
      </w:r>
    </w:p>
    <w:p w:rsidR="0036432D" w:rsidRPr="004A2B19" w:rsidRDefault="0036432D" w:rsidP="0036432D">
      <w:pPr>
        <w:pStyle w:val="BodyTextMultiline"/>
        <w:numPr>
          <w:ilvl w:val="0"/>
          <w:numId w:val="0"/>
        </w:numPr>
        <w:spacing w:after="0" w:line="240" w:lineRule="auto"/>
        <w:rPr>
          <w:sz w:val="24"/>
        </w:rPr>
      </w:pPr>
    </w:p>
    <w:p w:rsidR="0036432D" w:rsidRPr="004A2B19" w:rsidRDefault="0036432D" w:rsidP="0036432D">
      <w:pPr>
        <w:pStyle w:val="BodyTextMultiline"/>
        <w:numPr>
          <w:ilvl w:val="0"/>
          <w:numId w:val="0"/>
        </w:numPr>
        <w:spacing w:after="0" w:line="240" w:lineRule="auto"/>
        <w:rPr>
          <w:sz w:val="24"/>
        </w:rPr>
      </w:pPr>
      <w:r w:rsidRPr="004A2B19">
        <w:rPr>
          <w:sz w:val="24"/>
        </w:rPr>
        <w:t xml:space="preserve">The products of the </w:t>
      </w:r>
      <w:r>
        <w:rPr>
          <w:sz w:val="24"/>
        </w:rPr>
        <w:t xml:space="preserve">IGALL Phase 1 </w:t>
      </w:r>
      <w:r w:rsidRPr="004A2B19">
        <w:rPr>
          <w:sz w:val="24"/>
        </w:rPr>
        <w:t>activities include:</w:t>
      </w:r>
    </w:p>
    <w:p w:rsidR="0036432D" w:rsidRPr="004A2B19" w:rsidRDefault="0036432D" w:rsidP="0036432D">
      <w:pPr>
        <w:pStyle w:val="BodyTextMultiline"/>
        <w:numPr>
          <w:ilvl w:val="0"/>
          <w:numId w:val="0"/>
        </w:numPr>
        <w:spacing w:after="0" w:line="240" w:lineRule="auto"/>
        <w:rPr>
          <w:sz w:val="24"/>
        </w:rPr>
      </w:pPr>
    </w:p>
    <w:p w:rsidR="0036432D" w:rsidRPr="004A2B19" w:rsidRDefault="0036432D" w:rsidP="0036432D">
      <w:pPr>
        <w:widowControl w:val="0"/>
        <w:numPr>
          <w:ilvl w:val="0"/>
          <w:numId w:val="3"/>
        </w:numPr>
        <w:suppressAutoHyphens/>
        <w:ind w:right="-1"/>
        <w:jc w:val="both"/>
      </w:pPr>
      <w:r w:rsidRPr="004A2B19">
        <w:t>IGALL Safety Report (providing guidance on using the IGALL database);</w:t>
      </w:r>
    </w:p>
    <w:p w:rsidR="0036432D" w:rsidRDefault="0036432D" w:rsidP="0036432D">
      <w:pPr>
        <w:widowControl w:val="0"/>
        <w:numPr>
          <w:ilvl w:val="0"/>
          <w:numId w:val="3"/>
        </w:numPr>
        <w:suppressAutoHyphens/>
        <w:ind w:right="-1"/>
        <w:jc w:val="both"/>
      </w:pPr>
      <w:r w:rsidRPr="004A2B19">
        <w:t>IGALL database (containing AMR tables and proven AMPs and TLAAs)</w:t>
      </w:r>
      <w:r>
        <w:t>;</w:t>
      </w:r>
    </w:p>
    <w:p w:rsidR="0036432D" w:rsidRPr="004A2B19" w:rsidRDefault="0036432D" w:rsidP="0036432D">
      <w:pPr>
        <w:widowControl w:val="0"/>
        <w:numPr>
          <w:ilvl w:val="0"/>
          <w:numId w:val="3"/>
        </w:numPr>
        <w:suppressAutoHyphens/>
        <w:ind w:right="-1"/>
        <w:jc w:val="both"/>
      </w:pPr>
      <w:r>
        <w:t>IGALL-TECDOC-1736, Approaches to Ageing Management in MS: IGALL Final Report</w:t>
      </w:r>
      <w:r w:rsidRPr="004A2B19">
        <w:t>.</w:t>
      </w:r>
    </w:p>
    <w:p w:rsidR="0036432D" w:rsidRDefault="0036432D" w:rsidP="0036432D">
      <w:pPr>
        <w:pStyle w:val="BodyTextMultiline"/>
        <w:numPr>
          <w:ilvl w:val="0"/>
          <w:numId w:val="0"/>
        </w:numPr>
        <w:spacing w:after="0" w:line="240" w:lineRule="auto"/>
        <w:rPr>
          <w:sz w:val="24"/>
        </w:rPr>
      </w:pPr>
    </w:p>
    <w:p w:rsidR="0036432D" w:rsidRDefault="0036432D" w:rsidP="0036432D">
      <w:pPr>
        <w:pStyle w:val="BodyTextMultiline"/>
        <w:numPr>
          <w:ilvl w:val="0"/>
          <w:numId w:val="0"/>
        </w:numPr>
        <w:spacing w:after="0" w:line="240" w:lineRule="auto"/>
        <w:rPr>
          <w:sz w:val="24"/>
        </w:rPr>
      </w:pPr>
      <w:r>
        <w:rPr>
          <w:sz w:val="24"/>
        </w:rPr>
        <w:t>IGALL Phase 1 deliverables are posted on IAEA publicly available web sites:</w:t>
      </w:r>
    </w:p>
    <w:p w:rsidR="0036432D" w:rsidRDefault="00D44412" w:rsidP="0036432D">
      <w:pPr>
        <w:pStyle w:val="BodyTextMultiline"/>
        <w:numPr>
          <w:ilvl w:val="0"/>
          <w:numId w:val="0"/>
        </w:numPr>
        <w:spacing w:after="0" w:line="240" w:lineRule="auto"/>
        <w:rPr>
          <w:sz w:val="24"/>
        </w:rPr>
      </w:pPr>
      <w:hyperlink r:id="rId6" w:history="1">
        <w:r w:rsidR="0036432D" w:rsidRPr="00F07EAC">
          <w:rPr>
            <w:rStyle w:val="Hyperlink"/>
            <w:sz w:val="24"/>
          </w:rPr>
          <w:t>http://gnssn.iaea.org/NSNI/PoS/IGALL/SitePages/Home.aspx</w:t>
        </w:r>
      </w:hyperlink>
    </w:p>
    <w:p w:rsidR="0036432D" w:rsidRPr="004A2B19" w:rsidRDefault="0036432D" w:rsidP="0036432D">
      <w:pPr>
        <w:pStyle w:val="BodyTextMultiline"/>
        <w:numPr>
          <w:ilvl w:val="0"/>
          <w:numId w:val="0"/>
        </w:numPr>
        <w:spacing w:after="0" w:line="240" w:lineRule="auto"/>
        <w:rPr>
          <w:sz w:val="24"/>
        </w:rPr>
      </w:pPr>
    </w:p>
    <w:p w:rsidR="0036432D" w:rsidRDefault="0036432D" w:rsidP="0036432D">
      <w:pPr>
        <w:pStyle w:val="BodyTextMultiline"/>
        <w:numPr>
          <w:ilvl w:val="0"/>
          <w:numId w:val="0"/>
        </w:numPr>
        <w:spacing w:after="0" w:line="240" w:lineRule="auto"/>
        <w:rPr>
          <w:sz w:val="24"/>
        </w:rPr>
      </w:pPr>
      <w:r w:rsidRPr="004A2B19">
        <w:rPr>
          <w:sz w:val="24"/>
        </w:rPr>
        <w:t xml:space="preserve">The IGALL EBP participants pointed out the importance of maintaining the EBP products as living documents and concluded that the IGALL EBP activities should continue in the future to improve the products and incorporate future operational experience, results of research and development and new proven AMPs and TLAAs as well as new contributions of Member States. </w:t>
      </w:r>
    </w:p>
    <w:p w:rsidR="0036432D" w:rsidRPr="004A2B19" w:rsidRDefault="0036432D" w:rsidP="0036432D">
      <w:pPr>
        <w:pStyle w:val="BodyTextMultiline"/>
        <w:numPr>
          <w:ilvl w:val="0"/>
          <w:numId w:val="0"/>
        </w:numPr>
        <w:spacing w:after="0" w:line="240" w:lineRule="auto"/>
        <w:rPr>
          <w:sz w:val="24"/>
        </w:rPr>
      </w:pPr>
    </w:p>
    <w:p w:rsidR="0036432D" w:rsidRDefault="0036432D" w:rsidP="0036432D">
      <w:pPr>
        <w:jc w:val="both"/>
      </w:pPr>
      <w:r>
        <w:t>Abovementioned deliverables of IGALL Phase 1 were approved by</w:t>
      </w:r>
      <w:r w:rsidRPr="00C46546">
        <w:t xml:space="preserve"> </w:t>
      </w:r>
      <w:r>
        <w:t>IGALL Steering Group in September 2013</w:t>
      </w:r>
      <w:r w:rsidRPr="00401AD7">
        <w:t xml:space="preserve"> </w:t>
      </w:r>
      <w:r w:rsidRPr="00C46546">
        <w:t xml:space="preserve">and </w:t>
      </w:r>
      <w:r>
        <w:t>published in 2014. IGALL TM</w:t>
      </w:r>
      <w:r w:rsidRPr="00C46546">
        <w:t xml:space="preserve"> </w:t>
      </w:r>
      <w:r>
        <w:t xml:space="preserve">held in September 2013 recommended to the IAEA to </w:t>
      </w:r>
      <w:r w:rsidRPr="006C58E7">
        <w:t>continue to promote and support IGALL Safety Report use and implementation by all MS operating NPPs</w:t>
      </w:r>
      <w:r w:rsidRPr="00C46546">
        <w:t>.</w:t>
      </w:r>
      <w:r>
        <w:t xml:space="preserve"> </w:t>
      </w:r>
      <w:r w:rsidRPr="006C58E7">
        <w:t xml:space="preserve">The IAEA should develop and implement a </w:t>
      </w:r>
      <w:proofErr w:type="spellStart"/>
      <w:r w:rsidRPr="006C58E7">
        <w:t>programme</w:t>
      </w:r>
      <w:proofErr w:type="spellEnd"/>
      <w:r w:rsidRPr="006C58E7">
        <w:t xml:space="preserve"> </w:t>
      </w:r>
      <w:r>
        <w:t>with</w:t>
      </w:r>
      <w:r w:rsidRPr="006C58E7">
        <w:t xml:space="preserve"> </w:t>
      </w:r>
      <w:r>
        <w:t>two</w:t>
      </w:r>
      <w:r w:rsidRPr="006C58E7">
        <w:t xml:space="preserve"> objectives</w:t>
      </w:r>
      <w:r>
        <w:t>:</w:t>
      </w:r>
    </w:p>
    <w:p w:rsidR="0036432D" w:rsidRDefault="0036432D" w:rsidP="0036432D">
      <w:pPr>
        <w:jc w:val="both"/>
      </w:pPr>
    </w:p>
    <w:p w:rsidR="0036432D" w:rsidRPr="006C58E7" w:rsidRDefault="0036432D" w:rsidP="0036432D">
      <w:pPr>
        <w:numPr>
          <w:ilvl w:val="0"/>
          <w:numId w:val="4"/>
        </w:numPr>
        <w:tabs>
          <w:tab w:val="num" w:pos="720"/>
        </w:tabs>
        <w:jc w:val="both"/>
      </w:pPr>
      <w:r w:rsidRPr="006C58E7">
        <w:lastRenderedPageBreak/>
        <w:t>Provide a forum for exchange of experience and support to MS in applying IGALL as a tool to address ageing management and safe LTO</w:t>
      </w:r>
      <w:r>
        <w:t>;</w:t>
      </w:r>
    </w:p>
    <w:p w:rsidR="0036432D" w:rsidRPr="006C58E7" w:rsidRDefault="0036432D" w:rsidP="0036432D">
      <w:pPr>
        <w:numPr>
          <w:ilvl w:val="0"/>
          <w:numId w:val="4"/>
        </w:numPr>
        <w:jc w:val="both"/>
      </w:pPr>
      <w:r w:rsidRPr="006C58E7">
        <w:t>Enhance the completeness of IGALL</w:t>
      </w:r>
      <w:r>
        <w:t xml:space="preserve"> Safety Report.</w:t>
      </w:r>
      <w:r w:rsidRPr="006C58E7">
        <w:t xml:space="preserve"> </w:t>
      </w:r>
    </w:p>
    <w:p w:rsidR="0036432D" w:rsidRPr="00C46546" w:rsidRDefault="0036432D" w:rsidP="0036432D">
      <w:pPr>
        <w:rPr>
          <w:color w:val="000000"/>
        </w:rPr>
      </w:pPr>
    </w:p>
    <w:p w:rsidR="0036432D" w:rsidRPr="006C1D9C" w:rsidRDefault="0036432D" w:rsidP="00945954">
      <w:pPr>
        <w:spacing w:after="200" w:line="276" w:lineRule="auto"/>
        <w:rPr>
          <w:b/>
        </w:rPr>
      </w:pPr>
      <w:r w:rsidRPr="006C1D9C">
        <w:rPr>
          <w:b/>
        </w:rPr>
        <w:t xml:space="preserve">IGALL Phase </w:t>
      </w:r>
      <w:r>
        <w:rPr>
          <w:b/>
        </w:rPr>
        <w:t>2</w:t>
      </w:r>
      <w:r w:rsidRPr="006C1D9C">
        <w:rPr>
          <w:b/>
        </w:rPr>
        <w:t xml:space="preserve"> (201</w:t>
      </w:r>
      <w:r>
        <w:rPr>
          <w:b/>
        </w:rPr>
        <w:t>4</w:t>
      </w:r>
      <w:r w:rsidRPr="006C1D9C">
        <w:rPr>
          <w:b/>
        </w:rPr>
        <w:t>-201</w:t>
      </w:r>
      <w:r>
        <w:rPr>
          <w:b/>
        </w:rPr>
        <w:t>5</w:t>
      </w:r>
      <w:r w:rsidRPr="006C1D9C">
        <w:rPr>
          <w:b/>
        </w:rPr>
        <w:t xml:space="preserve">)  </w:t>
      </w:r>
    </w:p>
    <w:p w:rsidR="0036432D" w:rsidRPr="004A2B19" w:rsidRDefault="0036432D" w:rsidP="0036432D">
      <w:pPr>
        <w:jc w:val="both"/>
      </w:pPr>
      <w:r w:rsidRPr="004A2B19">
        <w:t xml:space="preserve">EBP activities </w:t>
      </w:r>
      <w:r>
        <w:t>were</w:t>
      </w:r>
      <w:r w:rsidRPr="004A2B19">
        <w:t xml:space="preserve"> </w:t>
      </w:r>
      <w:r>
        <w:t xml:space="preserve">in its Phase 2 </w:t>
      </w:r>
      <w:r w:rsidRPr="004A2B19">
        <w:t xml:space="preserve">guided by a </w:t>
      </w:r>
      <w:r>
        <w:t>S</w:t>
      </w:r>
      <w:r w:rsidRPr="004A2B19">
        <w:t xml:space="preserve">teering </w:t>
      </w:r>
      <w:r>
        <w:t>Committee (SC)</w:t>
      </w:r>
      <w:r w:rsidRPr="004A2B19">
        <w:t xml:space="preserve"> composed of senior Member State representatives</w:t>
      </w:r>
      <w:r>
        <w:t xml:space="preserve"> and</w:t>
      </w:r>
      <w:r w:rsidRPr="004A2B19">
        <w:t xml:space="preserve"> implemented by </w:t>
      </w:r>
      <w:r>
        <w:t>four</w:t>
      </w:r>
      <w:r w:rsidRPr="004A2B19">
        <w:t xml:space="preserve"> WG</w:t>
      </w:r>
      <w:r w:rsidR="0088361B">
        <w:t>s</w:t>
      </w:r>
      <w:r w:rsidRPr="004A2B19">
        <w:t xml:space="preserve">. The </w:t>
      </w:r>
      <w:r>
        <w:t>four</w:t>
      </w:r>
      <w:r w:rsidRPr="004A2B19">
        <w:t xml:space="preserve"> WGs dealt with the following areas:</w:t>
      </w:r>
    </w:p>
    <w:p w:rsidR="0036432D" w:rsidRPr="004A2B19" w:rsidRDefault="0036432D" w:rsidP="0036432D">
      <w:pPr>
        <w:widowControl w:val="0"/>
        <w:numPr>
          <w:ilvl w:val="0"/>
          <w:numId w:val="3"/>
        </w:numPr>
        <w:suppressAutoHyphens/>
        <w:ind w:right="-1"/>
        <w:jc w:val="both"/>
      </w:pPr>
      <w:r w:rsidRPr="004A2B19">
        <w:t>WG</w:t>
      </w:r>
      <w:r>
        <w:t xml:space="preserve"> CANDU </w:t>
      </w:r>
      <w:r w:rsidRPr="004A2B19">
        <w:t xml:space="preserve">- </w:t>
      </w:r>
      <w:r>
        <w:t xml:space="preserve">CANDU </w:t>
      </w:r>
      <w:r w:rsidRPr="004A2B19">
        <w:t>mechanical components;</w:t>
      </w:r>
    </w:p>
    <w:p w:rsidR="0036432D" w:rsidRDefault="0036432D" w:rsidP="0036432D">
      <w:pPr>
        <w:widowControl w:val="0"/>
        <w:numPr>
          <w:ilvl w:val="0"/>
          <w:numId w:val="3"/>
        </w:numPr>
        <w:suppressAutoHyphens/>
        <w:ind w:right="-1"/>
        <w:jc w:val="both"/>
      </w:pPr>
      <w:r w:rsidRPr="004A2B19">
        <w:t>WG</w:t>
      </w:r>
      <w:r>
        <w:t xml:space="preserve"> WWER –</w:t>
      </w:r>
      <w:r w:rsidRPr="008D2C44">
        <w:t xml:space="preserve"> </w:t>
      </w:r>
      <w:r>
        <w:t xml:space="preserve">WWER </w:t>
      </w:r>
      <w:r w:rsidRPr="004A2B19">
        <w:t>mechanical components;</w:t>
      </w:r>
    </w:p>
    <w:p w:rsidR="0036432D" w:rsidRPr="004A2B19" w:rsidRDefault="0036432D" w:rsidP="0036432D">
      <w:pPr>
        <w:widowControl w:val="0"/>
        <w:numPr>
          <w:ilvl w:val="0"/>
          <w:numId w:val="3"/>
        </w:numPr>
        <w:suppressAutoHyphens/>
        <w:ind w:right="-1"/>
        <w:jc w:val="both"/>
      </w:pPr>
      <w:r>
        <w:t xml:space="preserve">WG EI&amp;C - </w:t>
      </w:r>
      <w:r w:rsidRPr="004A2B19">
        <w:t>electrical and I&amp;C components;</w:t>
      </w:r>
    </w:p>
    <w:p w:rsidR="0036432D" w:rsidRDefault="0036432D" w:rsidP="0036432D">
      <w:pPr>
        <w:widowControl w:val="0"/>
        <w:numPr>
          <w:ilvl w:val="0"/>
          <w:numId w:val="3"/>
        </w:numPr>
        <w:suppressAutoHyphens/>
        <w:ind w:right="-1"/>
        <w:jc w:val="both"/>
      </w:pPr>
      <w:r w:rsidRPr="004A2B19">
        <w:t>WG</w:t>
      </w:r>
      <w:r>
        <w:t xml:space="preserve"> OBS –</w:t>
      </w:r>
      <w:r w:rsidRPr="004A2B19">
        <w:t xml:space="preserve"> </w:t>
      </w:r>
      <w:r>
        <w:t>technological obsolescence</w:t>
      </w:r>
      <w:r w:rsidRPr="004A2B19">
        <w:t>.</w:t>
      </w:r>
    </w:p>
    <w:p w:rsidR="0036432D" w:rsidRPr="00F42C74" w:rsidRDefault="0036432D" w:rsidP="0036432D">
      <w:pPr>
        <w:shd w:val="clear" w:color="auto" w:fill="FFFFFF"/>
        <w:spacing w:before="100" w:after="100"/>
        <w:rPr>
          <w:rFonts w:eastAsia="Batang"/>
          <w:szCs w:val="22"/>
        </w:rPr>
      </w:pPr>
      <w:r w:rsidRPr="00F42C74">
        <w:rPr>
          <w:rFonts w:eastAsia="Batang"/>
          <w:szCs w:val="22"/>
        </w:rPr>
        <w:t>Working Groups activities in their respective areas include:</w:t>
      </w:r>
    </w:p>
    <w:p w:rsidR="0036432D" w:rsidRPr="00873456" w:rsidRDefault="0036432D" w:rsidP="0036432D">
      <w:pPr>
        <w:widowControl w:val="0"/>
        <w:numPr>
          <w:ilvl w:val="0"/>
          <w:numId w:val="7"/>
        </w:numPr>
        <w:suppressAutoHyphens/>
        <w:ind w:right="-1"/>
        <w:jc w:val="both"/>
      </w:pPr>
      <w:r w:rsidRPr="00873456">
        <w:t>Explain to newcomers the IGALL development and ways of utilization;</w:t>
      </w:r>
    </w:p>
    <w:p w:rsidR="0036432D" w:rsidRPr="00873456" w:rsidRDefault="0036432D" w:rsidP="0036432D">
      <w:pPr>
        <w:widowControl w:val="0"/>
        <w:numPr>
          <w:ilvl w:val="0"/>
          <w:numId w:val="7"/>
        </w:numPr>
        <w:suppressAutoHyphens/>
        <w:ind w:right="-1"/>
        <w:jc w:val="both"/>
      </w:pPr>
      <w:r w:rsidRPr="00873456">
        <w:t>Collect additional AMPs, TLAAs and AMR lines;</w:t>
      </w:r>
    </w:p>
    <w:p w:rsidR="0036432D" w:rsidRPr="00873456" w:rsidRDefault="0036432D" w:rsidP="0036432D">
      <w:pPr>
        <w:widowControl w:val="0"/>
        <w:numPr>
          <w:ilvl w:val="0"/>
          <w:numId w:val="7"/>
        </w:numPr>
        <w:suppressAutoHyphens/>
        <w:ind w:right="-1"/>
        <w:jc w:val="both"/>
      </w:pPr>
      <w:r w:rsidRPr="00873456">
        <w:t>Use pilot plants to demonstrate the utilization of IGALL;</w:t>
      </w:r>
    </w:p>
    <w:p w:rsidR="0036432D" w:rsidRPr="00873456" w:rsidRDefault="0036432D" w:rsidP="0036432D">
      <w:pPr>
        <w:widowControl w:val="0"/>
        <w:numPr>
          <w:ilvl w:val="0"/>
          <w:numId w:val="7"/>
        </w:numPr>
        <w:suppressAutoHyphens/>
        <w:ind w:right="-1"/>
        <w:jc w:val="both"/>
      </w:pPr>
      <w:r w:rsidRPr="00873456">
        <w:t>Use the results of IGALL comparison with reference (pilot) plants to identify new lines in AMR tables and additional proved AMPs and TLAAs to supplement IGALL;</w:t>
      </w:r>
    </w:p>
    <w:p w:rsidR="0036432D" w:rsidRPr="00873456" w:rsidRDefault="0036432D" w:rsidP="0036432D">
      <w:pPr>
        <w:widowControl w:val="0"/>
        <w:numPr>
          <w:ilvl w:val="0"/>
          <w:numId w:val="7"/>
        </w:numPr>
        <w:suppressAutoHyphens/>
        <w:ind w:right="-1"/>
        <w:jc w:val="both"/>
      </w:pPr>
      <w:r w:rsidRPr="00873456">
        <w:t xml:space="preserve">Review and compare the information collected, identify common elements and differences; </w:t>
      </w:r>
    </w:p>
    <w:p w:rsidR="0036432D" w:rsidRPr="00873456" w:rsidRDefault="0036432D" w:rsidP="0036432D">
      <w:pPr>
        <w:widowControl w:val="0"/>
        <w:numPr>
          <w:ilvl w:val="0"/>
          <w:numId w:val="7"/>
        </w:numPr>
        <w:suppressAutoHyphens/>
        <w:ind w:right="-1"/>
        <w:jc w:val="both"/>
      </w:pPr>
      <w:r w:rsidRPr="00873456">
        <w:t xml:space="preserve">Reconcile the differences, in order to harmonize the efforts; </w:t>
      </w:r>
    </w:p>
    <w:p w:rsidR="0036432D" w:rsidRPr="00873456" w:rsidRDefault="0036432D" w:rsidP="0036432D">
      <w:pPr>
        <w:widowControl w:val="0"/>
        <w:numPr>
          <w:ilvl w:val="0"/>
          <w:numId w:val="7"/>
        </w:numPr>
        <w:suppressAutoHyphens/>
        <w:ind w:right="-1"/>
        <w:jc w:val="both"/>
      </w:pPr>
      <w:r w:rsidRPr="00873456">
        <w:t xml:space="preserve">Prepare new set of AMPs, TLAAs and AMR lines for SC approval. </w:t>
      </w:r>
    </w:p>
    <w:p w:rsidR="0036432D" w:rsidRDefault="0036432D" w:rsidP="0036432D">
      <w:pPr>
        <w:shd w:val="clear" w:color="auto" w:fill="FFFFFF"/>
        <w:spacing w:before="100" w:after="100"/>
        <w:rPr>
          <w:rFonts w:eastAsia="Batang"/>
          <w:szCs w:val="22"/>
        </w:rPr>
      </w:pPr>
      <w:r w:rsidRPr="00F42C74">
        <w:rPr>
          <w:rFonts w:eastAsia="Batang"/>
          <w:szCs w:val="22"/>
        </w:rPr>
        <w:t>WG</w:t>
      </w:r>
      <w:r w:rsidR="0088361B">
        <w:rPr>
          <w:rFonts w:eastAsia="Batang"/>
          <w:szCs w:val="22"/>
        </w:rPr>
        <w:t>s</w:t>
      </w:r>
      <w:r w:rsidRPr="00F42C74">
        <w:rPr>
          <w:rFonts w:eastAsia="Batang"/>
          <w:szCs w:val="22"/>
        </w:rPr>
        <w:t xml:space="preserve"> and </w:t>
      </w:r>
      <w:r>
        <w:rPr>
          <w:rFonts w:eastAsia="Batang"/>
          <w:szCs w:val="22"/>
        </w:rPr>
        <w:t>SC</w:t>
      </w:r>
      <w:r w:rsidRPr="00F42C74">
        <w:rPr>
          <w:rFonts w:eastAsia="Batang"/>
          <w:szCs w:val="22"/>
        </w:rPr>
        <w:t xml:space="preserve"> </w:t>
      </w:r>
      <w:r>
        <w:rPr>
          <w:rFonts w:eastAsia="Batang"/>
          <w:szCs w:val="22"/>
        </w:rPr>
        <w:t>worked</w:t>
      </w:r>
      <w:r w:rsidRPr="00F42C74">
        <w:rPr>
          <w:rFonts w:eastAsia="Batang"/>
          <w:szCs w:val="22"/>
        </w:rPr>
        <w:t xml:space="preserve"> through a web-based structure of data collection organized for purpose of the </w:t>
      </w:r>
      <w:proofErr w:type="spellStart"/>
      <w:r w:rsidRPr="00F42C74">
        <w:rPr>
          <w:rFonts w:eastAsia="Batang"/>
          <w:szCs w:val="22"/>
        </w:rPr>
        <w:t>Programme</w:t>
      </w:r>
      <w:proofErr w:type="spellEnd"/>
      <w:r>
        <w:rPr>
          <w:rFonts w:eastAsia="Batang"/>
          <w:szCs w:val="22"/>
        </w:rPr>
        <w:t xml:space="preserve">: </w:t>
      </w:r>
      <w:r w:rsidRPr="00357DD2">
        <w:rPr>
          <w:rFonts w:eastAsia="Batang"/>
          <w:szCs w:val="22"/>
          <w:u w:val="single"/>
        </w:rPr>
        <w:t>http://gnssn.iaea.org/sites/auth/NSNI/ExtPRJ/IGALL/DB/SitePages/Home.aspx</w:t>
      </w:r>
      <w:r>
        <w:rPr>
          <w:rFonts w:eastAsia="Batang"/>
          <w:szCs w:val="22"/>
        </w:rPr>
        <w:t>.</w:t>
      </w:r>
    </w:p>
    <w:p w:rsidR="0036432D" w:rsidRPr="00873456" w:rsidRDefault="0036432D" w:rsidP="0036432D">
      <w:pPr>
        <w:pStyle w:val="BodyTextMultiline"/>
        <w:numPr>
          <w:ilvl w:val="0"/>
          <w:numId w:val="0"/>
        </w:numPr>
        <w:spacing w:after="0" w:line="240" w:lineRule="auto"/>
        <w:rPr>
          <w:rFonts w:eastAsia="Batang"/>
          <w:sz w:val="24"/>
          <w:szCs w:val="22"/>
        </w:rPr>
      </w:pPr>
      <w:r>
        <w:rPr>
          <w:rFonts w:eastAsia="Batang"/>
          <w:sz w:val="24"/>
          <w:szCs w:val="22"/>
        </w:rPr>
        <w:t>An IGALL TM was</w:t>
      </w:r>
      <w:r w:rsidRPr="00873456">
        <w:rPr>
          <w:rFonts w:eastAsia="Batang"/>
          <w:sz w:val="24"/>
          <w:szCs w:val="22"/>
        </w:rPr>
        <w:t xml:space="preserve"> organized in </w:t>
      </w:r>
      <w:r>
        <w:rPr>
          <w:rFonts w:eastAsia="Batang"/>
          <w:sz w:val="24"/>
          <w:szCs w:val="22"/>
        </w:rPr>
        <w:t xml:space="preserve">November </w:t>
      </w:r>
      <w:r w:rsidRPr="00873456">
        <w:rPr>
          <w:rFonts w:eastAsia="Batang"/>
          <w:sz w:val="24"/>
          <w:szCs w:val="22"/>
        </w:rPr>
        <w:t>2015</w:t>
      </w:r>
      <w:r>
        <w:rPr>
          <w:rFonts w:eastAsia="Batang"/>
          <w:sz w:val="24"/>
          <w:szCs w:val="22"/>
        </w:rPr>
        <w:t>,</w:t>
      </w:r>
      <w:r w:rsidRPr="00873456">
        <w:rPr>
          <w:rFonts w:eastAsia="Batang"/>
          <w:sz w:val="24"/>
          <w:szCs w:val="22"/>
        </w:rPr>
        <w:t xml:space="preserve"> and provide</w:t>
      </w:r>
      <w:r>
        <w:rPr>
          <w:rFonts w:eastAsia="Batang"/>
          <w:sz w:val="24"/>
          <w:szCs w:val="22"/>
        </w:rPr>
        <w:t>d</w:t>
      </w:r>
      <w:r w:rsidRPr="00873456">
        <w:rPr>
          <w:rFonts w:eastAsia="Batang"/>
          <w:sz w:val="24"/>
          <w:szCs w:val="22"/>
        </w:rPr>
        <w:t xml:space="preserve"> </w:t>
      </w:r>
      <w:r>
        <w:rPr>
          <w:rFonts w:eastAsia="Batang"/>
          <w:sz w:val="24"/>
          <w:szCs w:val="22"/>
        </w:rPr>
        <w:t xml:space="preserve">additional </w:t>
      </w:r>
      <w:r w:rsidRPr="00873456">
        <w:rPr>
          <w:rFonts w:eastAsia="Batang"/>
          <w:sz w:val="24"/>
          <w:szCs w:val="22"/>
        </w:rPr>
        <w:t>advice for IGALL Phase 3.</w:t>
      </w:r>
      <w:r>
        <w:rPr>
          <w:rFonts w:eastAsia="Batang"/>
          <w:sz w:val="24"/>
          <w:szCs w:val="22"/>
        </w:rPr>
        <w:t xml:space="preserve"> </w:t>
      </w:r>
      <w:r w:rsidRPr="00873456">
        <w:rPr>
          <w:rFonts w:eastAsia="Batang"/>
          <w:sz w:val="24"/>
          <w:szCs w:val="22"/>
        </w:rPr>
        <w:t xml:space="preserve">IGALL Phase </w:t>
      </w:r>
      <w:r>
        <w:rPr>
          <w:rFonts w:eastAsia="Batang"/>
          <w:sz w:val="24"/>
          <w:szCs w:val="22"/>
        </w:rPr>
        <w:t>2</w:t>
      </w:r>
      <w:r w:rsidRPr="00873456">
        <w:rPr>
          <w:rFonts w:eastAsia="Batang"/>
          <w:sz w:val="24"/>
          <w:szCs w:val="22"/>
        </w:rPr>
        <w:t xml:space="preserve"> </w:t>
      </w:r>
      <w:r>
        <w:rPr>
          <w:rFonts w:eastAsia="Batang"/>
          <w:sz w:val="24"/>
          <w:szCs w:val="22"/>
        </w:rPr>
        <w:t>was</w:t>
      </w:r>
      <w:r w:rsidRPr="00873456">
        <w:rPr>
          <w:rFonts w:eastAsia="Batang"/>
          <w:sz w:val="24"/>
          <w:szCs w:val="22"/>
        </w:rPr>
        <w:t xml:space="preserve"> completed and results </w:t>
      </w:r>
      <w:r>
        <w:rPr>
          <w:rFonts w:eastAsia="Batang"/>
          <w:sz w:val="24"/>
          <w:szCs w:val="22"/>
        </w:rPr>
        <w:t>were</w:t>
      </w:r>
      <w:r w:rsidRPr="00873456">
        <w:rPr>
          <w:rFonts w:eastAsia="Batang"/>
          <w:sz w:val="24"/>
          <w:szCs w:val="22"/>
        </w:rPr>
        <w:t xml:space="preserve"> approved by SC in November 2015. </w:t>
      </w:r>
    </w:p>
    <w:p w:rsidR="0036432D" w:rsidRDefault="0036432D" w:rsidP="0036432D">
      <w:pPr>
        <w:pStyle w:val="BodyTextMultiline"/>
        <w:numPr>
          <w:ilvl w:val="0"/>
          <w:numId w:val="0"/>
        </w:numPr>
        <w:spacing w:after="0" w:line="240" w:lineRule="auto"/>
        <w:rPr>
          <w:b/>
          <w:sz w:val="24"/>
        </w:rPr>
      </w:pPr>
    </w:p>
    <w:p w:rsidR="0036432D" w:rsidRPr="006C1D9C" w:rsidRDefault="0036432D" w:rsidP="0036432D">
      <w:pPr>
        <w:pStyle w:val="BodyTextMultiline"/>
        <w:numPr>
          <w:ilvl w:val="0"/>
          <w:numId w:val="0"/>
        </w:numPr>
        <w:spacing w:after="0" w:line="240" w:lineRule="auto"/>
        <w:rPr>
          <w:b/>
          <w:sz w:val="24"/>
        </w:rPr>
      </w:pPr>
      <w:r w:rsidRPr="006C1D9C">
        <w:rPr>
          <w:b/>
          <w:sz w:val="24"/>
        </w:rPr>
        <w:t xml:space="preserve">IGALL Phase </w:t>
      </w:r>
      <w:r>
        <w:rPr>
          <w:b/>
          <w:sz w:val="24"/>
        </w:rPr>
        <w:t>3</w:t>
      </w:r>
      <w:r w:rsidRPr="006C1D9C">
        <w:rPr>
          <w:b/>
          <w:sz w:val="24"/>
        </w:rPr>
        <w:t xml:space="preserve"> (201</w:t>
      </w:r>
      <w:r>
        <w:rPr>
          <w:b/>
          <w:sz w:val="24"/>
        </w:rPr>
        <w:t>6</w:t>
      </w:r>
      <w:r w:rsidRPr="006C1D9C">
        <w:rPr>
          <w:b/>
          <w:sz w:val="24"/>
        </w:rPr>
        <w:t>-201</w:t>
      </w:r>
      <w:r>
        <w:rPr>
          <w:b/>
          <w:sz w:val="24"/>
        </w:rPr>
        <w:t>7</w:t>
      </w:r>
      <w:r w:rsidRPr="006C1D9C">
        <w:rPr>
          <w:b/>
          <w:sz w:val="24"/>
        </w:rPr>
        <w:t xml:space="preserve">)  </w:t>
      </w:r>
    </w:p>
    <w:p w:rsidR="0036432D" w:rsidRDefault="0036432D" w:rsidP="0036432D">
      <w:pPr>
        <w:pStyle w:val="BodyTextMultiline"/>
        <w:numPr>
          <w:ilvl w:val="0"/>
          <w:numId w:val="0"/>
        </w:numPr>
        <w:spacing w:after="0" w:line="240" w:lineRule="auto"/>
        <w:rPr>
          <w:rFonts w:eastAsia="Batang"/>
          <w:sz w:val="24"/>
          <w:szCs w:val="22"/>
        </w:rPr>
      </w:pPr>
      <w:r w:rsidRPr="00395394">
        <w:rPr>
          <w:rFonts w:eastAsia="Batang"/>
          <w:sz w:val="24"/>
          <w:szCs w:val="22"/>
        </w:rPr>
        <w:t>EB</w:t>
      </w:r>
      <w:r>
        <w:rPr>
          <w:rFonts w:eastAsia="Batang"/>
          <w:sz w:val="24"/>
          <w:szCs w:val="22"/>
        </w:rPr>
        <w:t>P was continued during the years 2016 and 2017 based on the decisions taken at the SC meeting in December 2015. The objectives to be performed during IGALL Phase 3 were fixed as follows:</w:t>
      </w:r>
    </w:p>
    <w:p w:rsidR="0036432D" w:rsidRPr="00FB0D99" w:rsidRDefault="0036432D" w:rsidP="0036432D">
      <w:pPr>
        <w:pStyle w:val="BodyTextMultiline"/>
        <w:numPr>
          <w:ilvl w:val="1"/>
          <w:numId w:val="8"/>
        </w:numPr>
        <w:tabs>
          <w:tab w:val="clear" w:pos="1440"/>
        </w:tabs>
        <w:spacing w:before="40" w:after="40" w:line="240" w:lineRule="auto"/>
        <w:ind w:left="568" w:hanging="284"/>
        <w:rPr>
          <w:sz w:val="24"/>
        </w:rPr>
      </w:pPr>
      <w:r w:rsidRPr="00FB0D99">
        <w:rPr>
          <w:sz w:val="24"/>
        </w:rPr>
        <w:t>Prepare IGALL Safety Report, version 2018</w:t>
      </w:r>
      <w:r>
        <w:rPr>
          <w:sz w:val="24"/>
        </w:rPr>
        <w:t>;</w:t>
      </w:r>
    </w:p>
    <w:p w:rsidR="0036432D" w:rsidRPr="00FB0D99" w:rsidRDefault="0036432D" w:rsidP="0036432D">
      <w:pPr>
        <w:pStyle w:val="BodyTextMultiline"/>
        <w:numPr>
          <w:ilvl w:val="1"/>
          <w:numId w:val="8"/>
        </w:numPr>
        <w:tabs>
          <w:tab w:val="clear" w:pos="1440"/>
        </w:tabs>
        <w:spacing w:before="40" w:after="40" w:line="240" w:lineRule="auto"/>
        <w:ind w:left="567" w:hanging="284"/>
        <w:rPr>
          <w:sz w:val="24"/>
        </w:rPr>
      </w:pPr>
      <w:r w:rsidRPr="00FB0D99">
        <w:rPr>
          <w:sz w:val="24"/>
          <w:lang w:val="en-GB"/>
        </w:rPr>
        <w:t>Update IGALL database and enhance its completeness</w:t>
      </w:r>
      <w:r>
        <w:rPr>
          <w:sz w:val="24"/>
          <w:lang w:val="en-GB"/>
        </w:rPr>
        <w:t>;</w:t>
      </w:r>
    </w:p>
    <w:p w:rsidR="0036432D" w:rsidRPr="00FB0D99" w:rsidRDefault="0036432D" w:rsidP="0036432D">
      <w:pPr>
        <w:pStyle w:val="BodyTextMultiline"/>
        <w:numPr>
          <w:ilvl w:val="1"/>
          <w:numId w:val="8"/>
        </w:numPr>
        <w:tabs>
          <w:tab w:val="clear" w:pos="1440"/>
        </w:tabs>
        <w:spacing w:before="40" w:after="40" w:line="240" w:lineRule="auto"/>
        <w:ind w:left="567" w:hanging="284"/>
        <w:rPr>
          <w:sz w:val="24"/>
        </w:rPr>
      </w:pPr>
      <w:r w:rsidRPr="00FB0D99">
        <w:rPr>
          <w:sz w:val="24"/>
          <w:lang w:val="en-GB"/>
        </w:rPr>
        <w:t>Support MS in implementing and using IGALL</w:t>
      </w:r>
      <w:r>
        <w:rPr>
          <w:sz w:val="24"/>
          <w:lang w:val="en-GB"/>
        </w:rPr>
        <w:t>.</w:t>
      </w:r>
    </w:p>
    <w:p w:rsidR="0036432D" w:rsidRDefault="0036432D" w:rsidP="0036432D">
      <w:pPr>
        <w:pStyle w:val="BodyTextMultiline"/>
        <w:numPr>
          <w:ilvl w:val="0"/>
          <w:numId w:val="0"/>
        </w:numPr>
        <w:spacing w:after="0" w:line="240" w:lineRule="auto"/>
        <w:rPr>
          <w:sz w:val="24"/>
        </w:rPr>
      </w:pPr>
      <w:r>
        <w:rPr>
          <w:sz w:val="24"/>
        </w:rPr>
        <w:t>Topics 1 and 2 were processed within the working groups, whereas topic 3 was the task to be performed by IAEA.</w:t>
      </w:r>
    </w:p>
    <w:p w:rsidR="0036432D" w:rsidRDefault="0036432D" w:rsidP="0036432D">
      <w:pPr>
        <w:pStyle w:val="BodyTextMultiline"/>
        <w:numPr>
          <w:ilvl w:val="0"/>
          <w:numId w:val="0"/>
        </w:numPr>
        <w:spacing w:after="0" w:line="240" w:lineRule="auto"/>
        <w:rPr>
          <w:sz w:val="24"/>
        </w:rPr>
      </w:pPr>
      <w:r>
        <w:rPr>
          <w:sz w:val="24"/>
        </w:rPr>
        <w:t>To achieve the goals described in topics 1 and 2, three working groups dealt with the following areas:</w:t>
      </w:r>
    </w:p>
    <w:p w:rsidR="0036432D" w:rsidRPr="004A2B19" w:rsidRDefault="0036432D" w:rsidP="0036432D">
      <w:pPr>
        <w:widowControl w:val="0"/>
        <w:numPr>
          <w:ilvl w:val="0"/>
          <w:numId w:val="3"/>
        </w:numPr>
        <w:suppressAutoHyphens/>
        <w:spacing w:before="40" w:after="40"/>
        <w:ind w:left="714" w:hanging="357"/>
        <w:jc w:val="both"/>
      </w:pPr>
      <w:r w:rsidRPr="004A2B19">
        <w:t>WG1- mechanical components;</w:t>
      </w:r>
    </w:p>
    <w:p w:rsidR="0036432D" w:rsidRPr="004A2B19" w:rsidRDefault="0036432D" w:rsidP="0036432D">
      <w:pPr>
        <w:widowControl w:val="0"/>
        <w:numPr>
          <w:ilvl w:val="0"/>
          <w:numId w:val="3"/>
        </w:numPr>
        <w:suppressAutoHyphens/>
        <w:spacing w:before="40" w:after="40"/>
        <w:ind w:left="714" w:hanging="357"/>
        <w:jc w:val="both"/>
      </w:pPr>
      <w:r w:rsidRPr="004A2B19">
        <w:t>WG2- electrical and I&amp;C components;</w:t>
      </w:r>
    </w:p>
    <w:p w:rsidR="0036432D" w:rsidRPr="004A2B19" w:rsidRDefault="0036432D" w:rsidP="0036432D">
      <w:pPr>
        <w:widowControl w:val="0"/>
        <w:numPr>
          <w:ilvl w:val="0"/>
          <w:numId w:val="3"/>
        </w:numPr>
        <w:suppressAutoHyphens/>
        <w:spacing w:before="40" w:after="40"/>
        <w:ind w:left="714" w:hanging="357"/>
        <w:jc w:val="both"/>
      </w:pPr>
      <w:r w:rsidRPr="004A2B19">
        <w:t>WG3- civil structures and components</w:t>
      </w:r>
      <w:r>
        <w:t>;</w:t>
      </w:r>
    </w:p>
    <w:p w:rsidR="0036432D" w:rsidRDefault="0036432D" w:rsidP="0036432D">
      <w:pPr>
        <w:pStyle w:val="BodyTextMultiline"/>
        <w:numPr>
          <w:ilvl w:val="0"/>
          <w:numId w:val="0"/>
        </w:numPr>
        <w:spacing w:after="0" w:line="240" w:lineRule="auto"/>
        <w:rPr>
          <w:sz w:val="24"/>
        </w:rPr>
      </w:pPr>
      <w:proofErr w:type="gramStart"/>
      <w:r>
        <w:rPr>
          <w:sz w:val="24"/>
        </w:rPr>
        <w:t>and</w:t>
      </w:r>
      <w:proofErr w:type="gramEnd"/>
      <w:r>
        <w:rPr>
          <w:sz w:val="24"/>
        </w:rPr>
        <w:t xml:space="preserve"> worked according to the objectives approved at the SC meeting in December 2015:</w:t>
      </w:r>
    </w:p>
    <w:p w:rsidR="0036432D" w:rsidRPr="00A35540" w:rsidRDefault="0036432D" w:rsidP="0036432D">
      <w:pPr>
        <w:pStyle w:val="BodyTextMultiline"/>
        <w:numPr>
          <w:ilvl w:val="1"/>
          <w:numId w:val="9"/>
        </w:numPr>
        <w:tabs>
          <w:tab w:val="clear" w:pos="1440"/>
        </w:tabs>
        <w:spacing w:before="40" w:after="40" w:line="240" w:lineRule="auto"/>
        <w:ind w:left="709" w:hanging="357"/>
        <w:rPr>
          <w:sz w:val="24"/>
        </w:rPr>
      </w:pPr>
      <w:r w:rsidRPr="00A35540">
        <w:rPr>
          <w:sz w:val="24"/>
        </w:rPr>
        <w:t>Collect MS proposals for improvement of the main text (sections 1-5</w:t>
      </w:r>
      <w:r>
        <w:rPr>
          <w:sz w:val="24"/>
        </w:rPr>
        <w:t xml:space="preserve"> of SRS 82</w:t>
      </w:r>
      <w:r w:rsidRPr="00A35540">
        <w:rPr>
          <w:sz w:val="24"/>
        </w:rPr>
        <w:t>) and incorporate approved changes</w:t>
      </w:r>
      <w:r>
        <w:rPr>
          <w:sz w:val="24"/>
        </w:rPr>
        <w:t>;</w:t>
      </w:r>
    </w:p>
    <w:p w:rsidR="0036432D" w:rsidRDefault="0036432D" w:rsidP="0036432D">
      <w:pPr>
        <w:pStyle w:val="BodyTextMultiline"/>
        <w:numPr>
          <w:ilvl w:val="1"/>
          <w:numId w:val="9"/>
        </w:numPr>
        <w:tabs>
          <w:tab w:val="clear" w:pos="1440"/>
        </w:tabs>
        <w:spacing w:before="40" w:after="40" w:line="240" w:lineRule="auto"/>
        <w:ind w:left="709" w:hanging="357"/>
        <w:rPr>
          <w:sz w:val="24"/>
        </w:rPr>
      </w:pPr>
      <w:r w:rsidRPr="00F44538">
        <w:rPr>
          <w:sz w:val="24"/>
        </w:rPr>
        <w:t>Assure consistency with new NS-G-2.12</w:t>
      </w:r>
      <w:r>
        <w:rPr>
          <w:sz w:val="24"/>
        </w:rPr>
        <w:t>;</w:t>
      </w:r>
    </w:p>
    <w:p w:rsidR="0036432D" w:rsidRPr="00F44538" w:rsidRDefault="0036432D" w:rsidP="0036432D">
      <w:pPr>
        <w:pStyle w:val="BodyTextMultiline"/>
        <w:numPr>
          <w:ilvl w:val="1"/>
          <w:numId w:val="9"/>
        </w:numPr>
        <w:tabs>
          <w:tab w:val="clear" w:pos="1440"/>
        </w:tabs>
        <w:spacing w:before="40" w:after="40" w:line="240" w:lineRule="auto"/>
        <w:ind w:left="709" w:hanging="357"/>
        <w:rPr>
          <w:sz w:val="24"/>
        </w:rPr>
      </w:pPr>
      <w:r w:rsidRPr="00F44538">
        <w:rPr>
          <w:sz w:val="24"/>
        </w:rPr>
        <w:lastRenderedPageBreak/>
        <w:t>Update References, Appendices I, II, and III, list of abbreviations, list of contributors</w:t>
      </w:r>
      <w:r>
        <w:rPr>
          <w:sz w:val="24"/>
        </w:rPr>
        <w:t>;</w:t>
      </w:r>
    </w:p>
    <w:p w:rsidR="0036432D" w:rsidRPr="00A35540" w:rsidRDefault="0036432D" w:rsidP="0036432D">
      <w:pPr>
        <w:pStyle w:val="BodyTextMultiline"/>
        <w:numPr>
          <w:ilvl w:val="1"/>
          <w:numId w:val="9"/>
        </w:numPr>
        <w:tabs>
          <w:tab w:val="clear" w:pos="1440"/>
        </w:tabs>
        <w:spacing w:before="40" w:after="40" w:line="240" w:lineRule="auto"/>
        <w:ind w:left="709" w:hanging="357"/>
        <w:rPr>
          <w:sz w:val="24"/>
        </w:rPr>
      </w:pPr>
      <w:r w:rsidRPr="00A35540">
        <w:rPr>
          <w:sz w:val="24"/>
        </w:rPr>
        <w:t>Collect additional AMPs and TLAAs</w:t>
      </w:r>
      <w:r>
        <w:rPr>
          <w:sz w:val="24"/>
        </w:rPr>
        <w:t>;</w:t>
      </w:r>
    </w:p>
    <w:p w:rsidR="0036432D" w:rsidRPr="00A35540" w:rsidRDefault="0036432D" w:rsidP="0036432D">
      <w:pPr>
        <w:pStyle w:val="BodyTextMultiline"/>
        <w:numPr>
          <w:ilvl w:val="1"/>
          <w:numId w:val="9"/>
        </w:numPr>
        <w:tabs>
          <w:tab w:val="clear" w:pos="1440"/>
        </w:tabs>
        <w:spacing w:before="40" w:after="40" w:line="240" w:lineRule="auto"/>
        <w:ind w:left="709" w:hanging="357"/>
        <w:rPr>
          <w:sz w:val="24"/>
        </w:rPr>
      </w:pPr>
      <w:r w:rsidRPr="00A35540">
        <w:rPr>
          <w:sz w:val="24"/>
        </w:rPr>
        <w:t>Update or add reference documents in all AMPs and TLAAs after evaluation of impact</w:t>
      </w:r>
      <w:r>
        <w:rPr>
          <w:sz w:val="24"/>
        </w:rPr>
        <w:t>;</w:t>
      </w:r>
    </w:p>
    <w:p w:rsidR="0036432D" w:rsidRPr="00A35540" w:rsidRDefault="0036432D" w:rsidP="0036432D">
      <w:pPr>
        <w:pStyle w:val="BodyTextMultiline"/>
        <w:numPr>
          <w:ilvl w:val="1"/>
          <w:numId w:val="9"/>
        </w:numPr>
        <w:tabs>
          <w:tab w:val="clear" w:pos="1440"/>
        </w:tabs>
        <w:spacing w:before="40" w:after="40" w:line="240" w:lineRule="auto"/>
        <w:ind w:left="709" w:hanging="357"/>
        <w:rPr>
          <w:sz w:val="24"/>
        </w:rPr>
      </w:pPr>
      <w:r w:rsidRPr="00A35540">
        <w:rPr>
          <w:sz w:val="24"/>
        </w:rPr>
        <w:t>Update operating experience in all AMPs</w:t>
      </w:r>
      <w:r>
        <w:rPr>
          <w:sz w:val="24"/>
        </w:rPr>
        <w:t>;</w:t>
      </w:r>
    </w:p>
    <w:p w:rsidR="0036432D" w:rsidRPr="00A35540" w:rsidRDefault="0036432D" w:rsidP="0036432D">
      <w:pPr>
        <w:pStyle w:val="BodyTextMultiline"/>
        <w:numPr>
          <w:ilvl w:val="1"/>
          <w:numId w:val="9"/>
        </w:numPr>
        <w:tabs>
          <w:tab w:val="clear" w:pos="1440"/>
        </w:tabs>
        <w:spacing w:before="40" w:after="40" w:line="240" w:lineRule="auto"/>
        <w:ind w:left="709" w:hanging="357"/>
        <w:rPr>
          <w:sz w:val="24"/>
        </w:rPr>
      </w:pPr>
      <w:r w:rsidRPr="00A35540">
        <w:rPr>
          <w:sz w:val="24"/>
        </w:rPr>
        <w:t>Improve consistency and use of definitions, particularly of ageing effects/degradation mechanisms in AMR table, SRS 82, AMPs and TLAAs</w:t>
      </w:r>
      <w:r>
        <w:rPr>
          <w:sz w:val="24"/>
        </w:rPr>
        <w:t>.</w:t>
      </w:r>
    </w:p>
    <w:p w:rsidR="0036432D" w:rsidRDefault="0036432D" w:rsidP="0036432D">
      <w:pPr>
        <w:pStyle w:val="BodyTextMultiline"/>
        <w:numPr>
          <w:ilvl w:val="0"/>
          <w:numId w:val="0"/>
        </w:numPr>
        <w:spacing w:before="120" w:line="240" w:lineRule="auto"/>
        <w:ind w:left="66"/>
        <w:rPr>
          <w:sz w:val="24"/>
        </w:rPr>
      </w:pPr>
      <w:r>
        <w:rPr>
          <w:sz w:val="24"/>
        </w:rPr>
        <w:t>All WGs results were presented during SC meetings in December 2016 and December 2017; all finalized documents initially developed and/or comprehensively reviewed and updated during IGALL Phase 3 were finally approved by SC. As not all of the tasks, originally planned to be performed during IGALL Phase 3, were fully completed, the postponement of their finalization to IGALL Phase 4 was as well approved by SC.</w:t>
      </w:r>
    </w:p>
    <w:p w:rsidR="0036432D" w:rsidRPr="00A35540" w:rsidRDefault="0036432D" w:rsidP="0036432D">
      <w:pPr>
        <w:pStyle w:val="BodyTextMultiline"/>
        <w:numPr>
          <w:ilvl w:val="0"/>
          <w:numId w:val="0"/>
        </w:numPr>
        <w:spacing w:before="120" w:line="240" w:lineRule="auto"/>
        <w:ind w:left="66"/>
        <w:rPr>
          <w:sz w:val="24"/>
        </w:rPr>
      </w:pPr>
      <w:r>
        <w:rPr>
          <w:sz w:val="24"/>
        </w:rPr>
        <w:t>Based on these approvals, SRS 82 will be published in 2018; all other approved documents like AMPs, TLAAs, and the AMR master table will be uploaded on the publicly available website for common use.</w:t>
      </w:r>
    </w:p>
    <w:p w:rsidR="0036432D" w:rsidRPr="00FB0D99" w:rsidRDefault="0036432D" w:rsidP="0036432D">
      <w:pPr>
        <w:pStyle w:val="BodyTextMultiline"/>
        <w:numPr>
          <w:ilvl w:val="0"/>
          <w:numId w:val="0"/>
        </w:numPr>
        <w:spacing w:after="0" w:line="240" w:lineRule="auto"/>
      </w:pPr>
    </w:p>
    <w:p w:rsidR="0036432D" w:rsidRPr="006C1D9C" w:rsidRDefault="0036432D" w:rsidP="0036432D">
      <w:pPr>
        <w:pStyle w:val="BodyTextMultiline"/>
        <w:numPr>
          <w:ilvl w:val="0"/>
          <w:numId w:val="0"/>
        </w:numPr>
        <w:spacing w:after="0" w:line="240" w:lineRule="auto"/>
        <w:rPr>
          <w:b/>
          <w:sz w:val="24"/>
        </w:rPr>
      </w:pPr>
      <w:r w:rsidRPr="006C1D9C">
        <w:rPr>
          <w:b/>
          <w:sz w:val="24"/>
        </w:rPr>
        <w:t xml:space="preserve">IGALL Phase </w:t>
      </w:r>
      <w:r>
        <w:rPr>
          <w:b/>
          <w:sz w:val="24"/>
        </w:rPr>
        <w:t>4</w:t>
      </w:r>
      <w:r w:rsidRPr="006C1D9C">
        <w:rPr>
          <w:b/>
          <w:sz w:val="24"/>
        </w:rPr>
        <w:t xml:space="preserve"> (201</w:t>
      </w:r>
      <w:r>
        <w:rPr>
          <w:b/>
          <w:sz w:val="24"/>
        </w:rPr>
        <w:t>8</w:t>
      </w:r>
      <w:r w:rsidRPr="006C1D9C">
        <w:rPr>
          <w:b/>
          <w:sz w:val="24"/>
        </w:rPr>
        <w:t>-201</w:t>
      </w:r>
      <w:r>
        <w:rPr>
          <w:b/>
          <w:sz w:val="24"/>
        </w:rPr>
        <w:t>9</w:t>
      </w:r>
      <w:r w:rsidRPr="006C1D9C">
        <w:rPr>
          <w:b/>
          <w:sz w:val="24"/>
        </w:rPr>
        <w:t xml:space="preserve">)  </w:t>
      </w:r>
    </w:p>
    <w:p w:rsidR="0036432D" w:rsidRDefault="0036432D" w:rsidP="0036432D">
      <w:pPr>
        <w:jc w:val="both"/>
        <w:rPr>
          <w:bCs/>
          <w:lang w:val="en-GB"/>
        </w:rPr>
      </w:pPr>
      <w:r w:rsidRPr="00AE3A07">
        <w:rPr>
          <w:bCs/>
          <w:lang w:val="en-GB"/>
        </w:rPr>
        <w:t xml:space="preserve">Tasks and organizational structure for IGALL Phase 4 was determined based on IGALL SC advice during the meeting in December 2017. In particular, the following topics were approved by SC to be performed during </w:t>
      </w:r>
      <w:r w:rsidR="00B87C9F">
        <w:rPr>
          <w:bCs/>
          <w:lang w:val="en-GB"/>
        </w:rPr>
        <w:t>P</w:t>
      </w:r>
      <w:r w:rsidRPr="00AE3A07">
        <w:rPr>
          <w:bCs/>
          <w:lang w:val="en-GB"/>
        </w:rPr>
        <w:t>hase 4:</w:t>
      </w:r>
    </w:p>
    <w:p w:rsidR="0075462B" w:rsidRDefault="0075462B" w:rsidP="0036432D">
      <w:pPr>
        <w:jc w:val="both"/>
        <w:rPr>
          <w:b/>
          <w:bCs/>
          <w:lang w:val="en-GB"/>
        </w:rPr>
      </w:pPr>
    </w:p>
    <w:p w:rsidR="00214C50" w:rsidRPr="00214C50" w:rsidRDefault="00214C50" w:rsidP="0036432D">
      <w:pPr>
        <w:jc w:val="both"/>
        <w:rPr>
          <w:b/>
          <w:bCs/>
          <w:lang w:val="en-GB"/>
        </w:rPr>
      </w:pPr>
      <w:r>
        <w:rPr>
          <w:b/>
          <w:bCs/>
          <w:lang w:val="en-GB"/>
        </w:rPr>
        <w:t>IGALL Phase 4 o</w:t>
      </w:r>
      <w:r w:rsidRPr="00214C50">
        <w:rPr>
          <w:b/>
          <w:bCs/>
          <w:lang w:val="en-GB"/>
        </w:rPr>
        <w:t>bjectives and tasks:</w:t>
      </w:r>
    </w:p>
    <w:p w:rsidR="00214C50" w:rsidRDefault="00214C50" w:rsidP="00214C50">
      <w:pPr>
        <w:numPr>
          <w:ilvl w:val="0"/>
          <w:numId w:val="10"/>
        </w:numPr>
        <w:rPr>
          <w:lang w:val="en-GB"/>
        </w:rPr>
      </w:pPr>
      <w:r>
        <w:rPr>
          <w:lang w:val="en-GB"/>
        </w:rPr>
        <w:t>Enhancement of AMPs and TLAAs:</w:t>
      </w:r>
    </w:p>
    <w:p w:rsidR="00214C50" w:rsidRPr="008F4C7F" w:rsidRDefault="00214C50" w:rsidP="00214C50">
      <w:pPr>
        <w:numPr>
          <w:ilvl w:val="1"/>
          <w:numId w:val="10"/>
        </w:numPr>
        <w:rPr>
          <w:lang w:val="en-GB"/>
        </w:rPr>
      </w:pPr>
      <w:r>
        <w:rPr>
          <w:lang w:val="en-GB"/>
        </w:rPr>
        <w:t xml:space="preserve">Collect new AMPs and </w:t>
      </w:r>
      <w:r w:rsidRPr="00E00D36">
        <w:rPr>
          <w:lang w:val="en-GB"/>
        </w:rPr>
        <w:t>TLAAs</w:t>
      </w:r>
      <w:r w:rsidRPr="00E00D36">
        <w:t xml:space="preserve"> </w:t>
      </w:r>
      <w:r w:rsidRPr="00E00D36">
        <w:rPr>
          <w:lang w:val="en-GB"/>
        </w:rPr>
        <w:t>and</w:t>
      </w:r>
      <w:r>
        <w:rPr>
          <w:lang w:val="en-GB"/>
        </w:rPr>
        <w:t xml:space="preserve"> update existing AMPs and TLAAs</w:t>
      </w:r>
    </w:p>
    <w:p w:rsidR="00214C50" w:rsidRPr="00712476" w:rsidRDefault="00214C50" w:rsidP="00214C50">
      <w:pPr>
        <w:numPr>
          <w:ilvl w:val="1"/>
          <w:numId w:val="10"/>
        </w:numPr>
        <w:rPr>
          <w:lang w:val="en-GB"/>
        </w:rPr>
      </w:pPr>
      <w:r w:rsidRPr="008C0C70">
        <w:t>Use US NPPs plant-specific AMPs</w:t>
      </w:r>
      <w:r>
        <w:t xml:space="preserve">, </w:t>
      </w:r>
      <w:r w:rsidRPr="008C0C70">
        <w:t xml:space="preserve">plant-specific </w:t>
      </w:r>
      <w:r>
        <w:t>TLAAs</w:t>
      </w:r>
      <w:r w:rsidRPr="008C0C70">
        <w:t xml:space="preserve"> and plant-specific AMR line items for IGALL enhancement</w:t>
      </w:r>
      <w:r>
        <w:t xml:space="preserve"> (US industry participation necessary)</w:t>
      </w:r>
    </w:p>
    <w:p w:rsidR="00214C50" w:rsidRPr="00712476" w:rsidRDefault="00214C50" w:rsidP="00214C50">
      <w:pPr>
        <w:numPr>
          <w:ilvl w:val="1"/>
          <w:numId w:val="10"/>
        </w:numPr>
        <w:rPr>
          <w:lang w:val="en-GB"/>
        </w:rPr>
      </w:pPr>
      <w:r>
        <w:t>Evaluate impact of final GALL SLR on IGALL AMPs</w:t>
      </w:r>
      <w:r w:rsidRPr="008C0C70">
        <w:t xml:space="preserve"> </w:t>
      </w:r>
    </w:p>
    <w:p w:rsidR="00214C50" w:rsidRPr="00FE0487" w:rsidRDefault="00214C50" w:rsidP="00214C50">
      <w:pPr>
        <w:numPr>
          <w:ilvl w:val="1"/>
          <w:numId w:val="10"/>
        </w:numPr>
        <w:rPr>
          <w:lang w:val="en-GB"/>
        </w:rPr>
      </w:pPr>
      <w:r>
        <w:rPr>
          <w:lang w:val="en-GB"/>
        </w:rPr>
        <w:t>Check possibility of consolidation of existing AMPs</w:t>
      </w:r>
      <w:r>
        <w:t xml:space="preserve"> and TLAAs</w:t>
      </w:r>
    </w:p>
    <w:p w:rsidR="00214C50" w:rsidRPr="00721E8B" w:rsidRDefault="00214C50" w:rsidP="00214C50">
      <w:pPr>
        <w:numPr>
          <w:ilvl w:val="1"/>
          <w:numId w:val="10"/>
        </w:numPr>
        <w:rPr>
          <w:lang w:val="en-GB"/>
        </w:rPr>
      </w:pPr>
      <w:r>
        <w:t>WG1 – AMPs and TLAAs from AGR</w:t>
      </w:r>
    </w:p>
    <w:p w:rsidR="00214C50" w:rsidRPr="00CA6C44" w:rsidRDefault="00214C50" w:rsidP="00214C50">
      <w:pPr>
        <w:numPr>
          <w:ilvl w:val="1"/>
          <w:numId w:val="10"/>
        </w:numPr>
        <w:rPr>
          <w:lang w:val="en-GB"/>
        </w:rPr>
      </w:pPr>
      <w:r>
        <w:t>WG2 – AMP for optical cables</w:t>
      </w:r>
    </w:p>
    <w:p w:rsidR="00214C50" w:rsidRPr="00CA6C44" w:rsidRDefault="00214C50" w:rsidP="00214C50">
      <w:pPr>
        <w:numPr>
          <w:ilvl w:val="1"/>
          <w:numId w:val="10"/>
        </w:numPr>
        <w:rPr>
          <w:lang w:val="en-GB"/>
        </w:rPr>
      </w:pPr>
      <w:r>
        <w:t>WG2 – Consider AM of spare parts storage</w:t>
      </w:r>
    </w:p>
    <w:p w:rsidR="00214C50" w:rsidRDefault="00214C50" w:rsidP="00214C50">
      <w:pPr>
        <w:numPr>
          <w:ilvl w:val="1"/>
          <w:numId w:val="10"/>
        </w:numPr>
        <w:rPr>
          <w:lang w:val="en-GB"/>
        </w:rPr>
      </w:pPr>
      <w:r>
        <w:t>WG3 - Consideration of spent fuel pool ageing management (liner and structure)</w:t>
      </w:r>
    </w:p>
    <w:p w:rsidR="00214C50" w:rsidRPr="001753E4" w:rsidRDefault="00214C50" w:rsidP="00214C50">
      <w:pPr>
        <w:numPr>
          <w:ilvl w:val="1"/>
          <w:numId w:val="10"/>
        </w:numPr>
        <w:rPr>
          <w:lang w:val="en-GB"/>
        </w:rPr>
      </w:pPr>
      <w:r>
        <w:t>WG3 - Consider</w:t>
      </w:r>
      <w:r w:rsidRPr="008C0C70">
        <w:t xml:space="preserve"> fatigue analysis of steel containment (US NRC Regulatory Guide 1.57)</w:t>
      </w:r>
    </w:p>
    <w:p w:rsidR="00214C50" w:rsidRPr="00846F37" w:rsidRDefault="00214C50" w:rsidP="00214C50">
      <w:pPr>
        <w:numPr>
          <w:ilvl w:val="1"/>
          <w:numId w:val="10"/>
        </w:numPr>
        <w:rPr>
          <w:lang w:val="en-GB"/>
        </w:rPr>
      </w:pPr>
      <w:r>
        <w:t>WG3 – Check consistency of AE/DM in AMR and AMPs and TLAAs</w:t>
      </w:r>
    </w:p>
    <w:p w:rsidR="00214C50" w:rsidRPr="00712476" w:rsidRDefault="00214C50" w:rsidP="00214C50">
      <w:pPr>
        <w:numPr>
          <w:ilvl w:val="1"/>
          <w:numId w:val="10"/>
        </w:numPr>
        <w:rPr>
          <w:lang w:val="en-GB"/>
        </w:rPr>
      </w:pPr>
      <w:r>
        <w:t>WG3 - Address in AMR/ AMP / TLAA the irradiation effects on properties of concrete (use e.g. GALL SLR)</w:t>
      </w:r>
    </w:p>
    <w:p w:rsidR="00214C50" w:rsidRPr="00586B3D" w:rsidRDefault="00214C50" w:rsidP="00214C50">
      <w:pPr>
        <w:ind w:left="1440"/>
        <w:rPr>
          <w:lang w:val="en-GB"/>
        </w:rPr>
      </w:pPr>
    </w:p>
    <w:p w:rsidR="00214C50" w:rsidRDefault="00214C50" w:rsidP="00214C50">
      <w:pPr>
        <w:numPr>
          <w:ilvl w:val="0"/>
          <w:numId w:val="10"/>
        </w:numPr>
        <w:rPr>
          <w:lang w:val="en-GB"/>
        </w:rPr>
      </w:pPr>
      <w:r>
        <w:rPr>
          <w:lang w:val="en-GB"/>
        </w:rPr>
        <w:t>Enhancement of AMR:</w:t>
      </w:r>
    </w:p>
    <w:p w:rsidR="00214C50" w:rsidRDefault="00214C50" w:rsidP="00214C50">
      <w:pPr>
        <w:numPr>
          <w:ilvl w:val="1"/>
          <w:numId w:val="10"/>
        </w:numPr>
      </w:pPr>
      <w:r>
        <w:t>C</w:t>
      </w:r>
      <w:r w:rsidRPr="008C0C70">
        <w:t xml:space="preserve">olumn </w:t>
      </w:r>
      <w:r>
        <w:t>‘</w:t>
      </w:r>
      <w:r w:rsidRPr="008C0C70">
        <w:t>further action</w:t>
      </w:r>
      <w:r>
        <w:t>’ – consolidate information in ‘further action’ column (other than TLAAs) and develop description of ‘further action’ intention, u</w:t>
      </w:r>
      <w:r w:rsidRPr="008C0C70">
        <w:t>se descriptions of the further evaluations which are identified in the “further evaluation” column of the NRC GALL AMR table defined</w:t>
      </w:r>
      <w:r>
        <w:t xml:space="preserve"> e.g.</w:t>
      </w:r>
      <w:r w:rsidRPr="008C0C70">
        <w:t xml:space="preserve"> in SRP, part 3.</w:t>
      </w:r>
      <w:r>
        <w:t>1.2.2 for improvement of IGALL</w:t>
      </w:r>
    </w:p>
    <w:p w:rsidR="00214C50" w:rsidRDefault="00214C50" w:rsidP="00214C50">
      <w:pPr>
        <w:numPr>
          <w:ilvl w:val="1"/>
          <w:numId w:val="10"/>
        </w:numPr>
      </w:pPr>
      <w:r>
        <w:t>Systematic review</w:t>
      </w:r>
      <w:r w:rsidRPr="008C0C70">
        <w:t xml:space="preserve"> </w:t>
      </w:r>
      <w:r>
        <w:t xml:space="preserve">and consolidation </w:t>
      </w:r>
      <w:r w:rsidRPr="008C0C70">
        <w:t xml:space="preserve">of definitions for </w:t>
      </w:r>
      <w:r>
        <w:t>‘</w:t>
      </w:r>
      <w:r w:rsidRPr="008C0C70">
        <w:t>structure/component</w:t>
      </w:r>
      <w:r>
        <w:t>’</w:t>
      </w:r>
      <w:r w:rsidRPr="008C0C70">
        <w:t xml:space="preserve">, </w:t>
      </w:r>
      <w:r>
        <w:t>‘</w:t>
      </w:r>
      <w:r w:rsidRPr="008C0C70">
        <w:t>critical location/part</w:t>
      </w:r>
      <w:r>
        <w:t>’</w:t>
      </w:r>
      <w:r w:rsidRPr="008C0C70">
        <w:t xml:space="preserve">, </w:t>
      </w:r>
      <w:r>
        <w:t>‘</w:t>
      </w:r>
      <w:r w:rsidRPr="008C0C70">
        <w:t>material</w:t>
      </w:r>
      <w:r>
        <w:t>’</w:t>
      </w:r>
      <w:r w:rsidRPr="008C0C70">
        <w:t xml:space="preserve">, and </w:t>
      </w:r>
      <w:r>
        <w:t>‘</w:t>
      </w:r>
      <w:r w:rsidRPr="008C0C70">
        <w:t>environment</w:t>
      </w:r>
      <w:r>
        <w:t>’</w:t>
      </w:r>
    </w:p>
    <w:p w:rsidR="00214C50" w:rsidRDefault="00214C50" w:rsidP="00214C50">
      <w:pPr>
        <w:numPr>
          <w:ilvl w:val="1"/>
          <w:numId w:val="10"/>
        </w:numPr>
      </w:pPr>
      <w:r>
        <w:lastRenderedPageBreak/>
        <w:t xml:space="preserve">Develop a pilot on use of EPRI MDM format to enhance AMR table </w:t>
      </w:r>
    </w:p>
    <w:p w:rsidR="00214C50" w:rsidRDefault="00214C50" w:rsidP="00214C50">
      <w:pPr>
        <w:numPr>
          <w:ilvl w:val="1"/>
          <w:numId w:val="10"/>
        </w:numPr>
      </w:pPr>
      <w:r>
        <w:t xml:space="preserve">WG1 - Column ‘System’ – change title to ‘System/ functional group’ and agree and consolidate terminology </w:t>
      </w:r>
    </w:p>
    <w:p w:rsidR="00214C50" w:rsidRDefault="00214C50" w:rsidP="00214C50">
      <w:pPr>
        <w:numPr>
          <w:ilvl w:val="1"/>
          <w:numId w:val="10"/>
        </w:numPr>
      </w:pPr>
      <w:r>
        <w:t>WG1 - PWR RVI part consolidate and enhance</w:t>
      </w:r>
    </w:p>
    <w:p w:rsidR="00214C50" w:rsidRDefault="00214C50" w:rsidP="00214C50">
      <w:pPr>
        <w:numPr>
          <w:ilvl w:val="1"/>
          <w:numId w:val="10"/>
        </w:numPr>
      </w:pPr>
      <w:r>
        <w:t xml:space="preserve">WG1 – consolidate items in tables 107 and 108 </w:t>
      </w:r>
    </w:p>
    <w:p w:rsidR="00214C50" w:rsidRDefault="00214C50" w:rsidP="00214C50">
      <w:pPr>
        <w:numPr>
          <w:ilvl w:val="1"/>
          <w:numId w:val="10"/>
        </w:numPr>
      </w:pPr>
      <w:r>
        <w:t>WG2 – check consistency of AE/DM for similar EQ and non-EQ equipment</w:t>
      </w:r>
    </w:p>
    <w:p w:rsidR="00214C50" w:rsidRPr="00712476" w:rsidRDefault="00214C50" w:rsidP="00214C50">
      <w:pPr>
        <w:ind w:left="1440"/>
        <w:rPr>
          <w:lang w:val="en-GB"/>
        </w:rPr>
      </w:pPr>
    </w:p>
    <w:p w:rsidR="00214C50" w:rsidRPr="00712476" w:rsidRDefault="00214C50" w:rsidP="00214C50">
      <w:pPr>
        <w:numPr>
          <w:ilvl w:val="0"/>
          <w:numId w:val="10"/>
        </w:numPr>
        <w:rPr>
          <w:lang w:val="en-GB"/>
        </w:rPr>
      </w:pPr>
      <w:r>
        <w:t>SRS 82 improvement:</w:t>
      </w:r>
    </w:p>
    <w:p w:rsidR="00214C50" w:rsidRDefault="00214C50" w:rsidP="00214C50">
      <w:pPr>
        <w:numPr>
          <w:ilvl w:val="1"/>
          <w:numId w:val="10"/>
        </w:numPr>
        <w:jc w:val="both"/>
        <w:rPr>
          <w:lang w:val="en-GB"/>
        </w:rPr>
      </w:pPr>
      <w:r w:rsidRPr="00847598">
        <w:rPr>
          <w:lang w:val="en-GB"/>
        </w:rPr>
        <w:t xml:space="preserve">Create </w:t>
      </w:r>
      <w:r>
        <w:rPr>
          <w:lang w:val="en-GB"/>
        </w:rPr>
        <w:t>Integrated AMP</w:t>
      </w:r>
      <w:r w:rsidRPr="00847598">
        <w:rPr>
          <w:lang w:val="en-GB"/>
        </w:rPr>
        <w:t xml:space="preserve"> (requirements, scope, content, monitoring of effectiveness, etc.) </w:t>
      </w:r>
    </w:p>
    <w:p w:rsidR="00214C50" w:rsidRDefault="00214C50" w:rsidP="00214C50">
      <w:pPr>
        <w:numPr>
          <w:ilvl w:val="1"/>
          <w:numId w:val="10"/>
        </w:numPr>
        <w:jc w:val="both"/>
        <w:rPr>
          <w:lang w:val="en-GB"/>
        </w:rPr>
      </w:pPr>
      <w:r w:rsidRPr="008C0C70">
        <w:rPr>
          <w:lang w:val="en-GB"/>
        </w:rPr>
        <w:t>Develop a statement/</w:t>
      </w:r>
      <w:r>
        <w:rPr>
          <w:lang w:val="en-GB"/>
        </w:rPr>
        <w:t xml:space="preserve"> </w:t>
      </w:r>
      <w:r w:rsidRPr="008C0C70">
        <w:rPr>
          <w:lang w:val="en-GB"/>
        </w:rPr>
        <w:t>description how to handle maintenance measures and processes in the interaction with AMP</w:t>
      </w:r>
      <w:r>
        <w:rPr>
          <w:lang w:val="en-GB"/>
        </w:rPr>
        <w:t>s</w:t>
      </w:r>
    </w:p>
    <w:p w:rsidR="00214C50" w:rsidRPr="00712476" w:rsidRDefault="00214C50" w:rsidP="00214C50">
      <w:pPr>
        <w:ind w:left="1440"/>
        <w:rPr>
          <w:lang w:val="en-GB"/>
        </w:rPr>
      </w:pPr>
    </w:p>
    <w:p w:rsidR="00214C50" w:rsidRPr="00712476" w:rsidRDefault="00214C50" w:rsidP="00214C50">
      <w:pPr>
        <w:numPr>
          <w:ilvl w:val="0"/>
          <w:numId w:val="10"/>
        </w:numPr>
        <w:rPr>
          <w:lang w:val="en-GB"/>
        </w:rPr>
      </w:pPr>
      <w:r>
        <w:t>Specific tasks:</w:t>
      </w:r>
    </w:p>
    <w:p w:rsidR="00214C50" w:rsidRDefault="00214C50" w:rsidP="00214C50">
      <w:pPr>
        <w:numPr>
          <w:ilvl w:val="1"/>
          <w:numId w:val="10"/>
        </w:numPr>
        <w:rPr>
          <w:lang w:val="en-GB"/>
        </w:rPr>
      </w:pPr>
      <w:r w:rsidRPr="008C0C70">
        <w:t>Guidance for regulators to review NPPs` preparedness for safe LTO (WG dealing with Regulatory Aspects of LTO preparation)</w:t>
      </w:r>
      <w:r>
        <w:t>.</w:t>
      </w:r>
    </w:p>
    <w:p w:rsidR="00214C50" w:rsidRDefault="00214C50" w:rsidP="00214C50">
      <w:pPr>
        <w:numPr>
          <w:ilvl w:val="1"/>
          <w:numId w:val="10"/>
        </w:numPr>
        <w:rPr>
          <w:lang w:val="en-GB"/>
        </w:rPr>
      </w:pPr>
      <w:r>
        <w:rPr>
          <w:lang w:val="en-GB"/>
        </w:rPr>
        <w:t>D</w:t>
      </w:r>
      <w:r w:rsidRPr="00712476">
        <w:rPr>
          <w:lang w:val="en-GB"/>
        </w:rPr>
        <w:t xml:space="preserve">evelop TECDOC </w:t>
      </w:r>
      <w:r>
        <w:rPr>
          <w:lang w:val="en-GB"/>
        </w:rPr>
        <w:t>experiences in</w:t>
      </w:r>
      <w:r w:rsidRPr="00712476">
        <w:rPr>
          <w:lang w:val="en-GB"/>
        </w:rPr>
        <w:t xml:space="preserve"> </w:t>
      </w:r>
      <w:r>
        <w:rPr>
          <w:lang w:val="en-GB"/>
        </w:rPr>
        <w:t xml:space="preserve">ageing management during </w:t>
      </w:r>
      <w:r w:rsidRPr="00712476">
        <w:rPr>
          <w:lang w:val="en-GB"/>
        </w:rPr>
        <w:t>delayed construction periods, prolonged outages</w:t>
      </w:r>
      <w:r>
        <w:rPr>
          <w:lang w:val="en-GB"/>
        </w:rPr>
        <w:t>, extended shutdown</w:t>
      </w:r>
      <w:r w:rsidRPr="00712476">
        <w:rPr>
          <w:lang w:val="en-GB"/>
        </w:rPr>
        <w:t xml:space="preserve"> and post final shutdown</w:t>
      </w:r>
      <w:r>
        <w:rPr>
          <w:lang w:val="en-GB"/>
        </w:rPr>
        <w:t xml:space="preserve">  </w:t>
      </w:r>
    </w:p>
    <w:p w:rsidR="00214C50" w:rsidRPr="00847598" w:rsidRDefault="00214C50" w:rsidP="00214C50">
      <w:pPr>
        <w:ind w:left="1440"/>
        <w:rPr>
          <w:lang w:val="en-GB"/>
        </w:rPr>
      </w:pPr>
    </w:p>
    <w:p w:rsidR="00214C50" w:rsidRPr="008C0C70" w:rsidRDefault="00214C50" w:rsidP="00214C50">
      <w:pPr>
        <w:numPr>
          <w:ilvl w:val="0"/>
          <w:numId w:val="10"/>
        </w:numPr>
        <w:rPr>
          <w:lang w:val="en-GB"/>
        </w:rPr>
      </w:pPr>
      <w:r>
        <w:rPr>
          <w:lang w:val="en-GB"/>
        </w:rPr>
        <w:t>Tasks for IAEA secretariat:</w:t>
      </w:r>
    </w:p>
    <w:p w:rsidR="00214C50" w:rsidRDefault="00214C50" w:rsidP="00214C50">
      <w:pPr>
        <w:numPr>
          <w:ilvl w:val="1"/>
          <w:numId w:val="10"/>
        </w:numPr>
        <w:rPr>
          <w:lang w:val="en-GB"/>
        </w:rPr>
      </w:pPr>
      <w:r w:rsidRPr="008C0C70">
        <w:rPr>
          <w:lang w:val="en-GB"/>
        </w:rPr>
        <w:t>Develo</w:t>
      </w:r>
      <w:r>
        <w:rPr>
          <w:lang w:val="en-GB"/>
        </w:rPr>
        <w:t>p and implement workshop/ training for “junior” experts on IGALL use (EPRI offers help)</w:t>
      </w:r>
    </w:p>
    <w:p w:rsidR="00214C50" w:rsidRDefault="00214C50" w:rsidP="00214C50">
      <w:pPr>
        <w:numPr>
          <w:ilvl w:val="1"/>
          <w:numId w:val="10"/>
        </w:numPr>
        <w:rPr>
          <w:lang w:val="en-GB"/>
        </w:rPr>
      </w:pPr>
      <w:r>
        <w:rPr>
          <w:lang w:val="en-GB"/>
        </w:rPr>
        <w:t>Improve IGALL public and restricted website</w:t>
      </w:r>
    </w:p>
    <w:p w:rsidR="00214C50" w:rsidRDefault="00214C50" w:rsidP="00214C50">
      <w:pPr>
        <w:numPr>
          <w:ilvl w:val="1"/>
          <w:numId w:val="10"/>
        </w:numPr>
        <w:rPr>
          <w:lang w:val="en-GB"/>
        </w:rPr>
      </w:pPr>
      <w:r>
        <w:rPr>
          <w:lang w:val="en-GB"/>
        </w:rPr>
        <w:t>Invite observers, e.g. from new built companies, on a regular basis</w:t>
      </w:r>
    </w:p>
    <w:p w:rsidR="00214C50" w:rsidRDefault="00214C50" w:rsidP="00214C50">
      <w:pPr>
        <w:numPr>
          <w:ilvl w:val="1"/>
          <w:numId w:val="10"/>
        </w:numPr>
        <w:rPr>
          <w:lang w:val="en-GB"/>
        </w:rPr>
      </w:pPr>
      <w:r>
        <w:rPr>
          <w:lang w:val="en-GB"/>
        </w:rPr>
        <w:t>AMR – hyperlink terms to definitions, AMPs and TLAAs on IGALL public website</w:t>
      </w:r>
    </w:p>
    <w:p w:rsidR="00214C50" w:rsidRPr="00712476" w:rsidRDefault="00214C50" w:rsidP="00214C50">
      <w:pPr>
        <w:ind w:left="1440"/>
        <w:rPr>
          <w:lang w:val="en-GB"/>
        </w:rPr>
      </w:pPr>
    </w:p>
    <w:p w:rsidR="00214C50" w:rsidRPr="00081743" w:rsidRDefault="00214C50" w:rsidP="00214C50">
      <w:pPr>
        <w:spacing w:after="200" w:line="276" w:lineRule="auto"/>
        <w:rPr>
          <w:b/>
        </w:rPr>
      </w:pPr>
      <w:r w:rsidRPr="00081743">
        <w:rPr>
          <w:b/>
        </w:rPr>
        <w:t>Organization of IGALL Phase 4:</w:t>
      </w:r>
    </w:p>
    <w:p w:rsidR="00214C50" w:rsidRDefault="00214C50" w:rsidP="00214C50">
      <w:pPr>
        <w:pStyle w:val="ListParagraph"/>
        <w:numPr>
          <w:ilvl w:val="2"/>
          <w:numId w:val="10"/>
        </w:numPr>
        <w:tabs>
          <w:tab w:val="clear" w:pos="2160"/>
        </w:tabs>
        <w:spacing w:after="200" w:line="276" w:lineRule="auto"/>
        <w:ind w:left="426"/>
      </w:pPr>
      <w:r w:rsidRPr="006E381F">
        <w:rPr>
          <w:b/>
        </w:rPr>
        <w:t>Steering Committee</w:t>
      </w:r>
      <w:r w:rsidRPr="00081743">
        <w:t xml:space="preserve"> </w:t>
      </w:r>
    </w:p>
    <w:p w:rsidR="00214C50" w:rsidRPr="00AD366A" w:rsidRDefault="00214C50" w:rsidP="00214C50">
      <w:pPr>
        <w:pStyle w:val="ListParagraph"/>
        <w:numPr>
          <w:ilvl w:val="0"/>
          <w:numId w:val="11"/>
        </w:numPr>
        <w:spacing w:after="200" w:line="276" w:lineRule="auto"/>
      </w:pPr>
      <w:r w:rsidRPr="00AD366A">
        <w:t>1 representative of each MS and each international organization, WG chairpersons</w:t>
      </w:r>
    </w:p>
    <w:p w:rsidR="00214C50" w:rsidRDefault="00214C50" w:rsidP="00214C50">
      <w:pPr>
        <w:pStyle w:val="ListParagraph"/>
        <w:numPr>
          <w:ilvl w:val="0"/>
          <w:numId w:val="11"/>
        </w:numPr>
        <w:spacing w:after="200" w:line="276" w:lineRule="auto"/>
      </w:pPr>
      <w:r w:rsidRPr="00AD366A">
        <w:t>30 MS + OECD/NEA, EU JRC, EPRI appointed their representatives</w:t>
      </w:r>
    </w:p>
    <w:p w:rsidR="00214C50" w:rsidRPr="00AD366A" w:rsidRDefault="00214C50" w:rsidP="00214C50">
      <w:pPr>
        <w:pStyle w:val="ListParagraph"/>
        <w:numPr>
          <w:ilvl w:val="0"/>
          <w:numId w:val="11"/>
        </w:numPr>
        <w:spacing w:after="200" w:line="276" w:lineRule="auto"/>
      </w:pPr>
      <w:r w:rsidRPr="00AD366A">
        <w:t xml:space="preserve">SC chairman – Mr. A. </w:t>
      </w:r>
      <w:proofErr w:type="spellStart"/>
      <w:r w:rsidRPr="00AD366A">
        <w:t>Hiser</w:t>
      </w:r>
      <w:proofErr w:type="spellEnd"/>
      <w:r w:rsidRPr="00AD366A">
        <w:t>, NRC, USA</w:t>
      </w:r>
      <w:r>
        <w:t xml:space="preserve"> (to be confirmed)</w:t>
      </w:r>
    </w:p>
    <w:p w:rsidR="00214C50" w:rsidRPr="00AD366A" w:rsidRDefault="00214C50" w:rsidP="00214C50">
      <w:pPr>
        <w:pStyle w:val="ListParagraph"/>
        <w:numPr>
          <w:ilvl w:val="0"/>
          <w:numId w:val="11"/>
        </w:numPr>
        <w:spacing w:after="200" w:line="276" w:lineRule="auto"/>
      </w:pPr>
      <w:r w:rsidRPr="00AD366A">
        <w:t xml:space="preserve">IAEA Technical officer – Mr. R. </w:t>
      </w:r>
      <w:proofErr w:type="spellStart"/>
      <w:r w:rsidRPr="00AD366A">
        <w:t>Krivanek</w:t>
      </w:r>
      <w:proofErr w:type="spellEnd"/>
    </w:p>
    <w:p w:rsidR="00214C50" w:rsidRDefault="00214C50" w:rsidP="00214C50">
      <w:pPr>
        <w:spacing w:line="276" w:lineRule="auto"/>
        <w:ind w:left="357"/>
      </w:pPr>
      <w:r w:rsidRPr="006E381F">
        <w:t xml:space="preserve">SC meetings:  </w:t>
      </w:r>
    </w:p>
    <w:p w:rsidR="00214C50" w:rsidRPr="00E30D0A" w:rsidRDefault="00214C50" w:rsidP="00214C50">
      <w:pPr>
        <w:pStyle w:val="ListParagraph"/>
        <w:numPr>
          <w:ilvl w:val="0"/>
          <w:numId w:val="12"/>
        </w:numPr>
        <w:spacing w:after="200" w:line="276" w:lineRule="auto"/>
      </w:pPr>
      <w:bookmarkStart w:id="2" w:name="_GoBack"/>
      <w:r w:rsidRPr="00E30D0A">
        <w:t>1</w:t>
      </w:r>
      <w:r>
        <w:t>7</w:t>
      </w:r>
      <w:r w:rsidRPr="00E30D0A">
        <w:t>-1</w:t>
      </w:r>
      <w:r>
        <w:t>9</w:t>
      </w:r>
      <w:r w:rsidRPr="00E30D0A">
        <w:t xml:space="preserve"> December 2018 in Vienna</w:t>
      </w:r>
    </w:p>
    <w:bookmarkEnd w:id="2"/>
    <w:p w:rsidR="00214C50" w:rsidRPr="00AD366A" w:rsidRDefault="00214C50" w:rsidP="00214C50">
      <w:pPr>
        <w:pStyle w:val="ListParagraph"/>
        <w:numPr>
          <w:ilvl w:val="0"/>
          <w:numId w:val="12"/>
        </w:numPr>
        <w:spacing w:after="200" w:line="276" w:lineRule="auto"/>
      </w:pPr>
      <w:r w:rsidRPr="00AD366A">
        <w:t xml:space="preserve">December 2019 </w:t>
      </w:r>
    </w:p>
    <w:p w:rsidR="00214C50" w:rsidRPr="00081743" w:rsidRDefault="00214C50" w:rsidP="00214C50">
      <w:pPr>
        <w:pStyle w:val="ListParagraph"/>
        <w:spacing w:after="200" w:line="276" w:lineRule="auto"/>
        <w:ind w:left="426"/>
      </w:pPr>
    </w:p>
    <w:p w:rsidR="00214C50" w:rsidRDefault="00214C50" w:rsidP="00214C50">
      <w:pPr>
        <w:pStyle w:val="ListParagraph"/>
        <w:numPr>
          <w:ilvl w:val="2"/>
          <w:numId w:val="10"/>
        </w:numPr>
        <w:tabs>
          <w:tab w:val="clear" w:pos="2160"/>
        </w:tabs>
        <w:spacing w:after="200" w:line="276" w:lineRule="auto"/>
        <w:ind w:left="426"/>
      </w:pPr>
      <w:r w:rsidRPr="006E381F">
        <w:rPr>
          <w:b/>
        </w:rPr>
        <w:t>WG1 – mechanical components</w:t>
      </w:r>
    </w:p>
    <w:p w:rsidR="00214C50" w:rsidRPr="006E381F" w:rsidRDefault="00214C50" w:rsidP="00214C50">
      <w:pPr>
        <w:pStyle w:val="ListParagraph"/>
        <w:numPr>
          <w:ilvl w:val="0"/>
          <w:numId w:val="11"/>
        </w:numPr>
        <w:spacing w:after="200" w:line="276" w:lineRule="auto"/>
      </w:pPr>
      <w:r w:rsidRPr="006E381F">
        <w:t xml:space="preserve">WG chairman – Mr. J. </w:t>
      </w:r>
      <w:proofErr w:type="spellStart"/>
      <w:r w:rsidRPr="006E381F">
        <w:t>Heldt</w:t>
      </w:r>
      <w:proofErr w:type="spellEnd"/>
      <w:r w:rsidRPr="006E381F">
        <w:t xml:space="preserve">, </w:t>
      </w:r>
      <w:proofErr w:type="spellStart"/>
      <w:r w:rsidRPr="006E381F">
        <w:t>Leibstadt</w:t>
      </w:r>
      <w:proofErr w:type="spellEnd"/>
      <w:r w:rsidRPr="006E381F">
        <w:t xml:space="preserve"> NPP, Switzerland</w:t>
      </w:r>
    </w:p>
    <w:p w:rsidR="00214C50" w:rsidRPr="006E381F" w:rsidRDefault="00214C50" w:rsidP="00214C50">
      <w:pPr>
        <w:pStyle w:val="ListParagraph"/>
        <w:numPr>
          <w:ilvl w:val="0"/>
          <w:numId w:val="11"/>
        </w:numPr>
        <w:spacing w:after="200" w:line="276" w:lineRule="auto"/>
      </w:pPr>
      <w:r w:rsidRPr="006E381F">
        <w:t xml:space="preserve">IAEA Technical officer – Mr. R. </w:t>
      </w:r>
      <w:proofErr w:type="spellStart"/>
      <w:r w:rsidRPr="006E381F">
        <w:t>Krivanek</w:t>
      </w:r>
      <w:proofErr w:type="spellEnd"/>
    </w:p>
    <w:p w:rsidR="00214C50" w:rsidRPr="006E381F" w:rsidRDefault="00214C50" w:rsidP="00214C50">
      <w:pPr>
        <w:pStyle w:val="ListParagraph"/>
        <w:numPr>
          <w:ilvl w:val="0"/>
          <w:numId w:val="11"/>
        </w:numPr>
        <w:spacing w:after="200" w:line="276" w:lineRule="auto"/>
      </w:pPr>
      <w:r w:rsidRPr="006E381F">
        <w:t xml:space="preserve">Tasks 1, 2 and 3 </w:t>
      </w:r>
    </w:p>
    <w:p w:rsidR="00214C50" w:rsidRPr="006E381F" w:rsidRDefault="00214C50" w:rsidP="00214C50">
      <w:pPr>
        <w:spacing w:line="276" w:lineRule="auto"/>
      </w:pPr>
      <w:r w:rsidRPr="006E381F">
        <w:t>4 subgroups (can be modified as needed</w:t>
      </w:r>
      <w:r>
        <w:t xml:space="preserve"> by WG</w:t>
      </w:r>
      <w:r w:rsidRPr="006E381F">
        <w:t>):</w:t>
      </w:r>
    </w:p>
    <w:p w:rsidR="00214C50" w:rsidRPr="006E381F" w:rsidRDefault="00214C50" w:rsidP="00214C50">
      <w:pPr>
        <w:pStyle w:val="ListParagraph"/>
        <w:numPr>
          <w:ilvl w:val="0"/>
          <w:numId w:val="11"/>
        </w:numPr>
        <w:spacing w:after="200" w:line="276" w:lineRule="auto"/>
      </w:pPr>
      <w:r w:rsidRPr="006E381F">
        <w:t xml:space="preserve">General (WG1G) – Mr. M. De </w:t>
      </w:r>
      <w:proofErr w:type="spellStart"/>
      <w:r w:rsidRPr="006E381F">
        <w:t>Smet</w:t>
      </w:r>
      <w:proofErr w:type="spellEnd"/>
      <w:r w:rsidRPr="006E381F">
        <w:t xml:space="preserve">, </w:t>
      </w:r>
      <w:proofErr w:type="spellStart"/>
      <w:r w:rsidRPr="006E381F">
        <w:t>Tractebel</w:t>
      </w:r>
      <w:proofErr w:type="spellEnd"/>
      <w:r w:rsidRPr="006E381F">
        <w:t>, Belgium</w:t>
      </w:r>
    </w:p>
    <w:p w:rsidR="00214C50" w:rsidRPr="006E381F" w:rsidRDefault="00214C50" w:rsidP="00214C50">
      <w:pPr>
        <w:pStyle w:val="ListParagraph"/>
        <w:numPr>
          <w:ilvl w:val="0"/>
          <w:numId w:val="11"/>
        </w:numPr>
        <w:spacing w:after="200" w:line="276" w:lineRule="auto"/>
      </w:pPr>
      <w:r w:rsidRPr="006E381F">
        <w:t xml:space="preserve">PWR/VVER (WG1P) – Mr. S. </w:t>
      </w:r>
      <w:proofErr w:type="spellStart"/>
      <w:r w:rsidRPr="006E381F">
        <w:t>Ratkai</w:t>
      </w:r>
      <w:proofErr w:type="spellEnd"/>
      <w:r w:rsidRPr="006E381F">
        <w:t xml:space="preserve">, </w:t>
      </w:r>
      <w:proofErr w:type="spellStart"/>
      <w:r w:rsidRPr="006E381F">
        <w:t>Paks</w:t>
      </w:r>
      <w:proofErr w:type="spellEnd"/>
      <w:r w:rsidRPr="006E381F">
        <w:t xml:space="preserve"> NPP, Hungary</w:t>
      </w:r>
    </w:p>
    <w:p w:rsidR="00214C50" w:rsidRPr="006E381F" w:rsidRDefault="00214C50" w:rsidP="00214C50">
      <w:pPr>
        <w:pStyle w:val="ListParagraph"/>
        <w:numPr>
          <w:ilvl w:val="0"/>
          <w:numId w:val="11"/>
        </w:numPr>
        <w:spacing w:after="200" w:line="276" w:lineRule="auto"/>
      </w:pPr>
      <w:r w:rsidRPr="006E381F">
        <w:lastRenderedPageBreak/>
        <w:t xml:space="preserve">BWR (WG1B) </w:t>
      </w:r>
      <w:proofErr w:type="gramStart"/>
      <w:r w:rsidRPr="006E381F">
        <w:t>– ???</w:t>
      </w:r>
      <w:proofErr w:type="gramEnd"/>
    </w:p>
    <w:p w:rsidR="00214C50" w:rsidRPr="006E381F" w:rsidRDefault="00214C50" w:rsidP="00214C50">
      <w:pPr>
        <w:pStyle w:val="ListParagraph"/>
        <w:numPr>
          <w:ilvl w:val="0"/>
          <w:numId w:val="11"/>
        </w:numPr>
        <w:spacing w:after="200" w:line="276" w:lineRule="auto"/>
      </w:pPr>
      <w:r w:rsidRPr="006E381F">
        <w:t xml:space="preserve">CANDU/PHWR (WG1C) – Mr. K. </w:t>
      </w:r>
      <w:proofErr w:type="spellStart"/>
      <w:r w:rsidRPr="006E381F">
        <w:t>Kirkhope</w:t>
      </w:r>
      <w:proofErr w:type="spellEnd"/>
      <w:r w:rsidRPr="006E381F">
        <w:t>, CNSC, Canada</w:t>
      </w:r>
    </w:p>
    <w:p w:rsidR="00214C50" w:rsidRPr="006E381F" w:rsidRDefault="00214C50" w:rsidP="00214C50">
      <w:pPr>
        <w:spacing w:line="276" w:lineRule="auto"/>
      </w:pPr>
      <w:r w:rsidRPr="006E381F">
        <w:t>WG1 meetings:</w:t>
      </w:r>
    </w:p>
    <w:p w:rsidR="00C12E95" w:rsidRPr="006E381F" w:rsidRDefault="00C12E95" w:rsidP="00C12E95">
      <w:pPr>
        <w:pStyle w:val="ListParagraph"/>
        <w:numPr>
          <w:ilvl w:val="0"/>
          <w:numId w:val="12"/>
        </w:numPr>
        <w:spacing w:after="200" w:line="276" w:lineRule="auto"/>
      </w:pPr>
      <w:r w:rsidRPr="006E381F">
        <w:t>26-29 June 2018, Washington, D.C., USA (hosted by NRC)</w:t>
      </w:r>
    </w:p>
    <w:p w:rsidR="00C12E95" w:rsidRPr="00E93CA8" w:rsidRDefault="00C12E95" w:rsidP="00C12E95">
      <w:pPr>
        <w:pStyle w:val="ListParagraph"/>
        <w:numPr>
          <w:ilvl w:val="0"/>
          <w:numId w:val="12"/>
        </w:numPr>
        <w:spacing w:after="200" w:line="276" w:lineRule="auto"/>
      </w:pPr>
      <w:r w:rsidRPr="00B04141">
        <w:t xml:space="preserve">9-12 </w:t>
      </w:r>
      <w:r w:rsidRPr="00E93CA8">
        <w:t>October 2018, Amsterdam, the Netherlands (hosted by EU JRC)</w:t>
      </w:r>
    </w:p>
    <w:p w:rsidR="00C12E95" w:rsidRPr="00E93CA8" w:rsidRDefault="00C12E95" w:rsidP="00C12E95">
      <w:pPr>
        <w:pStyle w:val="ListParagraph"/>
        <w:numPr>
          <w:ilvl w:val="0"/>
          <w:numId w:val="12"/>
        </w:numPr>
        <w:spacing w:after="200" w:line="276" w:lineRule="auto"/>
      </w:pPr>
      <w:r w:rsidRPr="00E93CA8">
        <w:t>26-29 March 2019</w:t>
      </w:r>
      <w:r w:rsidRPr="00C12E95">
        <w:t>, Vienna or Europe</w:t>
      </w:r>
    </w:p>
    <w:p w:rsidR="00214C50" w:rsidRPr="00081743" w:rsidRDefault="00214C50" w:rsidP="00214C50">
      <w:pPr>
        <w:pStyle w:val="ListParagraph"/>
        <w:spacing w:after="200" w:line="276" w:lineRule="auto"/>
        <w:ind w:left="426"/>
      </w:pPr>
    </w:p>
    <w:p w:rsidR="00214C50" w:rsidRPr="00D11AAD" w:rsidRDefault="00214C50" w:rsidP="00214C50">
      <w:pPr>
        <w:pStyle w:val="ListParagraph"/>
        <w:numPr>
          <w:ilvl w:val="2"/>
          <w:numId w:val="10"/>
        </w:numPr>
        <w:tabs>
          <w:tab w:val="clear" w:pos="2160"/>
        </w:tabs>
        <w:spacing w:after="200" w:line="276" w:lineRule="auto"/>
        <w:ind w:left="426"/>
        <w:rPr>
          <w:b/>
        </w:rPr>
      </w:pPr>
      <w:r w:rsidRPr="00D11AAD">
        <w:rPr>
          <w:b/>
        </w:rPr>
        <w:t>WG2 – EI&amp;C components</w:t>
      </w:r>
    </w:p>
    <w:p w:rsidR="00214C50" w:rsidRPr="006E381F" w:rsidRDefault="00214C50" w:rsidP="00214C50">
      <w:pPr>
        <w:pStyle w:val="ListParagraph"/>
        <w:numPr>
          <w:ilvl w:val="0"/>
          <w:numId w:val="11"/>
        </w:numPr>
        <w:spacing w:after="200" w:line="276" w:lineRule="auto"/>
      </w:pPr>
      <w:r w:rsidRPr="006E381F">
        <w:t xml:space="preserve">WG chairman – Mr. M. </w:t>
      </w:r>
      <w:proofErr w:type="spellStart"/>
      <w:r w:rsidRPr="006E381F">
        <w:t>Calatayud</w:t>
      </w:r>
      <w:proofErr w:type="spellEnd"/>
      <w:r w:rsidRPr="006E381F">
        <w:t xml:space="preserve">, </w:t>
      </w:r>
      <w:proofErr w:type="spellStart"/>
      <w:r w:rsidRPr="006E381F">
        <w:t>Cofrentes</w:t>
      </w:r>
      <w:proofErr w:type="spellEnd"/>
      <w:r w:rsidRPr="006E381F">
        <w:t xml:space="preserve"> NPP, Spain </w:t>
      </w:r>
    </w:p>
    <w:p w:rsidR="00214C50" w:rsidRPr="006E381F" w:rsidRDefault="00214C50" w:rsidP="00214C50">
      <w:pPr>
        <w:pStyle w:val="ListParagraph"/>
        <w:numPr>
          <w:ilvl w:val="0"/>
          <w:numId w:val="11"/>
        </w:numPr>
        <w:spacing w:after="200" w:line="276" w:lineRule="auto"/>
      </w:pPr>
      <w:r w:rsidRPr="006E381F">
        <w:t xml:space="preserve">IAEA Technical officer – Mr. </w:t>
      </w:r>
      <w:r w:rsidRPr="003A4D05">
        <w:t>new IAEA staff</w:t>
      </w:r>
      <w:r w:rsidRPr="003A4D05">
        <w:rPr>
          <w:color w:val="FF0000"/>
        </w:rPr>
        <w:t xml:space="preserve"> </w:t>
      </w:r>
      <w:r w:rsidRPr="006E381F">
        <w:t xml:space="preserve">+ Mr. </w:t>
      </w:r>
      <w:proofErr w:type="spellStart"/>
      <w:r w:rsidRPr="006E381F">
        <w:t>S.Kunito</w:t>
      </w:r>
      <w:proofErr w:type="spellEnd"/>
      <w:r w:rsidRPr="006E381F">
        <w:t xml:space="preserve"> </w:t>
      </w:r>
    </w:p>
    <w:p w:rsidR="00214C50" w:rsidRPr="006E381F" w:rsidRDefault="00214C50" w:rsidP="00214C50">
      <w:pPr>
        <w:pStyle w:val="ListParagraph"/>
        <w:numPr>
          <w:ilvl w:val="0"/>
          <w:numId w:val="11"/>
        </w:numPr>
        <w:spacing w:after="200" w:line="276" w:lineRule="auto"/>
      </w:pPr>
      <w:r w:rsidRPr="006E381F">
        <w:t xml:space="preserve">Tasks 1, 2 and 3 </w:t>
      </w:r>
    </w:p>
    <w:p w:rsidR="00214C50" w:rsidRPr="00D11AAD" w:rsidRDefault="00214C50" w:rsidP="00214C50">
      <w:pPr>
        <w:spacing w:line="276" w:lineRule="auto"/>
      </w:pPr>
      <w:r w:rsidRPr="00D11AAD">
        <w:t>3 subgroups (can be modified as needed</w:t>
      </w:r>
      <w:r w:rsidRPr="00373C87">
        <w:t xml:space="preserve"> </w:t>
      </w:r>
      <w:r>
        <w:t>by WG</w:t>
      </w:r>
      <w:r w:rsidRPr="00D11AAD">
        <w:t>):</w:t>
      </w:r>
    </w:p>
    <w:p w:rsidR="00214C50" w:rsidRPr="006E381F" w:rsidRDefault="00214C50" w:rsidP="00214C50">
      <w:pPr>
        <w:pStyle w:val="ListParagraph"/>
        <w:numPr>
          <w:ilvl w:val="0"/>
          <w:numId w:val="11"/>
        </w:numPr>
        <w:spacing w:after="200" w:line="276" w:lineRule="auto"/>
      </w:pPr>
      <w:r w:rsidRPr="006E381F">
        <w:t xml:space="preserve">EQ (WG2Q) – Mr. T. </w:t>
      </w:r>
      <w:proofErr w:type="spellStart"/>
      <w:r w:rsidRPr="006E381F">
        <w:t>Minakawa</w:t>
      </w:r>
      <w:proofErr w:type="spellEnd"/>
      <w:r w:rsidRPr="006E381F">
        <w:t>, NRA, Japan</w:t>
      </w:r>
    </w:p>
    <w:p w:rsidR="00214C50" w:rsidRPr="006E381F" w:rsidRDefault="00214C50" w:rsidP="00214C50">
      <w:pPr>
        <w:pStyle w:val="ListParagraph"/>
        <w:numPr>
          <w:ilvl w:val="0"/>
          <w:numId w:val="11"/>
        </w:numPr>
        <w:spacing w:after="200" w:line="276" w:lineRule="auto"/>
      </w:pPr>
      <w:r w:rsidRPr="006E381F">
        <w:t>Cables (WG2C) – Ms. ???</w:t>
      </w:r>
      <w:r>
        <w:t>, NRC, USA (to be confirmed)</w:t>
      </w:r>
    </w:p>
    <w:p w:rsidR="00214C50" w:rsidRPr="006E381F" w:rsidRDefault="00214C50" w:rsidP="00214C50">
      <w:pPr>
        <w:pStyle w:val="ListParagraph"/>
        <w:numPr>
          <w:ilvl w:val="0"/>
          <w:numId w:val="11"/>
        </w:numPr>
        <w:spacing w:after="200" w:line="276" w:lineRule="auto"/>
      </w:pPr>
      <w:r w:rsidRPr="006E381F">
        <w:t>EI&amp;C components (WG2E) – Mr. B. Willey, EDF, France</w:t>
      </w:r>
    </w:p>
    <w:p w:rsidR="00214C50" w:rsidRPr="00D11AAD" w:rsidRDefault="00214C50" w:rsidP="00214C50">
      <w:pPr>
        <w:spacing w:line="276" w:lineRule="auto"/>
      </w:pPr>
      <w:r w:rsidRPr="00D11AAD">
        <w:t>WG</w:t>
      </w:r>
      <w:r>
        <w:t>2</w:t>
      </w:r>
      <w:r w:rsidRPr="00D11AAD">
        <w:t xml:space="preserve"> meetings: </w:t>
      </w:r>
    </w:p>
    <w:p w:rsidR="00C12E95" w:rsidRPr="006E381F" w:rsidRDefault="00C12E95" w:rsidP="00C12E95">
      <w:pPr>
        <w:pStyle w:val="ListParagraph"/>
        <w:numPr>
          <w:ilvl w:val="0"/>
          <w:numId w:val="13"/>
        </w:numPr>
        <w:spacing w:after="200" w:line="276" w:lineRule="auto"/>
      </w:pPr>
      <w:r w:rsidRPr="006E381F">
        <w:t>4-7 June 2018, Vienna (VIC M6+MOE16+MOE18+MOE19)</w:t>
      </w:r>
    </w:p>
    <w:p w:rsidR="00C12E95" w:rsidRPr="00196D5C" w:rsidRDefault="00C12E95" w:rsidP="00C12E95">
      <w:pPr>
        <w:pStyle w:val="ListParagraph"/>
        <w:numPr>
          <w:ilvl w:val="0"/>
          <w:numId w:val="13"/>
        </w:numPr>
        <w:spacing w:after="200" w:line="276" w:lineRule="auto"/>
      </w:pPr>
      <w:r w:rsidRPr="00196D5C">
        <w:t xml:space="preserve">2-5 October 2018, </w:t>
      </w:r>
      <w:proofErr w:type="spellStart"/>
      <w:r w:rsidRPr="00196D5C">
        <w:t>Angra</w:t>
      </w:r>
      <w:proofErr w:type="spellEnd"/>
      <w:r w:rsidRPr="00196D5C">
        <w:t xml:space="preserve"> NPP, Brazil (hosted by </w:t>
      </w:r>
      <w:proofErr w:type="spellStart"/>
      <w:r w:rsidRPr="00196D5C">
        <w:t>Angra</w:t>
      </w:r>
      <w:proofErr w:type="spellEnd"/>
      <w:r w:rsidRPr="00196D5C">
        <w:t xml:space="preserve"> NPP)</w:t>
      </w:r>
    </w:p>
    <w:p w:rsidR="00C12E95" w:rsidRPr="00E93CA8" w:rsidRDefault="00C12E95" w:rsidP="00C12E95">
      <w:pPr>
        <w:pStyle w:val="ListParagraph"/>
        <w:numPr>
          <w:ilvl w:val="0"/>
          <w:numId w:val="13"/>
        </w:numPr>
        <w:spacing w:after="200" w:line="276" w:lineRule="auto"/>
      </w:pPr>
      <w:r>
        <w:t>9-12 April</w:t>
      </w:r>
      <w:r w:rsidRPr="00E93CA8">
        <w:t xml:space="preserve"> </w:t>
      </w:r>
      <w:r w:rsidRPr="00C12E95">
        <w:t xml:space="preserve">2019, </w:t>
      </w:r>
      <w:r w:rsidRPr="00C12E95">
        <w:t>Vienna or Europe</w:t>
      </w:r>
    </w:p>
    <w:p w:rsidR="00214C50" w:rsidRPr="00081743" w:rsidRDefault="00214C50" w:rsidP="00214C50">
      <w:pPr>
        <w:pStyle w:val="ListParagraph"/>
        <w:spacing w:after="200" w:line="276" w:lineRule="auto"/>
        <w:ind w:left="426"/>
      </w:pPr>
    </w:p>
    <w:p w:rsidR="00214C50" w:rsidRDefault="00214C50" w:rsidP="00214C50">
      <w:pPr>
        <w:pStyle w:val="ListParagraph"/>
        <w:numPr>
          <w:ilvl w:val="2"/>
          <w:numId w:val="10"/>
        </w:numPr>
        <w:tabs>
          <w:tab w:val="clear" w:pos="2160"/>
        </w:tabs>
        <w:spacing w:after="200" w:line="276" w:lineRule="auto"/>
        <w:ind w:left="426"/>
      </w:pPr>
      <w:r w:rsidRPr="00D11AAD">
        <w:rPr>
          <w:b/>
        </w:rPr>
        <w:t>WG3 – civil structures and components</w:t>
      </w:r>
    </w:p>
    <w:p w:rsidR="00214C50" w:rsidRPr="00D11AAD" w:rsidRDefault="00214C50" w:rsidP="00214C50">
      <w:pPr>
        <w:pStyle w:val="ListParagraph"/>
        <w:numPr>
          <w:ilvl w:val="0"/>
          <w:numId w:val="14"/>
        </w:numPr>
        <w:spacing w:after="200" w:line="276" w:lineRule="auto"/>
      </w:pPr>
      <w:r w:rsidRPr="00D11AAD">
        <w:t xml:space="preserve">WG chairman – Mr. E. </w:t>
      </w:r>
      <w:proofErr w:type="spellStart"/>
      <w:r w:rsidRPr="00D11AAD">
        <w:t>Gallitre</w:t>
      </w:r>
      <w:proofErr w:type="spellEnd"/>
      <w:r w:rsidRPr="00D11AAD">
        <w:t>, EDF, France</w:t>
      </w:r>
    </w:p>
    <w:p w:rsidR="00214C50" w:rsidRPr="00D11AAD" w:rsidRDefault="00214C50" w:rsidP="00214C50">
      <w:pPr>
        <w:pStyle w:val="ListParagraph"/>
        <w:numPr>
          <w:ilvl w:val="0"/>
          <w:numId w:val="14"/>
        </w:numPr>
        <w:spacing w:after="200" w:line="276" w:lineRule="auto"/>
      </w:pPr>
      <w:r w:rsidRPr="00D11AAD">
        <w:t xml:space="preserve">IAEA Technical officer – Mr. K. </w:t>
      </w:r>
      <w:proofErr w:type="spellStart"/>
      <w:r w:rsidRPr="00D11AAD">
        <w:t>Makela</w:t>
      </w:r>
      <w:proofErr w:type="spellEnd"/>
    </w:p>
    <w:p w:rsidR="00214C50" w:rsidRPr="00D11AAD" w:rsidRDefault="00214C50" w:rsidP="00214C50">
      <w:pPr>
        <w:pStyle w:val="ListParagraph"/>
        <w:numPr>
          <w:ilvl w:val="0"/>
          <w:numId w:val="14"/>
        </w:numPr>
        <w:spacing w:after="200" w:line="276" w:lineRule="auto"/>
      </w:pPr>
      <w:r w:rsidRPr="00D11AAD">
        <w:t xml:space="preserve">Tasks 1, 2 and 3 </w:t>
      </w:r>
    </w:p>
    <w:p w:rsidR="00214C50" w:rsidRPr="00D11AAD" w:rsidRDefault="00214C50" w:rsidP="00214C50">
      <w:pPr>
        <w:spacing w:line="276" w:lineRule="auto"/>
      </w:pPr>
      <w:r w:rsidRPr="00D11AAD">
        <w:t>3 subgroups (can be modified as needed</w:t>
      </w:r>
      <w:r w:rsidRPr="00373C87">
        <w:t xml:space="preserve"> </w:t>
      </w:r>
      <w:r>
        <w:t>by WG)</w:t>
      </w:r>
      <w:r w:rsidRPr="00D11AAD">
        <w:t>:</w:t>
      </w:r>
    </w:p>
    <w:p w:rsidR="00214C50" w:rsidRPr="00D11AAD" w:rsidRDefault="00214C50" w:rsidP="00214C50">
      <w:pPr>
        <w:pStyle w:val="ListParagraph"/>
        <w:numPr>
          <w:ilvl w:val="0"/>
          <w:numId w:val="14"/>
        </w:numPr>
        <w:spacing w:after="200" w:line="276" w:lineRule="auto"/>
      </w:pPr>
      <w:r w:rsidRPr="00D11AAD">
        <w:t xml:space="preserve">Concrete containment (WG3C) – Ms. </w:t>
      </w:r>
      <w:proofErr w:type="spellStart"/>
      <w:r w:rsidRPr="00D11AAD">
        <w:t>M.Si</w:t>
      </w:r>
      <w:r>
        <w:t>rcar</w:t>
      </w:r>
      <w:proofErr w:type="spellEnd"/>
      <w:r w:rsidRPr="00D11AAD">
        <w:t>, NRC, USA</w:t>
      </w:r>
      <w:r>
        <w:t xml:space="preserve"> (to be confirmed)</w:t>
      </w:r>
    </w:p>
    <w:p w:rsidR="00214C50" w:rsidRPr="00D11AAD" w:rsidRDefault="00214C50" w:rsidP="00214C50">
      <w:pPr>
        <w:pStyle w:val="ListParagraph"/>
        <w:numPr>
          <w:ilvl w:val="0"/>
          <w:numId w:val="14"/>
        </w:numPr>
        <w:spacing w:after="200" w:line="276" w:lineRule="auto"/>
      </w:pPr>
      <w:r w:rsidRPr="00D11AAD">
        <w:t xml:space="preserve">Steel components (WG3S) – Mr. </w:t>
      </w:r>
      <w:proofErr w:type="spellStart"/>
      <w:r w:rsidRPr="00D11AAD">
        <w:t>L.Bishnoi</w:t>
      </w:r>
      <w:proofErr w:type="spellEnd"/>
      <w:r w:rsidRPr="00D11AAD">
        <w:t>, AERB, India</w:t>
      </w:r>
    </w:p>
    <w:p w:rsidR="00214C50" w:rsidRPr="00D11AAD" w:rsidRDefault="00214C50" w:rsidP="00214C50">
      <w:pPr>
        <w:pStyle w:val="ListParagraph"/>
        <w:numPr>
          <w:ilvl w:val="0"/>
          <w:numId w:val="14"/>
        </w:numPr>
        <w:spacing w:after="200" w:line="276" w:lineRule="auto"/>
      </w:pPr>
      <w:r w:rsidRPr="00D11AAD">
        <w:t xml:space="preserve">Other concrete structures (WG3O) – Mr. J. </w:t>
      </w:r>
      <w:proofErr w:type="spellStart"/>
      <w:r w:rsidRPr="00D11AAD">
        <w:t>Sabater</w:t>
      </w:r>
      <w:proofErr w:type="spellEnd"/>
      <w:r w:rsidRPr="00D11AAD">
        <w:t xml:space="preserve">, </w:t>
      </w:r>
      <w:proofErr w:type="spellStart"/>
      <w:r w:rsidRPr="00D11AAD">
        <w:t>Asco-Vandellos</w:t>
      </w:r>
      <w:proofErr w:type="spellEnd"/>
      <w:r w:rsidRPr="00D11AAD">
        <w:t xml:space="preserve"> NPP, Spain</w:t>
      </w:r>
    </w:p>
    <w:p w:rsidR="00214C50" w:rsidRPr="00D11AAD" w:rsidRDefault="00214C50" w:rsidP="00214C50">
      <w:pPr>
        <w:spacing w:line="276" w:lineRule="auto"/>
      </w:pPr>
      <w:r w:rsidRPr="00D11AAD">
        <w:t>WG</w:t>
      </w:r>
      <w:r>
        <w:t>3</w:t>
      </w:r>
      <w:r w:rsidRPr="00D11AAD">
        <w:t xml:space="preserve"> meetings: </w:t>
      </w:r>
    </w:p>
    <w:p w:rsidR="00D44412" w:rsidRPr="000571E3" w:rsidRDefault="00D44412" w:rsidP="00D44412">
      <w:pPr>
        <w:pStyle w:val="ListParagraph"/>
        <w:numPr>
          <w:ilvl w:val="0"/>
          <w:numId w:val="14"/>
        </w:numPr>
        <w:spacing w:after="200" w:line="276" w:lineRule="auto"/>
      </w:pPr>
      <w:r w:rsidRPr="00D11AAD">
        <w:t>11-</w:t>
      </w:r>
      <w:r w:rsidRPr="000571E3">
        <w:t>14 June 2018, Vienna (VIC M6+MOE18+MOE19)</w:t>
      </w:r>
    </w:p>
    <w:p w:rsidR="00D44412" w:rsidRPr="000571E3" w:rsidRDefault="00D44412" w:rsidP="00D44412">
      <w:pPr>
        <w:pStyle w:val="ListParagraph"/>
        <w:numPr>
          <w:ilvl w:val="0"/>
          <w:numId w:val="14"/>
        </w:numPr>
        <w:spacing w:after="200" w:line="276" w:lineRule="auto"/>
      </w:pPr>
      <w:r w:rsidRPr="000571E3">
        <w:t>6-9 November 2018, Daejeon, Korea (hosted by KEPRI)</w:t>
      </w:r>
    </w:p>
    <w:p w:rsidR="00D44412" w:rsidRPr="00E93CA8" w:rsidRDefault="00D44412" w:rsidP="00D44412">
      <w:pPr>
        <w:pStyle w:val="ListParagraph"/>
        <w:numPr>
          <w:ilvl w:val="0"/>
          <w:numId w:val="14"/>
        </w:numPr>
        <w:spacing w:after="200" w:line="276" w:lineRule="auto"/>
      </w:pPr>
      <w:r>
        <w:t>7-10 May</w:t>
      </w:r>
      <w:r w:rsidRPr="00E93CA8">
        <w:t xml:space="preserve"> </w:t>
      </w:r>
      <w:r w:rsidRPr="00D44412">
        <w:t xml:space="preserve">2019, </w:t>
      </w:r>
      <w:r w:rsidRPr="00D44412">
        <w:t>Vienna or Europe</w:t>
      </w:r>
    </w:p>
    <w:p w:rsidR="00214C50" w:rsidRDefault="00214C50" w:rsidP="00214C50">
      <w:pPr>
        <w:pStyle w:val="ListParagraph"/>
        <w:spacing w:after="200" w:line="276" w:lineRule="auto"/>
        <w:ind w:left="426"/>
      </w:pPr>
    </w:p>
    <w:p w:rsidR="00214C50" w:rsidRPr="00C02285" w:rsidRDefault="00214C50" w:rsidP="00214C50">
      <w:pPr>
        <w:pStyle w:val="ListParagraph"/>
        <w:numPr>
          <w:ilvl w:val="2"/>
          <w:numId w:val="10"/>
        </w:numPr>
        <w:tabs>
          <w:tab w:val="clear" w:pos="2160"/>
        </w:tabs>
        <w:spacing w:after="200" w:line="276" w:lineRule="auto"/>
        <w:ind w:left="426"/>
      </w:pPr>
      <w:r w:rsidRPr="00D11AAD">
        <w:rPr>
          <w:b/>
        </w:rPr>
        <w:t xml:space="preserve">WG4 </w:t>
      </w:r>
    </w:p>
    <w:p w:rsidR="00214C50" w:rsidRPr="00D11AAD" w:rsidRDefault="00214C50" w:rsidP="00214C50">
      <w:pPr>
        <w:pStyle w:val="ListParagraph"/>
        <w:numPr>
          <w:ilvl w:val="0"/>
          <w:numId w:val="14"/>
        </w:numPr>
        <w:spacing w:after="200" w:line="276" w:lineRule="auto"/>
      </w:pPr>
      <w:r w:rsidRPr="00D11AAD">
        <w:t>WG chairman – Mr</w:t>
      </w:r>
      <w:proofErr w:type="gramStart"/>
      <w:r w:rsidRPr="00D11AAD">
        <w:t>. ???</w:t>
      </w:r>
      <w:proofErr w:type="gramEnd"/>
      <w:r>
        <w:t xml:space="preserve"> , NRC, USA (to be confirmed)</w:t>
      </w:r>
    </w:p>
    <w:p w:rsidR="00214C50" w:rsidRPr="00D11AAD" w:rsidRDefault="00214C50" w:rsidP="00214C50">
      <w:pPr>
        <w:pStyle w:val="ListParagraph"/>
        <w:numPr>
          <w:ilvl w:val="0"/>
          <w:numId w:val="14"/>
        </w:numPr>
        <w:spacing w:after="200" w:line="276" w:lineRule="auto"/>
      </w:pPr>
      <w:r w:rsidRPr="00D11AAD">
        <w:t xml:space="preserve">IAEA Technical officer – Mr. </w:t>
      </w:r>
      <w:r w:rsidRPr="003A4D05">
        <w:t xml:space="preserve">new IAEA staff </w:t>
      </w:r>
      <w:r>
        <w:t xml:space="preserve">(temporarily Mr. </w:t>
      </w:r>
      <w:proofErr w:type="spellStart"/>
      <w:r>
        <w:t>R.Krivanek</w:t>
      </w:r>
      <w:proofErr w:type="spellEnd"/>
      <w:r>
        <w:t>)</w:t>
      </w:r>
    </w:p>
    <w:p w:rsidR="00214C50" w:rsidRPr="00B57CA4" w:rsidRDefault="00214C50" w:rsidP="00214C50">
      <w:pPr>
        <w:pStyle w:val="ListParagraph"/>
        <w:numPr>
          <w:ilvl w:val="0"/>
          <w:numId w:val="14"/>
        </w:numPr>
        <w:spacing w:after="200" w:line="276" w:lineRule="auto"/>
      </w:pPr>
      <w:r w:rsidRPr="00D11AAD">
        <w:t>Tasks 4</w:t>
      </w:r>
      <w:r>
        <w:t xml:space="preserve"> - </w:t>
      </w:r>
      <w:r w:rsidRPr="00B57CA4">
        <w:t xml:space="preserve">Guidance for regulators </w:t>
      </w:r>
    </w:p>
    <w:p w:rsidR="00214C50" w:rsidRPr="00D11AAD" w:rsidRDefault="00214C50" w:rsidP="00214C50">
      <w:pPr>
        <w:rPr>
          <w:lang w:val="en-GB"/>
        </w:rPr>
      </w:pPr>
      <w:r w:rsidRPr="00D11AAD">
        <w:rPr>
          <w:lang w:val="en-GB"/>
        </w:rPr>
        <w:t>WG</w:t>
      </w:r>
      <w:r>
        <w:rPr>
          <w:lang w:val="en-GB"/>
        </w:rPr>
        <w:t>4</w:t>
      </w:r>
      <w:r w:rsidRPr="00D11AAD">
        <w:rPr>
          <w:lang w:val="en-GB"/>
        </w:rPr>
        <w:t xml:space="preserve"> meetings: </w:t>
      </w:r>
    </w:p>
    <w:p w:rsidR="00D44412" w:rsidRPr="00C12E95" w:rsidRDefault="00D44412" w:rsidP="00D44412">
      <w:pPr>
        <w:pStyle w:val="ListParagraph"/>
        <w:numPr>
          <w:ilvl w:val="0"/>
          <w:numId w:val="14"/>
        </w:numPr>
        <w:spacing w:after="200" w:line="276" w:lineRule="auto"/>
      </w:pPr>
      <w:r w:rsidRPr="00C12E95">
        <w:lastRenderedPageBreak/>
        <w:t>24-27 July 2018, Vienna (VIC M6+MOE13)</w:t>
      </w:r>
    </w:p>
    <w:p w:rsidR="00D44412" w:rsidRPr="00C12E95" w:rsidRDefault="00D44412" w:rsidP="00D44412">
      <w:pPr>
        <w:pStyle w:val="ListParagraph"/>
        <w:numPr>
          <w:ilvl w:val="0"/>
          <w:numId w:val="14"/>
        </w:numPr>
        <w:spacing w:after="200" w:line="276" w:lineRule="auto"/>
      </w:pPr>
      <w:r w:rsidRPr="00C12E95">
        <w:t>5-8 February 2019</w:t>
      </w:r>
    </w:p>
    <w:p w:rsidR="00D44412" w:rsidRPr="00C12E95" w:rsidRDefault="00D44412" w:rsidP="00D44412">
      <w:pPr>
        <w:pStyle w:val="ListParagraph"/>
        <w:numPr>
          <w:ilvl w:val="0"/>
          <w:numId w:val="14"/>
        </w:numPr>
        <w:spacing w:after="200" w:line="276" w:lineRule="auto"/>
      </w:pPr>
      <w:r w:rsidRPr="00C12E95">
        <w:t xml:space="preserve">Q3 2019 </w:t>
      </w:r>
    </w:p>
    <w:p w:rsidR="00214C50" w:rsidRDefault="00214C50" w:rsidP="00214C50"/>
    <w:p w:rsidR="00214C50" w:rsidRPr="00C02285" w:rsidRDefault="00214C50" w:rsidP="00214C50">
      <w:pPr>
        <w:pStyle w:val="ListParagraph"/>
        <w:numPr>
          <w:ilvl w:val="2"/>
          <w:numId w:val="10"/>
        </w:numPr>
        <w:tabs>
          <w:tab w:val="clear" w:pos="2160"/>
        </w:tabs>
        <w:spacing w:after="200" w:line="276" w:lineRule="auto"/>
        <w:ind w:left="426"/>
      </w:pPr>
      <w:r w:rsidRPr="00D11AAD">
        <w:rPr>
          <w:b/>
        </w:rPr>
        <w:t>WG</w:t>
      </w:r>
      <w:r>
        <w:rPr>
          <w:b/>
        </w:rPr>
        <w:t>5</w:t>
      </w:r>
      <w:r w:rsidRPr="00D11AAD">
        <w:rPr>
          <w:b/>
        </w:rPr>
        <w:t xml:space="preserve"> </w:t>
      </w:r>
    </w:p>
    <w:p w:rsidR="00214C50" w:rsidRPr="00D11AAD" w:rsidRDefault="00214C50" w:rsidP="00214C50">
      <w:pPr>
        <w:pStyle w:val="ListParagraph"/>
        <w:numPr>
          <w:ilvl w:val="0"/>
          <w:numId w:val="14"/>
        </w:numPr>
        <w:spacing w:after="200" w:line="276" w:lineRule="auto"/>
      </w:pPr>
      <w:r w:rsidRPr="00D11AAD">
        <w:t>WG chairman – M</w:t>
      </w:r>
      <w:r>
        <w:t>s</w:t>
      </w:r>
      <w:r w:rsidRPr="00D11AAD">
        <w:t xml:space="preserve">. </w:t>
      </w:r>
      <w:r>
        <w:t xml:space="preserve">Sherry </w:t>
      </w:r>
      <w:proofErr w:type="spellStart"/>
      <w:r>
        <w:t>Bernhoft</w:t>
      </w:r>
      <w:proofErr w:type="spellEnd"/>
      <w:r>
        <w:t>, EPRI (to be confirmed)</w:t>
      </w:r>
    </w:p>
    <w:p w:rsidR="00214C50" w:rsidRPr="00D11AAD" w:rsidRDefault="00214C50" w:rsidP="00214C50">
      <w:pPr>
        <w:pStyle w:val="ListParagraph"/>
        <w:numPr>
          <w:ilvl w:val="0"/>
          <w:numId w:val="14"/>
        </w:numPr>
        <w:spacing w:after="200" w:line="276" w:lineRule="auto"/>
      </w:pPr>
      <w:r w:rsidRPr="00D11AAD">
        <w:t xml:space="preserve">IAEA Technical officer – Mr. </w:t>
      </w:r>
      <w:r w:rsidRPr="003A4D05">
        <w:t xml:space="preserve">new IAEA staff </w:t>
      </w:r>
      <w:r>
        <w:t xml:space="preserve">(temporarily Mr. </w:t>
      </w:r>
      <w:proofErr w:type="spellStart"/>
      <w:r>
        <w:t>R.Krivanek</w:t>
      </w:r>
      <w:proofErr w:type="spellEnd"/>
      <w:r>
        <w:t>)</w:t>
      </w:r>
    </w:p>
    <w:p w:rsidR="00214C50" w:rsidRPr="00B57CA4" w:rsidRDefault="00214C50" w:rsidP="00214C50">
      <w:pPr>
        <w:pStyle w:val="ListParagraph"/>
        <w:numPr>
          <w:ilvl w:val="0"/>
          <w:numId w:val="14"/>
        </w:numPr>
        <w:spacing w:after="200" w:line="276" w:lineRule="auto"/>
      </w:pPr>
      <w:r w:rsidRPr="00D11AAD">
        <w:t>Tasks 4</w:t>
      </w:r>
      <w:r>
        <w:t xml:space="preserve"> - </w:t>
      </w:r>
      <w:r w:rsidRPr="00B57CA4">
        <w:t xml:space="preserve">Delayed construction periods, prolonged outages, extended shutdown and post final shutdown </w:t>
      </w:r>
    </w:p>
    <w:p w:rsidR="00214C50" w:rsidRPr="00D11AAD" w:rsidRDefault="00214C50" w:rsidP="00214C50">
      <w:pPr>
        <w:rPr>
          <w:lang w:val="en-GB"/>
        </w:rPr>
      </w:pPr>
      <w:r w:rsidRPr="00D11AAD">
        <w:rPr>
          <w:lang w:val="en-GB"/>
        </w:rPr>
        <w:t>WG</w:t>
      </w:r>
      <w:r>
        <w:rPr>
          <w:lang w:val="en-GB"/>
        </w:rPr>
        <w:t>5</w:t>
      </w:r>
      <w:r w:rsidRPr="00D11AAD">
        <w:rPr>
          <w:lang w:val="en-GB"/>
        </w:rPr>
        <w:t xml:space="preserve"> meetings: </w:t>
      </w:r>
    </w:p>
    <w:p w:rsidR="00C12E95" w:rsidRPr="00D11AAD" w:rsidRDefault="00C12E95" w:rsidP="00C12E95">
      <w:pPr>
        <w:pStyle w:val="ListParagraph"/>
        <w:numPr>
          <w:ilvl w:val="0"/>
          <w:numId w:val="14"/>
        </w:numPr>
        <w:spacing w:after="200" w:line="276" w:lineRule="auto"/>
      </w:pPr>
      <w:r w:rsidRPr="00D11AAD">
        <w:t xml:space="preserve">24-27 July </w:t>
      </w:r>
      <w:r>
        <w:t>2018, Vienna (VIC MOE79</w:t>
      </w:r>
      <w:r w:rsidRPr="00D11AAD">
        <w:t>+MOE15)</w:t>
      </w:r>
    </w:p>
    <w:p w:rsidR="00C12E95" w:rsidRPr="00823FC2" w:rsidRDefault="00C12E95" w:rsidP="00C12E95">
      <w:pPr>
        <w:pStyle w:val="ListParagraph"/>
        <w:numPr>
          <w:ilvl w:val="0"/>
          <w:numId w:val="14"/>
        </w:numPr>
        <w:spacing w:after="200" w:line="276" w:lineRule="auto"/>
      </w:pPr>
      <w:r>
        <w:t>5</w:t>
      </w:r>
      <w:r w:rsidRPr="00823FC2">
        <w:t>-8 February 2019, Toronto, Canada (hosted by COG)</w:t>
      </w:r>
    </w:p>
    <w:p w:rsidR="00C12E95" w:rsidRPr="00D11AAD" w:rsidRDefault="00C12E95" w:rsidP="00C12E95">
      <w:pPr>
        <w:pStyle w:val="ListParagraph"/>
        <w:numPr>
          <w:ilvl w:val="0"/>
          <w:numId w:val="14"/>
        </w:numPr>
        <w:spacing w:after="200" w:line="276" w:lineRule="auto"/>
      </w:pPr>
      <w:r>
        <w:t>Q3 2019</w:t>
      </w:r>
    </w:p>
    <w:p w:rsidR="0036432D" w:rsidRDefault="0036432D" w:rsidP="0036432D">
      <w:pPr>
        <w:shd w:val="clear" w:color="auto" w:fill="FFFFFF"/>
        <w:spacing w:before="100" w:after="100"/>
        <w:outlineLvl w:val="0"/>
        <w:rPr>
          <w:rFonts w:eastAsia="Batang"/>
          <w:b/>
          <w:szCs w:val="22"/>
        </w:rPr>
      </w:pPr>
    </w:p>
    <w:p w:rsidR="0036432D" w:rsidRPr="00F42C74" w:rsidRDefault="0036432D" w:rsidP="0036432D">
      <w:pPr>
        <w:shd w:val="clear" w:color="auto" w:fill="FFFFFF"/>
        <w:spacing w:before="100" w:after="100"/>
        <w:outlineLvl w:val="0"/>
        <w:rPr>
          <w:rFonts w:eastAsia="Batang"/>
          <w:b/>
          <w:szCs w:val="22"/>
        </w:rPr>
      </w:pPr>
      <w:r w:rsidRPr="00F42C74">
        <w:rPr>
          <w:rFonts w:eastAsia="Batang"/>
          <w:b/>
          <w:szCs w:val="22"/>
        </w:rPr>
        <w:t>5. Outcomes and outputs</w:t>
      </w:r>
    </w:p>
    <w:p w:rsidR="0036432D" w:rsidRDefault="0036432D" w:rsidP="0036432D">
      <w:pPr>
        <w:jc w:val="both"/>
      </w:pPr>
      <w:r>
        <w:rPr>
          <w:bCs/>
          <w:lang w:val="en-GB"/>
        </w:rPr>
        <w:t xml:space="preserve">The IGALL </w:t>
      </w:r>
      <w:r w:rsidRPr="00D255A0">
        <w:rPr>
          <w:bCs/>
          <w:lang w:val="en-GB"/>
        </w:rPr>
        <w:t xml:space="preserve">Safety Report </w:t>
      </w:r>
      <w:r>
        <w:rPr>
          <w:bCs/>
          <w:lang w:val="en-GB"/>
        </w:rPr>
        <w:t xml:space="preserve">will </w:t>
      </w:r>
      <w:r w:rsidRPr="00D255A0">
        <w:rPr>
          <w:bCs/>
          <w:lang w:val="en-GB"/>
        </w:rPr>
        <w:t>provide detailed information on specific programmes to manage existing and potential ageing and degradation of systems, structures and components (SSCs) that will assist operating organizations and regulatory bodies by specifying</w:t>
      </w:r>
      <w:r w:rsidRPr="00D255A0">
        <w:t>:</w:t>
      </w:r>
    </w:p>
    <w:p w:rsidR="0036432D" w:rsidRPr="00D255A0" w:rsidRDefault="0036432D" w:rsidP="0036432D"/>
    <w:p w:rsidR="0036432D" w:rsidRPr="00D255A0" w:rsidRDefault="0036432D" w:rsidP="0036432D">
      <w:pPr>
        <w:pStyle w:val="ListParagraph"/>
        <w:widowControl w:val="0"/>
        <w:numPr>
          <w:ilvl w:val="0"/>
          <w:numId w:val="5"/>
        </w:numPr>
        <w:suppressAutoHyphens/>
        <w:jc w:val="both"/>
      </w:pPr>
      <w:r w:rsidRPr="00D255A0">
        <w:t>A technical basis and practical guidance on managing ageing of mechanical, electric and I&amp;C components, and civil structures of nuclear power plants important to safety;</w:t>
      </w:r>
    </w:p>
    <w:p w:rsidR="0036432D" w:rsidRPr="00D255A0" w:rsidRDefault="0036432D" w:rsidP="0036432D">
      <w:pPr>
        <w:pStyle w:val="ListParagraph"/>
        <w:widowControl w:val="0"/>
        <w:numPr>
          <w:ilvl w:val="0"/>
          <w:numId w:val="5"/>
        </w:numPr>
        <w:suppressAutoHyphens/>
        <w:jc w:val="both"/>
      </w:pPr>
      <w:r w:rsidRPr="00D255A0">
        <w:t xml:space="preserve">A common internationally recognized basis on what constitutes an effective ageing management </w:t>
      </w:r>
      <w:proofErr w:type="spellStart"/>
      <w:r w:rsidRPr="00D255A0">
        <w:t>programme</w:t>
      </w:r>
      <w:proofErr w:type="spellEnd"/>
      <w:r w:rsidRPr="00D255A0">
        <w:t xml:space="preserve">; </w:t>
      </w:r>
    </w:p>
    <w:p w:rsidR="0036432D" w:rsidRPr="00D255A0" w:rsidRDefault="0036432D" w:rsidP="0036432D">
      <w:pPr>
        <w:pStyle w:val="ListParagraph"/>
        <w:widowControl w:val="0"/>
        <w:numPr>
          <w:ilvl w:val="0"/>
          <w:numId w:val="5"/>
        </w:numPr>
        <w:suppressAutoHyphens/>
        <w:jc w:val="both"/>
      </w:pPr>
      <w:r w:rsidRPr="00D255A0">
        <w:t>A knowledge base on ageing management for design of new plants, design reviews, etc., and a roadmap to available information on ageing management;</w:t>
      </w:r>
    </w:p>
    <w:p w:rsidR="0036432D" w:rsidRDefault="0036432D" w:rsidP="0036432D">
      <w:pPr>
        <w:pStyle w:val="ListParagraph"/>
        <w:widowControl w:val="0"/>
        <w:numPr>
          <w:ilvl w:val="0"/>
          <w:numId w:val="5"/>
        </w:numPr>
        <w:suppressAutoHyphens/>
        <w:jc w:val="both"/>
      </w:pPr>
      <w:r w:rsidRPr="00D255A0">
        <w:t xml:space="preserve">A collection of proven ageing management </w:t>
      </w:r>
      <w:proofErr w:type="spellStart"/>
      <w:r w:rsidRPr="00D255A0">
        <w:t>programmes</w:t>
      </w:r>
      <w:proofErr w:type="spellEnd"/>
      <w:r w:rsidRPr="00D255A0">
        <w:t xml:space="preserve"> for SSCs important to safety developed and implemented in various types of water moderated reactors, which will be periodically updated.</w:t>
      </w:r>
    </w:p>
    <w:p w:rsidR="0036432D" w:rsidRPr="00D255A0" w:rsidRDefault="0036432D" w:rsidP="0036432D">
      <w:pPr>
        <w:pStyle w:val="ListParagraph"/>
        <w:widowControl w:val="0"/>
        <w:suppressAutoHyphens/>
        <w:jc w:val="both"/>
      </w:pPr>
    </w:p>
    <w:p w:rsidR="0036432D" w:rsidRPr="00F42C74" w:rsidRDefault="0036432D" w:rsidP="0036432D">
      <w:pPr>
        <w:shd w:val="clear" w:color="auto" w:fill="FFFFFF"/>
        <w:spacing w:before="100" w:after="100"/>
        <w:outlineLvl w:val="0"/>
        <w:rPr>
          <w:rFonts w:eastAsia="Batang"/>
          <w:b/>
          <w:bCs/>
          <w:szCs w:val="22"/>
        </w:rPr>
      </w:pPr>
      <w:r w:rsidRPr="00F42C74">
        <w:rPr>
          <w:rFonts w:eastAsia="Batang"/>
          <w:b/>
          <w:bCs/>
          <w:szCs w:val="22"/>
        </w:rPr>
        <w:t>6. References</w:t>
      </w:r>
    </w:p>
    <w:p w:rsidR="0036432D" w:rsidRDefault="0036432D" w:rsidP="0036432D">
      <w:pPr>
        <w:shd w:val="clear" w:color="auto" w:fill="FFFFFF"/>
        <w:tabs>
          <w:tab w:val="left" w:pos="0"/>
        </w:tabs>
        <w:suppressAutoHyphens/>
        <w:spacing w:before="100" w:after="100"/>
        <w:rPr>
          <w:rFonts w:eastAsia="Batang"/>
          <w:bCs/>
          <w:color w:val="000000"/>
          <w:szCs w:val="22"/>
        </w:rPr>
      </w:pPr>
    </w:p>
    <w:p w:rsidR="0036432D" w:rsidRPr="008D5888" w:rsidRDefault="0036432D" w:rsidP="0036432D">
      <w:pPr>
        <w:pStyle w:val="ListParagraph"/>
        <w:numPr>
          <w:ilvl w:val="0"/>
          <w:numId w:val="1"/>
        </w:numPr>
        <w:shd w:val="clear" w:color="auto" w:fill="FFFFFF"/>
        <w:tabs>
          <w:tab w:val="left" w:pos="0"/>
        </w:tabs>
        <w:suppressAutoHyphens/>
        <w:spacing w:before="100" w:after="100"/>
        <w:ind w:left="567" w:hanging="567"/>
        <w:jc w:val="both"/>
      </w:pPr>
      <w:r w:rsidRPr="008D5888">
        <w:t>INTERNATIONAL ATOMIC ENERGY AGENCY, Safety of Nuclear Power Plants: Design, Safety Standards Series No. SSR-2/1, Rev.1, IAEA, Vienna (2016).</w:t>
      </w:r>
    </w:p>
    <w:p w:rsidR="0036432D" w:rsidRPr="008D5888" w:rsidRDefault="0036432D" w:rsidP="0036432D">
      <w:pPr>
        <w:pStyle w:val="ListParagraph"/>
        <w:numPr>
          <w:ilvl w:val="0"/>
          <w:numId w:val="1"/>
        </w:numPr>
        <w:shd w:val="clear" w:color="auto" w:fill="FFFFFF"/>
        <w:tabs>
          <w:tab w:val="left" w:pos="0"/>
        </w:tabs>
        <w:suppressAutoHyphens/>
        <w:spacing w:before="100" w:after="100"/>
        <w:ind w:left="567" w:hanging="567"/>
        <w:jc w:val="both"/>
      </w:pPr>
      <w:r w:rsidRPr="008D5888">
        <w:t>INTERNATIONAL ATOMIC ENERGY AGENCY, Safety of Nuclear Power Plants: Commissioning and Operation, Safety Standards Series No. SSR-2/2, Rev.1, IAEA, Vienna (2016).</w:t>
      </w:r>
    </w:p>
    <w:p w:rsidR="0036432D" w:rsidRPr="008D5888" w:rsidRDefault="0036432D" w:rsidP="0036432D">
      <w:pPr>
        <w:pStyle w:val="ListParagraph"/>
        <w:numPr>
          <w:ilvl w:val="0"/>
          <w:numId w:val="1"/>
        </w:numPr>
        <w:shd w:val="clear" w:color="auto" w:fill="FFFFFF"/>
        <w:tabs>
          <w:tab w:val="left" w:pos="0"/>
        </w:tabs>
        <w:suppressAutoHyphens/>
        <w:spacing w:before="100" w:after="100"/>
        <w:ind w:left="567" w:hanging="567"/>
        <w:jc w:val="both"/>
      </w:pPr>
      <w:r w:rsidRPr="008D5888">
        <w:t xml:space="preserve">INTERNATIONAL ATOMIC ENERGY AGENCY, Ageing Management and Development of a </w:t>
      </w:r>
      <w:proofErr w:type="spellStart"/>
      <w:r w:rsidRPr="008D5888">
        <w:t>Programme</w:t>
      </w:r>
      <w:proofErr w:type="spellEnd"/>
      <w:r w:rsidRPr="008D5888">
        <w:t xml:space="preserve"> for Long Term Operation of  Nuclear Power Plants, Safety Standards Series No. SSG-48, IAEA, Vienna (2017).</w:t>
      </w:r>
    </w:p>
    <w:p w:rsidR="0036432D" w:rsidRPr="008D5888" w:rsidRDefault="0036432D" w:rsidP="0036432D">
      <w:pPr>
        <w:pStyle w:val="ListParagraph"/>
        <w:numPr>
          <w:ilvl w:val="0"/>
          <w:numId w:val="1"/>
        </w:numPr>
        <w:shd w:val="clear" w:color="auto" w:fill="FFFFFF"/>
        <w:tabs>
          <w:tab w:val="left" w:pos="0"/>
        </w:tabs>
        <w:suppressAutoHyphens/>
        <w:spacing w:before="100" w:after="100"/>
        <w:ind w:left="567" w:hanging="567"/>
        <w:jc w:val="both"/>
      </w:pPr>
      <w:r w:rsidRPr="008D5888">
        <w:t>INTERNATIONAL ATOMIC ENERGY AGENCY, Maintenance, Surveillance and In-service Inspection in Nuclear Power Plants, Safety Standards Series No. NS-G-2.6, IAEA, Vienna (2002).</w:t>
      </w:r>
    </w:p>
    <w:p w:rsidR="0036432D" w:rsidRPr="008D5888" w:rsidRDefault="0036432D" w:rsidP="0036432D">
      <w:pPr>
        <w:pStyle w:val="ListParagraph"/>
        <w:numPr>
          <w:ilvl w:val="0"/>
          <w:numId w:val="1"/>
        </w:numPr>
        <w:shd w:val="clear" w:color="auto" w:fill="FFFFFF"/>
        <w:tabs>
          <w:tab w:val="left" w:pos="0"/>
        </w:tabs>
        <w:suppressAutoHyphens/>
        <w:spacing w:before="100" w:after="100"/>
        <w:ind w:left="567" w:hanging="567"/>
        <w:jc w:val="both"/>
      </w:pPr>
      <w:r w:rsidRPr="008D5888">
        <w:t>INTERNATIONAL ATOMIC ENERGY AGENCY, Periodic Safety Review of Nuclear Power Plants, Safety Standards Series No. SSG-25, IAEA, Vienna (2013).</w:t>
      </w:r>
    </w:p>
    <w:p w:rsidR="0036432D" w:rsidRPr="008D5888" w:rsidRDefault="0036432D" w:rsidP="0036432D">
      <w:pPr>
        <w:pStyle w:val="ListParagraph"/>
        <w:numPr>
          <w:ilvl w:val="0"/>
          <w:numId w:val="1"/>
        </w:numPr>
        <w:shd w:val="clear" w:color="auto" w:fill="FFFFFF"/>
        <w:tabs>
          <w:tab w:val="left" w:pos="0"/>
        </w:tabs>
        <w:suppressAutoHyphens/>
        <w:spacing w:before="100" w:after="100"/>
        <w:ind w:left="567" w:hanging="567"/>
        <w:jc w:val="both"/>
      </w:pPr>
      <w:r w:rsidRPr="008D5888">
        <w:lastRenderedPageBreak/>
        <w:t>INTERNATIONAL ATOMIC ENERGY AGENCY, Safety Aspects of Nuclear Power Plant Ageing, IAEA-TECDOC-540, IAEA, Vienna (1990).</w:t>
      </w:r>
    </w:p>
    <w:p w:rsidR="0036432D" w:rsidRPr="008D5888" w:rsidRDefault="0036432D" w:rsidP="0036432D">
      <w:pPr>
        <w:pStyle w:val="ListParagraph"/>
        <w:numPr>
          <w:ilvl w:val="0"/>
          <w:numId w:val="1"/>
        </w:numPr>
        <w:shd w:val="clear" w:color="auto" w:fill="FFFFFF"/>
        <w:tabs>
          <w:tab w:val="left" w:pos="0"/>
        </w:tabs>
        <w:suppressAutoHyphens/>
        <w:spacing w:before="100" w:after="100"/>
        <w:ind w:left="567" w:hanging="567"/>
        <w:jc w:val="both"/>
      </w:pPr>
      <w:r w:rsidRPr="008D5888">
        <w:t xml:space="preserve">INTERNATIONAL ATOMIC ENERGY AGENCY, Methodology for the Management of Ageing of Nuclear Power Plant Components Important to Safety, Technical Reports Series No. 338, IAEA, Vienna (1992). </w:t>
      </w:r>
    </w:p>
    <w:p w:rsidR="0036432D" w:rsidRPr="008D5888" w:rsidRDefault="0036432D" w:rsidP="0036432D">
      <w:pPr>
        <w:pStyle w:val="ListParagraph"/>
        <w:numPr>
          <w:ilvl w:val="0"/>
          <w:numId w:val="1"/>
        </w:numPr>
        <w:shd w:val="clear" w:color="auto" w:fill="FFFFFF"/>
        <w:tabs>
          <w:tab w:val="left" w:pos="0"/>
        </w:tabs>
        <w:suppressAutoHyphens/>
        <w:spacing w:before="100" w:after="100"/>
        <w:ind w:left="567" w:hanging="567"/>
        <w:jc w:val="both"/>
      </w:pPr>
      <w:r w:rsidRPr="008D5888">
        <w:t xml:space="preserve">INTERNATIONAL ATOMIC ENERGY AGENCY, </w:t>
      </w:r>
      <w:proofErr w:type="gramStart"/>
      <w:r w:rsidRPr="008D5888">
        <w:t>The</w:t>
      </w:r>
      <w:proofErr w:type="gramEnd"/>
      <w:r w:rsidRPr="008D5888">
        <w:t xml:space="preserve"> Management System for Nuclear Installations, Safety Standards Series No. GS-G-3.5, IAEA, Vienna (2009).</w:t>
      </w:r>
    </w:p>
    <w:p w:rsidR="0036432D" w:rsidRPr="008D5888" w:rsidRDefault="0036432D" w:rsidP="0036432D">
      <w:pPr>
        <w:pStyle w:val="ListParagraph"/>
        <w:numPr>
          <w:ilvl w:val="0"/>
          <w:numId w:val="1"/>
        </w:numPr>
        <w:shd w:val="clear" w:color="auto" w:fill="FFFFFF"/>
        <w:tabs>
          <w:tab w:val="left" w:pos="0"/>
        </w:tabs>
        <w:suppressAutoHyphens/>
        <w:spacing w:before="100" w:after="100"/>
        <w:ind w:left="567" w:hanging="567"/>
        <w:jc w:val="both"/>
      </w:pPr>
      <w:r w:rsidRPr="008D5888">
        <w:t xml:space="preserve">INTERNATIONAL ATOMIC ENERGY AGENCY, Implementation and Review of a Nuclear Power Plant Ageing Management </w:t>
      </w:r>
      <w:proofErr w:type="spellStart"/>
      <w:r w:rsidRPr="008D5888">
        <w:t>Programme</w:t>
      </w:r>
      <w:proofErr w:type="spellEnd"/>
      <w:r w:rsidRPr="008D5888">
        <w:t>, Safety Reports Series No.15, IAEA, Vienna (1999).</w:t>
      </w:r>
    </w:p>
    <w:p w:rsidR="0036432D" w:rsidRPr="008D5888" w:rsidRDefault="0036432D" w:rsidP="0036432D">
      <w:pPr>
        <w:pStyle w:val="ListParagraph"/>
        <w:numPr>
          <w:ilvl w:val="0"/>
          <w:numId w:val="1"/>
        </w:numPr>
        <w:shd w:val="clear" w:color="auto" w:fill="FFFFFF"/>
        <w:tabs>
          <w:tab w:val="left" w:pos="0"/>
        </w:tabs>
        <w:suppressAutoHyphens/>
        <w:spacing w:before="100" w:after="100"/>
        <w:ind w:left="567" w:hanging="567"/>
        <w:jc w:val="both"/>
      </w:pPr>
      <w:r w:rsidRPr="008D5888">
        <w:t>INTERNATIONAL ATOMIC ENERGY AGENCY, Assessment and Management of Ageing of Major Nuclear Power Plant Components Important to Safety: Steam Generators, IAEA-TECDOC-981, IAEA, Vienna (1997).</w:t>
      </w:r>
    </w:p>
    <w:p w:rsidR="0036432D" w:rsidRPr="008D5888" w:rsidRDefault="0036432D" w:rsidP="0036432D">
      <w:pPr>
        <w:pStyle w:val="ListParagraph"/>
        <w:numPr>
          <w:ilvl w:val="0"/>
          <w:numId w:val="1"/>
        </w:numPr>
        <w:shd w:val="clear" w:color="auto" w:fill="FFFFFF"/>
        <w:tabs>
          <w:tab w:val="left" w:pos="0"/>
        </w:tabs>
        <w:suppressAutoHyphens/>
        <w:spacing w:before="100" w:after="100"/>
        <w:ind w:left="567" w:hanging="567"/>
        <w:jc w:val="both"/>
      </w:pPr>
      <w:r w:rsidRPr="008D5888">
        <w:t>INTERNATIONAL ATOMIC ENERGY AGENCY, Assessment and Management of Ageing of Major Nuclear Power Plant Components Important to Safety: Concrete Containment Buildings, IAEA-TECDOC-1025, IAEA, Vienna (1998).</w:t>
      </w:r>
    </w:p>
    <w:p w:rsidR="0036432D" w:rsidRPr="008D5888" w:rsidRDefault="0036432D" w:rsidP="0036432D">
      <w:pPr>
        <w:pStyle w:val="ListParagraph"/>
        <w:numPr>
          <w:ilvl w:val="0"/>
          <w:numId w:val="1"/>
        </w:numPr>
        <w:shd w:val="clear" w:color="auto" w:fill="FFFFFF"/>
        <w:tabs>
          <w:tab w:val="left" w:pos="0"/>
        </w:tabs>
        <w:suppressAutoHyphens/>
        <w:spacing w:before="100" w:after="100"/>
        <w:ind w:left="567" w:hanging="567"/>
        <w:jc w:val="both"/>
      </w:pPr>
      <w:r w:rsidRPr="008D5888">
        <w:t>INTERNATIONAL ATOMIC ENERGY AGENCY, Assessment and Management of Ageing of Major Nuclear Power Plant Components Important to Safety: CANDU Pressure Tubes, IAEA-TECDOC-1037, IAEA, Vienna (1998).</w:t>
      </w:r>
    </w:p>
    <w:p w:rsidR="0036432D" w:rsidRPr="008D5888" w:rsidRDefault="0036432D" w:rsidP="0036432D">
      <w:pPr>
        <w:pStyle w:val="ListParagraph"/>
        <w:numPr>
          <w:ilvl w:val="0"/>
          <w:numId w:val="1"/>
        </w:numPr>
        <w:shd w:val="clear" w:color="auto" w:fill="FFFFFF"/>
        <w:tabs>
          <w:tab w:val="left" w:pos="0"/>
        </w:tabs>
        <w:suppressAutoHyphens/>
        <w:spacing w:before="100" w:after="100"/>
        <w:ind w:left="567" w:hanging="567"/>
        <w:jc w:val="both"/>
      </w:pPr>
      <w:r w:rsidRPr="008D5888">
        <w:t xml:space="preserve">INTERNATIONAL ATOMIC ENERGY AGENCY, Assessment and Management of Ageing of Major Nuclear Power Plant Components Important to Safety: PWR Pressure Vessels, IAEA-TECDOC-1120, IAEA, Vienna (1999). </w:t>
      </w:r>
    </w:p>
    <w:p w:rsidR="0036432D" w:rsidRPr="008D5888" w:rsidRDefault="0036432D" w:rsidP="0036432D">
      <w:pPr>
        <w:pStyle w:val="ListParagraph"/>
        <w:numPr>
          <w:ilvl w:val="0"/>
          <w:numId w:val="1"/>
        </w:numPr>
        <w:shd w:val="clear" w:color="auto" w:fill="FFFFFF"/>
        <w:tabs>
          <w:tab w:val="left" w:pos="0"/>
        </w:tabs>
        <w:suppressAutoHyphens/>
        <w:spacing w:before="100" w:after="100"/>
        <w:ind w:left="567" w:hanging="567"/>
        <w:jc w:val="both"/>
      </w:pPr>
      <w:r w:rsidRPr="008D5888">
        <w:t>INTERNATIONAL ATOMIC ENERGY AGENCY, Assessment and Management of Ageing of Major Nuclear Power Plant Components Important to Safety: PWR Vessel Internals, IAEA-TECDOC-1119, IAEA, Vienna (1999).</w:t>
      </w:r>
    </w:p>
    <w:p w:rsidR="0036432D" w:rsidRPr="008D5888" w:rsidRDefault="0036432D" w:rsidP="0036432D">
      <w:pPr>
        <w:pStyle w:val="ListParagraph"/>
        <w:numPr>
          <w:ilvl w:val="0"/>
          <w:numId w:val="1"/>
        </w:numPr>
        <w:shd w:val="clear" w:color="auto" w:fill="FFFFFF"/>
        <w:tabs>
          <w:tab w:val="left" w:pos="0"/>
        </w:tabs>
        <w:suppressAutoHyphens/>
        <w:spacing w:before="100" w:after="100"/>
        <w:ind w:left="567" w:hanging="567"/>
        <w:jc w:val="both"/>
      </w:pPr>
      <w:r w:rsidRPr="008D5888">
        <w:t>INTERNATIONAL ATOMIC ENERGY AGENCY, Assessment and Management of Ageing of Major Nuclear Power Plant Components Important to Safety: Metal Components of BWR Containment Systems, IAEA-TECDOC-1181, IAEA, Vienna (2000).</w:t>
      </w:r>
    </w:p>
    <w:p w:rsidR="0036432D" w:rsidRPr="008D5888" w:rsidRDefault="0036432D" w:rsidP="0036432D">
      <w:pPr>
        <w:pStyle w:val="ListParagraph"/>
        <w:numPr>
          <w:ilvl w:val="0"/>
          <w:numId w:val="1"/>
        </w:numPr>
        <w:shd w:val="clear" w:color="auto" w:fill="FFFFFF"/>
        <w:tabs>
          <w:tab w:val="left" w:pos="0"/>
        </w:tabs>
        <w:suppressAutoHyphens/>
        <w:spacing w:before="100" w:after="100"/>
        <w:ind w:left="567" w:hanging="567"/>
        <w:jc w:val="both"/>
      </w:pPr>
      <w:r w:rsidRPr="008D5888">
        <w:t>INTERNATIONAL ATOMIC ENERGY AGENCY, Assessment and Management of Ageing of Major Nuclear Power Plant Components Important to Safety: In-containment Instrumentation and Control Cables, Volumes I and II, IAEA-TECDOC-1188, IAEA, Vienna (2000).</w:t>
      </w:r>
    </w:p>
    <w:p w:rsidR="0036432D" w:rsidRPr="008D5888" w:rsidRDefault="0036432D" w:rsidP="0036432D">
      <w:pPr>
        <w:pStyle w:val="ListParagraph"/>
        <w:numPr>
          <w:ilvl w:val="0"/>
          <w:numId w:val="1"/>
        </w:numPr>
        <w:shd w:val="clear" w:color="auto" w:fill="FFFFFF"/>
        <w:tabs>
          <w:tab w:val="left" w:pos="0"/>
        </w:tabs>
        <w:suppressAutoHyphens/>
        <w:spacing w:before="100" w:after="100"/>
        <w:ind w:left="567" w:hanging="567"/>
        <w:jc w:val="both"/>
      </w:pPr>
      <w:r w:rsidRPr="008D5888">
        <w:t>INTERNATIONAL ATOMIC ENERGY AGENCY, Assessment and Management of Ageing of Major Nuclear Power Plant Components Important to Safety: CANDU Reactor Assemblies, IAEA-TECDOC-1197, IAEA, Vienna (2001).</w:t>
      </w:r>
    </w:p>
    <w:p w:rsidR="0036432D" w:rsidRPr="008D5888" w:rsidRDefault="0036432D" w:rsidP="0036432D">
      <w:pPr>
        <w:pStyle w:val="ListParagraph"/>
        <w:numPr>
          <w:ilvl w:val="0"/>
          <w:numId w:val="1"/>
        </w:numPr>
        <w:shd w:val="clear" w:color="auto" w:fill="FFFFFF"/>
        <w:tabs>
          <w:tab w:val="left" w:pos="0"/>
        </w:tabs>
        <w:suppressAutoHyphens/>
        <w:spacing w:before="100" w:after="100"/>
        <w:ind w:left="567" w:hanging="567"/>
        <w:jc w:val="both"/>
      </w:pPr>
      <w:r w:rsidRPr="008D5888">
        <w:t>INTERNATIONAL ATOMIC ENERGY AGENCY, Assessment and Management of Ageing of Major Nuclear Power Plant Components Important to Safety: Primary Piping in PWRs, IAEA-TECDOC-1361, IAEA, Vienna (2003).</w:t>
      </w:r>
    </w:p>
    <w:p w:rsidR="0036432D" w:rsidRPr="008D5888" w:rsidRDefault="0036432D" w:rsidP="0036432D">
      <w:pPr>
        <w:pStyle w:val="ListParagraph"/>
        <w:numPr>
          <w:ilvl w:val="0"/>
          <w:numId w:val="1"/>
        </w:numPr>
        <w:shd w:val="clear" w:color="auto" w:fill="FFFFFF"/>
        <w:tabs>
          <w:tab w:val="left" w:pos="0"/>
        </w:tabs>
        <w:suppressAutoHyphens/>
        <w:spacing w:before="100" w:after="100"/>
        <w:ind w:left="567" w:hanging="567"/>
        <w:jc w:val="both"/>
      </w:pPr>
      <w:r w:rsidRPr="008D5888">
        <w:t>INTERNATIONAL ATOMIC ENERGY AGENCY, Assessment and Management of Ageing of Major Nuclear Power Plant Components Important to Safety: BWR Pressure Vessels, IAEA-TECDOC-1470, IAEA, Vienna (2005).</w:t>
      </w:r>
    </w:p>
    <w:p w:rsidR="0036432D" w:rsidRPr="008D5888" w:rsidRDefault="0036432D" w:rsidP="0036432D">
      <w:pPr>
        <w:pStyle w:val="ListParagraph"/>
        <w:numPr>
          <w:ilvl w:val="0"/>
          <w:numId w:val="1"/>
        </w:numPr>
        <w:shd w:val="clear" w:color="auto" w:fill="FFFFFF"/>
        <w:tabs>
          <w:tab w:val="left" w:pos="0"/>
        </w:tabs>
        <w:suppressAutoHyphens/>
        <w:spacing w:before="100" w:after="100"/>
        <w:ind w:left="567" w:hanging="567"/>
        <w:jc w:val="both"/>
      </w:pPr>
      <w:r w:rsidRPr="008D5888">
        <w:t>INTERNATIONAL ATOMIC ENERGY AGENCY, Assessment and Management of Ageing of Major Nuclear Power Plant Components Important to Safety: PWR Pressure Vessels 2007 Update, IAEA-TECDOC-1556, IAEA, Vienna (2007).</w:t>
      </w:r>
    </w:p>
    <w:p w:rsidR="0036432D" w:rsidRPr="008D5888" w:rsidRDefault="0036432D" w:rsidP="0036432D">
      <w:pPr>
        <w:pStyle w:val="ListParagraph"/>
        <w:numPr>
          <w:ilvl w:val="0"/>
          <w:numId w:val="1"/>
        </w:numPr>
        <w:shd w:val="clear" w:color="auto" w:fill="FFFFFF"/>
        <w:tabs>
          <w:tab w:val="left" w:pos="0"/>
        </w:tabs>
        <w:suppressAutoHyphens/>
        <w:spacing w:before="100" w:after="100"/>
        <w:ind w:left="567" w:hanging="567"/>
        <w:jc w:val="both"/>
      </w:pPr>
      <w:r w:rsidRPr="008D5888">
        <w:t>INTERNATIONAL ATOMIC ENERGY AGENCY, Safety Aspects of Long Term Operation of Water Moderated Reactors, IAEA-EBP-SALTO, IAEA, Vienna (2007).</w:t>
      </w:r>
    </w:p>
    <w:p w:rsidR="0036432D" w:rsidRPr="008D5888" w:rsidRDefault="0036432D" w:rsidP="0036432D">
      <w:pPr>
        <w:pStyle w:val="ListParagraph"/>
        <w:numPr>
          <w:ilvl w:val="0"/>
          <w:numId w:val="1"/>
        </w:numPr>
        <w:shd w:val="clear" w:color="auto" w:fill="FFFFFF"/>
        <w:tabs>
          <w:tab w:val="left" w:pos="0"/>
        </w:tabs>
        <w:suppressAutoHyphens/>
        <w:spacing w:before="100" w:after="100"/>
        <w:ind w:left="567" w:hanging="567"/>
        <w:jc w:val="both"/>
      </w:pPr>
      <w:r w:rsidRPr="008D5888">
        <w:t xml:space="preserve">INTERNATIONAL ATOMIC ENERGY AGENCY, Safe Long Term Operation of Nuclear Power </w:t>
      </w:r>
      <w:proofErr w:type="spellStart"/>
      <w:r w:rsidRPr="008D5888">
        <w:t>Plants,Safety</w:t>
      </w:r>
      <w:proofErr w:type="spellEnd"/>
      <w:r w:rsidRPr="008D5888">
        <w:t xml:space="preserve"> Reports Series No.57, IAEA, Vienna (2008).</w:t>
      </w:r>
    </w:p>
    <w:p w:rsidR="0036432D" w:rsidRPr="008D5888" w:rsidRDefault="0036432D" w:rsidP="0036432D">
      <w:pPr>
        <w:pStyle w:val="ListParagraph"/>
        <w:numPr>
          <w:ilvl w:val="0"/>
          <w:numId w:val="1"/>
        </w:numPr>
        <w:shd w:val="clear" w:color="auto" w:fill="FFFFFF"/>
        <w:tabs>
          <w:tab w:val="left" w:pos="0"/>
        </w:tabs>
        <w:suppressAutoHyphens/>
        <w:spacing w:before="100" w:after="100"/>
        <w:ind w:left="567" w:hanging="567"/>
        <w:jc w:val="both"/>
      </w:pPr>
      <w:r w:rsidRPr="008D5888">
        <w:lastRenderedPageBreak/>
        <w:t>INTERNATIONAL ATOMIC ENERGY AGENCY, Plant Life Management for Long Term Operation of Light Water Reactors, Technical Reports Series No. 448, IAEA, Vienna (2006).</w:t>
      </w:r>
    </w:p>
    <w:p w:rsidR="0036432D" w:rsidRPr="008D5888" w:rsidRDefault="0036432D" w:rsidP="0036432D">
      <w:pPr>
        <w:pStyle w:val="ListParagraph"/>
        <w:numPr>
          <w:ilvl w:val="0"/>
          <w:numId w:val="1"/>
        </w:numPr>
        <w:shd w:val="clear" w:color="auto" w:fill="FFFFFF"/>
        <w:tabs>
          <w:tab w:val="left" w:pos="0"/>
        </w:tabs>
        <w:suppressAutoHyphens/>
        <w:spacing w:before="100" w:after="100"/>
        <w:ind w:left="567" w:hanging="567"/>
        <w:jc w:val="both"/>
      </w:pPr>
      <w:r w:rsidRPr="008D5888">
        <w:t>INTERNATIONAL ATOMIC ENERGY AGENCY, Nuclear Power Plant Life Management Processes: Guidelines and Practices for Heavy Water Reactors, IAEA-TECDOC-1503, IAEA, Vienna (2006).</w:t>
      </w:r>
    </w:p>
    <w:p w:rsidR="0036432D" w:rsidRPr="008D5888" w:rsidRDefault="0036432D" w:rsidP="0036432D">
      <w:pPr>
        <w:pStyle w:val="ListParagraph"/>
        <w:numPr>
          <w:ilvl w:val="0"/>
          <w:numId w:val="1"/>
        </w:numPr>
        <w:shd w:val="clear" w:color="auto" w:fill="FFFFFF"/>
        <w:tabs>
          <w:tab w:val="left" w:pos="0"/>
        </w:tabs>
        <w:suppressAutoHyphens/>
        <w:spacing w:before="100" w:after="100"/>
        <w:ind w:left="567" w:hanging="567"/>
        <w:jc w:val="both"/>
      </w:pPr>
      <w:r w:rsidRPr="008D5888">
        <w:t>INTERNATIONAL ATOMIC ENERGY AGENCY, Safe and Effective Nuclear Power Plant Life Cycle Management Towards Decommissioning, IAEA-TECDOC-1305, IAEA, Vienna (2002).</w:t>
      </w:r>
    </w:p>
    <w:p w:rsidR="0036432D" w:rsidRPr="008D5888" w:rsidRDefault="0036432D" w:rsidP="0036432D">
      <w:pPr>
        <w:pStyle w:val="ListParagraph"/>
        <w:numPr>
          <w:ilvl w:val="0"/>
          <w:numId w:val="1"/>
        </w:numPr>
        <w:shd w:val="clear" w:color="auto" w:fill="FFFFFF"/>
        <w:tabs>
          <w:tab w:val="left" w:pos="0"/>
        </w:tabs>
        <w:suppressAutoHyphens/>
        <w:spacing w:before="100" w:after="100"/>
        <w:ind w:left="567" w:hanging="567"/>
        <w:jc w:val="both"/>
      </w:pPr>
      <w:r w:rsidRPr="008D5888">
        <w:t>UNITED STATES NUCLEAR REGULATORY COMMISSION, Title 10 Code of Federal Regulations Part 54, Requirements for Renewal of Operating Licenses for Nuclear Power Plants, Office of the Federal Register, National Archives and Records Administration, USNRC, Washington DC (2013).</w:t>
      </w:r>
    </w:p>
    <w:p w:rsidR="0036432D" w:rsidRPr="008D5888" w:rsidRDefault="0036432D" w:rsidP="0036432D">
      <w:pPr>
        <w:pStyle w:val="ListParagraph"/>
        <w:numPr>
          <w:ilvl w:val="0"/>
          <w:numId w:val="1"/>
        </w:numPr>
        <w:shd w:val="clear" w:color="auto" w:fill="FFFFFF"/>
        <w:tabs>
          <w:tab w:val="left" w:pos="0"/>
        </w:tabs>
        <w:suppressAutoHyphens/>
        <w:spacing w:before="100" w:after="100"/>
        <w:ind w:left="567" w:hanging="567"/>
        <w:jc w:val="both"/>
      </w:pPr>
      <w:r w:rsidRPr="008D5888">
        <w:t>UNITED STATES NUCLEAR REGULATORY COMMISSION, Standard Format and Content for Applications to Renew Nuclear Power Plant Operating Licenses, Rev.1, USNRC Regulatory Guide 1.188, USNRC, Washington DC (2005).</w:t>
      </w:r>
    </w:p>
    <w:p w:rsidR="0036432D" w:rsidRPr="008D5888" w:rsidRDefault="0036432D" w:rsidP="0036432D">
      <w:pPr>
        <w:pStyle w:val="ListParagraph"/>
        <w:numPr>
          <w:ilvl w:val="0"/>
          <w:numId w:val="1"/>
        </w:numPr>
        <w:shd w:val="clear" w:color="auto" w:fill="FFFFFF"/>
        <w:tabs>
          <w:tab w:val="left" w:pos="0"/>
        </w:tabs>
        <w:suppressAutoHyphens/>
        <w:spacing w:before="100" w:after="100"/>
        <w:ind w:left="567" w:hanging="567"/>
        <w:jc w:val="both"/>
      </w:pPr>
      <w:r w:rsidRPr="008D5888">
        <w:t>UNITED STATES NUCLEAR REGULATORY COMMISSION, Standard Review Plan for Review of License Renewal Applications for Nuclear Power Plants, NUREG-1800, Rev.2, USNRC, Washington DC (2010).</w:t>
      </w:r>
    </w:p>
    <w:p w:rsidR="0036432D" w:rsidRPr="008D5888" w:rsidRDefault="0036432D" w:rsidP="0036432D">
      <w:pPr>
        <w:pStyle w:val="ListParagraph"/>
        <w:numPr>
          <w:ilvl w:val="0"/>
          <w:numId w:val="1"/>
        </w:numPr>
        <w:shd w:val="clear" w:color="auto" w:fill="FFFFFF"/>
        <w:tabs>
          <w:tab w:val="left" w:pos="0"/>
        </w:tabs>
        <w:suppressAutoHyphens/>
        <w:spacing w:before="100" w:after="100"/>
        <w:ind w:left="567" w:hanging="567"/>
        <w:jc w:val="both"/>
      </w:pPr>
      <w:r w:rsidRPr="008D5888">
        <w:t>UNITED STATES NUCLEAR REGULATORY COMMISSION, Generic Aging Lessons Learned (GALL) Report, Final Report, NUREG-1801 Rev.2, USNRC, Washington DC (2010).</w:t>
      </w:r>
    </w:p>
    <w:p w:rsidR="0036432D" w:rsidRPr="008D5888" w:rsidRDefault="0036432D" w:rsidP="0036432D">
      <w:pPr>
        <w:pStyle w:val="ListParagraph"/>
        <w:numPr>
          <w:ilvl w:val="0"/>
          <w:numId w:val="1"/>
        </w:numPr>
        <w:shd w:val="clear" w:color="auto" w:fill="FFFFFF"/>
        <w:tabs>
          <w:tab w:val="left" w:pos="0"/>
        </w:tabs>
        <w:suppressAutoHyphens/>
        <w:spacing w:before="100" w:after="100"/>
        <w:ind w:left="567" w:hanging="567"/>
        <w:jc w:val="both"/>
      </w:pPr>
      <w:r w:rsidRPr="008D5888">
        <w:t xml:space="preserve">INTERNATIONAL ATOMIC ENERGY </w:t>
      </w:r>
      <w:proofErr w:type="gramStart"/>
      <w:r w:rsidRPr="008D5888">
        <w:t>AGENCY,</w:t>
      </w:r>
      <w:proofErr w:type="gramEnd"/>
      <w:r w:rsidRPr="008D5888">
        <w:t xml:space="preserve"> Approaches to Ageing Management for Nuclear Power Plants: International Generic Ageing Lessons Learned (IGALL) Final Report, IAEA-TECDOC-1736, Vienna (2014).</w:t>
      </w:r>
    </w:p>
    <w:p w:rsidR="0036432D" w:rsidRPr="008D5888" w:rsidRDefault="0036432D" w:rsidP="0036432D">
      <w:pPr>
        <w:shd w:val="clear" w:color="auto" w:fill="FFFFFF"/>
        <w:tabs>
          <w:tab w:val="left" w:pos="0"/>
        </w:tabs>
        <w:suppressAutoHyphens/>
        <w:spacing w:before="100" w:after="100"/>
        <w:rPr>
          <w:rFonts w:eastAsia="Batang"/>
          <w:bCs/>
          <w:color w:val="000000"/>
          <w:szCs w:val="22"/>
        </w:rPr>
      </w:pPr>
    </w:p>
    <w:p w:rsidR="0036432D" w:rsidRDefault="0036432D" w:rsidP="0036432D"/>
    <w:p w:rsidR="00CA0A7A" w:rsidRDefault="00CA0A7A"/>
    <w:sectPr w:rsidR="00CA0A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0000000000000000000"/>
    <w:charset w:val="02"/>
    <w:family w:val="auto"/>
    <w:notTrueType/>
    <w:pitch w:val="variable"/>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B4D08"/>
    <w:multiLevelType w:val="hybridMultilevel"/>
    <w:tmpl w:val="BFA6EFA6"/>
    <w:lvl w:ilvl="0" w:tplc="51B28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A95904"/>
    <w:multiLevelType w:val="hybridMultilevel"/>
    <w:tmpl w:val="5EAC46E6"/>
    <w:lvl w:ilvl="0" w:tplc="E75A1A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B923FCD"/>
    <w:multiLevelType w:val="hybridMultilevel"/>
    <w:tmpl w:val="96885A98"/>
    <w:lvl w:ilvl="0" w:tplc="08090001">
      <w:start w:val="1"/>
      <w:numFmt w:val="bullet"/>
      <w:lvlText w:val=""/>
      <w:lvlJc w:val="left"/>
      <w:pPr>
        <w:tabs>
          <w:tab w:val="num" w:pos="720"/>
        </w:tabs>
        <w:ind w:left="720" w:hanging="360"/>
      </w:pPr>
      <w:rPr>
        <w:rFonts w:ascii="Symbol" w:hAnsi="Symbol" w:hint="default"/>
        <w:b w:val="0"/>
      </w:rPr>
    </w:lvl>
    <w:lvl w:ilvl="1" w:tplc="44E8D9EC">
      <w:start w:val="1"/>
      <w:numFmt w:val="decimal"/>
      <w:lvlText w:val="%2."/>
      <w:lvlJc w:val="left"/>
      <w:pPr>
        <w:tabs>
          <w:tab w:val="num" w:pos="1440"/>
        </w:tabs>
        <w:ind w:left="1440" w:hanging="360"/>
      </w:pPr>
    </w:lvl>
    <w:lvl w:ilvl="2" w:tplc="B49EA27E">
      <w:start w:val="1"/>
      <w:numFmt w:val="decimal"/>
      <w:lvlText w:val="%3."/>
      <w:lvlJc w:val="left"/>
      <w:pPr>
        <w:tabs>
          <w:tab w:val="num" w:pos="2160"/>
        </w:tabs>
        <w:ind w:left="2160" w:hanging="360"/>
      </w:pPr>
    </w:lvl>
    <w:lvl w:ilvl="3" w:tplc="548E3958" w:tentative="1">
      <w:start w:val="1"/>
      <w:numFmt w:val="decimal"/>
      <w:lvlText w:val="%4."/>
      <w:lvlJc w:val="left"/>
      <w:pPr>
        <w:tabs>
          <w:tab w:val="num" w:pos="2880"/>
        </w:tabs>
        <w:ind w:left="2880" w:hanging="360"/>
      </w:pPr>
    </w:lvl>
    <w:lvl w:ilvl="4" w:tplc="631A4C38" w:tentative="1">
      <w:start w:val="1"/>
      <w:numFmt w:val="decimal"/>
      <w:lvlText w:val="%5."/>
      <w:lvlJc w:val="left"/>
      <w:pPr>
        <w:tabs>
          <w:tab w:val="num" w:pos="3600"/>
        </w:tabs>
        <w:ind w:left="3600" w:hanging="360"/>
      </w:pPr>
    </w:lvl>
    <w:lvl w:ilvl="5" w:tplc="843446C8" w:tentative="1">
      <w:start w:val="1"/>
      <w:numFmt w:val="decimal"/>
      <w:lvlText w:val="%6."/>
      <w:lvlJc w:val="left"/>
      <w:pPr>
        <w:tabs>
          <w:tab w:val="num" w:pos="4320"/>
        </w:tabs>
        <w:ind w:left="4320" w:hanging="360"/>
      </w:pPr>
    </w:lvl>
    <w:lvl w:ilvl="6" w:tplc="EE920628" w:tentative="1">
      <w:start w:val="1"/>
      <w:numFmt w:val="decimal"/>
      <w:lvlText w:val="%7."/>
      <w:lvlJc w:val="left"/>
      <w:pPr>
        <w:tabs>
          <w:tab w:val="num" w:pos="5040"/>
        </w:tabs>
        <w:ind w:left="5040" w:hanging="360"/>
      </w:pPr>
    </w:lvl>
    <w:lvl w:ilvl="7" w:tplc="6D92E5CE" w:tentative="1">
      <w:start w:val="1"/>
      <w:numFmt w:val="decimal"/>
      <w:lvlText w:val="%8."/>
      <w:lvlJc w:val="left"/>
      <w:pPr>
        <w:tabs>
          <w:tab w:val="num" w:pos="5760"/>
        </w:tabs>
        <w:ind w:left="5760" w:hanging="360"/>
      </w:pPr>
    </w:lvl>
    <w:lvl w:ilvl="8" w:tplc="B9F0CA56" w:tentative="1">
      <w:start w:val="1"/>
      <w:numFmt w:val="decimal"/>
      <w:lvlText w:val="%9."/>
      <w:lvlJc w:val="left"/>
      <w:pPr>
        <w:tabs>
          <w:tab w:val="num" w:pos="6480"/>
        </w:tabs>
        <w:ind w:left="6480" w:hanging="360"/>
      </w:pPr>
    </w:lvl>
  </w:abstractNum>
  <w:abstractNum w:abstractNumId="3">
    <w:nsid w:val="34097BDD"/>
    <w:multiLevelType w:val="hybridMultilevel"/>
    <w:tmpl w:val="2F8C9260"/>
    <w:lvl w:ilvl="0" w:tplc="E642237A">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rPr>
        <w:rFonts w:hint="default"/>
      </w:rPr>
    </w:lvl>
    <w:lvl w:ilvl="2" w:tplc="2E8C36DC" w:tentative="1">
      <w:start w:val="1"/>
      <w:numFmt w:val="decimal"/>
      <w:lvlText w:val="%3."/>
      <w:lvlJc w:val="left"/>
      <w:pPr>
        <w:tabs>
          <w:tab w:val="num" w:pos="2160"/>
        </w:tabs>
        <w:ind w:left="2160" w:hanging="360"/>
      </w:pPr>
    </w:lvl>
    <w:lvl w:ilvl="3" w:tplc="0600983A" w:tentative="1">
      <w:start w:val="1"/>
      <w:numFmt w:val="decimal"/>
      <w:lvlText w:val="%4."/>
      <w:lvlJc w:val="left"/>
      <w:pPr>
        <w:tabs>
          <w:tab w:val="num" w:pos="2880"/>
        </w:tabs>
        <w:ind w:left="2880" w:hanging="360"/>
      </w:pPr>
    </w:lvl>
    <w:lvl w:ilvl="4" w:tplc="71F2C33C" w:tentative="1">
      <w:start w:val="1"/>
      <w:numFmt w:val="decimal"/>
      <w:lvlText w:val="%5."/>
      <w:lvlJc w:val="left"/>
      <w:pPr>
        <w:tabs>
          <w:tab w:val="num" w:pos="3600"/>
        </w:tabs>
        <w:ind w:left="3600" w:hanging="360"/>
      </w:pPr>
    </w:lvl>
    <w:lvl w:ilvl="5" w:tplc="786A1E1A" w:tentative="1">
      <w:start w:val="1"/>
      <w:numFmt w:val="decimal"/>
      <w:lvlText w:val="%6."/>
      <w:lvlJc w:val="left"/>
      <w:pPr>
        <w:tabs>
          <w:tab w:val="num" w:pos="4320"/>
        </w:tabs>
        <w:ind w:left="4320" w:hanging="360"/>
      </w:pPr>
    </w:lvl>
    <w:lvl w:ilvl="6" w:tplc="4FFAAE7C" w:tentative="1">
      <w:start w:val="1"/>
      <w:numFmt w:val="decimal"/>
      <w:lvlText w:val="%7."/>
      <w:lvlJc w:val="left"/>
      <w:pPr>
        <w:tabs>
          <w:tab w:val="num" w:pos="5040"/>
        </w:tabs>
        <w:ind w:left="5040" w:hanging="360"/>
      </w:pPr>
    </w:lvl>
    <w:lvl w:ilvl="7" w:tplc="5D7A7B5A" w:tentative="1">
      <w:start w:val="1"/>
      <w:numFmt w:val="decimal"/>
      <w:lvlText w:val="%8."/>
      <w:lvlJc w:val="left"/>
      <w:pPr>
        <w:tabs>
          <w:tab w:val="num" w:pos="5760"/>
        </w:tabs>
        <w:ind w:left="5760" w:hanging="360"/>
      </w:pPr>
    </w:lvl>
    <w:lvl w:ilvl="8" w:tplc="AF0CC9F2" w:tentative="1">
      <w:start w:val="1"/>
      <w:numFmt w:val="decimal"/>
      <w:lvlText w:val="%9."/>
      <w:lvlJc w:val="left"/>
      <w:pPr>
        <w:tabs>
          <w:tab w:val="num" w:pos="6480"/>
        </w:tabs>
        <w:ind w:left="6480" w:hanging="360"/>
      </w:pPr>
    </w:lvl>
  </w:abstractNum>
  <w:abstractNum w:abstractNumId="4">
    <w:nsid w:val="3DEB1D60"/>
    <w:multiLevelType w:val="hybridMultilevel"/>
    <w:tmpl w:val="595A6C88"/>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962209"/>
    <w:multiLevelType w:val="hybridMultilevel"/>
    <w:tmpl w:val="C278EE04"/>
    <w:lvl w:ilvl="0" w:tplc="1EC83A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7878F9"/>
    <w:multiLevelType w:val="hybridMultilevel"/>
    <w:tmpl w:val="173C9A08"/>
    <w:lvl w:ilvl="0" w:tplc="E642237A">
      <w:start w:val="1"/>
      <w:numFmt w:val="decimal"/>
      <w:lvlText w:val="%1."/>
      <w:lvlJc w:val="left"/>
      <w:pPr>
        <w:tabs>
          <w:tab w:val="num" w:pos="720"/>
        </w:tabs>
        <w:ind w:left="720" w:hanging="360"/>
      </w:pPr>
    </w:lvl>
    <w:lvl w:ilvl="1" w:tplc="9B242588">
      <w:start w:val="1"/>
      <w:numFmt w:val="decimal"/>
      <w:lvlText w:val="%2."/>
      <w:lvlJc w:val="left"/>
      <w:pPr>
        <w:tabs>
          <w:tab w:val="num" w:pos="1440"/>
        </w:tabs>
        <w:ind w:left="1440" w:hanging="360"/>
      </w:pPr>
      <w:rPr>
        <w:rFonts w:hint="default"/>
      </w:rPr>
    </w:lvl>
    <w:lvl w:ilvl="2" w:tplc="2E8C36DC" w:tentative="1">
      <w:start w:val="1"/>
      <w:numFmt w:val="decimal"/>
      <w:lvlText w:val="%3."/>
      <w:lvlJc w:val="left"/>
      <w:pPr>
        <w:tabs>
          <w:tab w:val="num" w:pos="2160"/>
        </w:tabs>
        <w:ind w:left="2160" w:hanging="360"/>
      </w:pPr>
    </w:lvl>
    <w:lvl w:ilvl="3" w:tplc="0600983A" w:tentative="1">
      <w:start w:val="1"/>
      <w:numFmt w:val="decimal"/>
      <w:lvlText w:val="%4."/>
      <w:lvlJc w:val="left"/>
      <w:pPr>
        <w:tabs>
          <w:tab w:val="num" w:pos="2880"/>
        </w:tabs>
        <w:ind w:left="2880" w:hanging="360"/>
      </w:pPr>
    </w:lvl>
    <w:lvl w:ilvl="4" w:tplc="71F2C33C" w:tentative="1">
      <w:start w:val="1"/>
      <w:numFmt w:val="decimal"/>
      <w:lvlText w:val="%5."/>
      <w:lvlJc w:val="left"/>
      <w:pPr>
        <w:tabs>
          <w:tab w:val="num" w:pos="3600"/>
        </w:tabs>
        <w:ind w:left="3600" w:hanging="360"/>
      </w:pPr>
    </w:lvl>
    <w:lvl w:ilvl="5" w:tplc="786A1E1A" w:tentative="1">
      <w:start w:val="1"/>
      <w:numFmt w:val="decimal"/>
      <w:lvlText w:val="%6."/>
      <w:lvlJc w:val="left"/>
      <w:pPr>
        <w:tabs>
          <w:tab w:val="num" w:pos="4320"/>
        </w:tabs>
        <w:ind w:left="4320" w:hanging="360"/>
      </w:pPr>
    </w:lvl>
    <w:lvl w:ilvl="6" w:tplc="4FFAAE7C" w:tentative="1">
      <w:start w:val="1"/>
      <w:numFmt w:val="decimal"/>
      <w:lvlText w:val="%7."/>
      <w:lvlJc w:val="left"/>
      <w:pPr>
        <w:tabs>
          <w:tab w:val="num" w:pos="5040"/>
        </w:tabs>
        <w:ind w:left="5040" w:hanging="360"/>
      </w:pPr>
    </w:lvl>
    <w:lvl w:ilvl="7" w:tplc="5D7A7B5A" w:tentative="1">
      <w:start w:val="1"/>
      <w:numFmt w:val="decimal"/>
      <w:lvlText w:val="%8."/>
      <w:lvlJc w:val="left"/>
      <w:pPr>
        <w:tabs>
          <w:tab w:val="num" w:pos="5760"/>
        </w:tabs>
        <w:ind w:left="5760" w:hanging="360"/>
      </w:pPr>
    </w:lvl>
    <w:lvl w:ilvl="8" w:tplc="AF0CC9F2" w:tentative="1">
      <w:start w:val="1"/>
      <w:numFmt w:val="decimal"/>
      <w:lvlText w:val="%9."/>
      <w:lvlJc w:val="left"/>
      <w:pPr>
        <w:tabs>
          <w:tab w:val="num" w:pos="6480"/>
        </w:tabs>
        <w:ind w:left="6480" w:hanging="360"/>
      </w:pPr>
    </w:lvl>
  </w:abstractNum>
  <w:abstractNum w:abstractNumId="7">
    <w:nsid w:val="5117250B"/>
    <w:multiLevelType w:val="multilevel"/>
    <w:tmpl w:val="CC8CC4D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nsid w:val="55980154"/>
    <w:multiLevelType w:val="hybridMultilevel"/>
    <w:tmpl w:val="36BAEF14"/>
    <w:lvl w:ilvl="0" w:tplc="08090001">
      <w:start w:val="1"/>
      <w:numFmt w:val="bullet"/>
      <w:lvlText w:val=""/>
      <w:lvlJc w:val="left"/>
      <w:pPr>
        <w:tabs>
          <w:tab w:val="num" w:pos="720"/>
        </w:tabs>
        <w:ind w:left="720" w:hanging="360"/>
      </w:pPr>
      <w:rPr>
        <w:rFonts w:ascii="Symbol" w:hAnsi="Symbol" w:hint="default"/>
        <w:b w:val="0"/>
      </w:rPr>
    </w:lvl>
    <w:lvl w:ilvl="1" w:tplc="44E8D9EC">
      <w:start w:val="1"/>
      <w:numFmt w:val="decimal"/>
      <w:lvlText w:val="%2."/>
      <w:lvlJc w:val="left"/>
      <w:pPr>
        <w:tabs>
          <w:tab w:val="num" w:pos="1440"/>
        </w:tabs>
        <w:ind w:left="1440" w:hanging="360"/>
      </w:pPr>
    </w:lvl>
    <w:lvl w:ilvl="2" w:tplc="B49EA27E">
      <w:start w:val="1"/>
      <w:numFmt w:val="decimal"/>
      <w:lvlText w:val="%3."/>
      <w:lvlJc w:val="left"/>
      <w:pPr>
        <w:tabs>
          <w:tab w:val="num" w:pos="2160"/>
        </w:tabs>
        <w:ind w:left="2160" w:hanging="360"/>
      </w:pPr>
    </w:lvl>
    <w:lvl w:ilvl="3" w:tplc="548E3958" w:tentative="1">
      <w:start w:val="1"/>
      <w:numFmt w:val="decimal"/>
      <w:lvlText w:val="%4."/>
      <w:lvlJc w:val="left"/>
      <w:pPr>
        <w:tabs>
          <w:tab w:val="num" w:pos="2880"/>
        </w:tabs>
        <w:ind w:left="2880" w:hanging="360"/>
      </w:pPr>
    </w:lvl>
    <w:lvl w:ilvl="4" w:tplc="631A4C38" w:tentative="1">
      <w:start w:val="1"/>
      <w:numFmt w:val="decimal"/>
      <w:lvlText w:val="%5."/>
      <w:lvlJc w:val="left"/>
      <w:pPr>
        <w:tabs>
          <w:tab w:val="num" w:pos="3600"/>
        </w:tabs>
        <w:ind w:left="3600" w:hanging="360"/>
      </w:pPr>
    </w:lvl>
    <w:lvl w:ilvl="5" w:tplc="843446C8" w:tentative="1">
      <w:start w:val="1"/>
      <w:numFmt w:val="decimal"/>
      <w:lvlText w:val="%6."/>
      <w:lvlJc w:val="left"/>
      <w:pPr>
        <w:tabs>
          <w:tab w:val="num" w:pos="4320"/>
        </w:tabs>
        <w:ind w:left="4320" w:hanging="360"/>
      </w:pPr>
    </w:lvl>
    <w:lvl w:ilvl="6" w:tplc="EE920628" w:tentative="1">
      <w:start w:val="1"/>
      <w:numFmt w:val="decimal"/>
      <w:lvlText w:val="%7."/>
      <w:lvlJc w:val="left"/>
      <w:pPr>
        <w:tabs>
          <w:tab w:val="num" w:pos="5040"/>
        </w:tabs>
        <w:ind w:left="5040" w:hanging="360"/>
      </w:pPr>
    </w:lvl>
    <w:lvl w:ilvl="7" w:tplc="6D92E5CE" w:tentative="1">
      <w:start w:val="1"/>
      <w:numFmt w:val="decimal"/>
      <w:lvlText w:val="%8."/>
      <w:lvlJc w:val="left"/>
      <w:pPr>
        <w:tabs>
          <w:tab w:val="num" w:pos="5760"/>
        </w:tabs>
        <w:ind w:left="5760" w:hanging="360"/>
      </w:pPr>
    </w:lvl>
    <w:lvl w:ilvl="8" w:tplc="B9F0CA56" w:tentative="1">
      <w:start w:val="1"/>
      <w:numFmt w:val="decimal"/>
      <w:lvlText w:val="%9."/>
      <w:lvlJc w:val="left"/>
      <w:pPr>
        <w:tabs>
          <w:tab w:val="num" w:pos="6480"/>
        </w:tabs>
        <w:ind w:left="6480" w:hanging="360"/>
      </w:pPr>
    </w:lvl>
  </w:abstractNum>
  <w:abstractNum w:abstractNumId="9">
    <w:nsid w:val="56385E05"/>
    <w:multiLevelType w:val="hybridMultilevel"/>
    <w:tmpl w:val="472255F6"/>
    <w:lvl w:ilvl="0" w:tplc="08090001">
      <w:start w:val="1"/>
      <w:numFmt w:val="bullet"/>
      <w:lvlText w:val=""/>
      <w:lvlJc w:val="left"/>
      <w:pPr>
        <w:tabs>
          <w:tab w:val="num" w:pos="720"/>
        </w:tabs>
        <w:ind w:left="720" w:hanging="360"/>
      </w:pPr>
      <w:rPr>
        <w:rFonts w:ascii="Symbol" w:hAnsi="Symbol" w:hint="default"/>
        <w:b w:val="0"/>
      </w:rPr>
    </w:lvl>
    <w:lvl w:ilvl="1" w:tplc="44E8D9EC">
      <w:start w:val="1"/>
      <w:numFmt w:val="decimal"/>
      <w:lvlText w:val="%2."/>
      <w:lvlJc w:val="left"/>
      <w:pPr>
        <w:tabs>
          <w:tab w:val="num" w:pos="1440"/>
        </w:tabs>
        <w:ind w:left="1440" w:hanging="360"/>
      </w:pPr>
    </w:lvl>
    <w:lvl w:ilvl="2" w:tplc="B49EA27E">
      <w:start w:val="1"/>
      <w:numFmt w:val="decimal"/>
      <w:lvlText w:val="%3."/>
      <w:lvlJc w:val="left"/>
      <w:pPr>
        <w:tabs>
          <w:tab w:val="num" w:pos="2160"/>
        </w:tabs>
        <w:ind w:left="2160" w:hanging="360"/>
      </w:pPr>
    </w:lvl>
    <w:lvl w:ilvl="3" w:tplc="548E3958" w:tentative="1">
      <w:start w:val="1"/>
      <w:numFmt w:val="decimal"/>
      <w:lvlText w:val="%4."/>
      <w:lvlJc w:val="left"/>
      <w:pPr>
        <w:tabs>
          <w:tab w:val="num" w:pos="2880"/>
        </w:tabs>
        <w:ind w:left="2880" w:hanging="360"/>
      </w:pPr>
    </w:lvl>
    <w:lvl w:ilvl="4" w:tplc="631A4C38" w:tentative="1">
      <w:start w:val="1"/>
      <w:numFmt w:val="decimal"/>
      <w:lvlText w:val="%5."/>
      <w:lvlJc w:val="left"/>
      <w:pPr>
        <w:tabs>
          <w:tab w:val="num" w:pos="3600"/>
        </w:tabs>
        <w:ind w:left="3600" w:hanging="360"/>
      </w:pPr>
    </w:lvl>
    <w:lvl w:ilvl="5" w:tplc="843446C8" w:tentative="1">
      <w:start w:val="1"/>
      <w:numFmt w:val="decimal"/>
      <w:lvlText w:val="%6."/>
      <w:lvlJc w:val="left"/>
      <w:pPr>
        <w:tabs>
          <w:tab w:val="num" w:pos="4320"/>
        </w:tabs>
        <w:ind w:left="4320" w:hanging="360"/>
      </w:pPr>
    </w:lvl>
    <w:lvl w:ilvl="6" w:tplc="EE920628" w:tentative="1">
      <w:start w:val="1"/>
      <w:numFmt w:val="decimal"/>
      <w:lvlText w:val="%7."/>
      <w:lvlJc w:val="left"/>
      <w:pPr>
        <w:tabs>
          <w:tab w:val="num" w:pos="5040"/>
        </w:tabs>
        <w:ind w:left="5040" w:hanging="360"/>
      </w:pPr>
    </w:lvl>
    <w:lvl w:ilvl="7" w:tplc="6D92E5CE" w:tentative="1">
      <w:start w:val="1"/>
      <w:numFmt w:val="decimal"/>
      <w:lvlText w:val="%8."/>
      <w:lvlJc w:val="left"/>
      <w:pPr>
        <w:tabs>
          <w:tab w:val="num" w:pos="5760"/>
        </w:tabs>
        <w:ind w:left="5760" w:hanging="360"/>
      </w:pPr>
    </w:lvl>
    <w:lvl w:ilvl="8" w:tplc="B9F0CA56" w:tentative="1">
      <w:start w:val="1"/>
      <w:numFmt w:val="decimal"/>
      <w:lvlText w:val="%9."/>
      <w:lvlJc w:val="left"/>
      <w:pPr>
        <w:tabs>
          <w:tab w:val="num" w:pos="6480"/>
        </w:tabs>
        <w:ind w:left="6480" w:hanging="360"/>
      </w:pPr>
    </w:lvl>
  </w:abstractNum>
  <w:abstractNum w:abstractNumId="10">
    <w:nsid w:val="5D426D01"/>
    <w:multiLevelType w:val="multilevel"/>
    <w:tmpl w:val="37D44DE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nsid w:val="68B421F3"/>
    <w:multiLevelType w:val="hybridMultilevel"/>
    <w:tmpl w:val="5958171A"/>
    <w:lvl w:ilvl="0" w:tplc="B31837B4">
      <w:start w:val="1"/>
      <w:numFmt w:val="decimal"/>
      <w:lvlText w:val="%1."/>
      <w:lvlJc w:val="left"/>
      <w:pPr>
        <w:tabs>
          <w:tab w:val="num" w:pos="720"/>
        </w:tabs>
        <w:ind w:left="720" w:hanging="360"/>
      </w:pPr>
      <w:rPr>
        <w:b w:val="0"/>
      </w:rPr>
    </w:lvl>
    <w:lvl w:ilvl="1" w:tplc="44E8D9EC">
      <w:start w:val="1"/>
      <w:numFmt w:val="decimal"/>
      <w:lvlText w:val="%2."/>
      <w:lvlJc w:val="left"/>
      <w:pPr>
        <w:tabs>
          <w:tab w:val="num" w:pos="1440"/>
        </w:tabs>
        <w:ind w:left="1440" w:hanging="360"/>
      </w:pPr>
    </w:lvl>
    <w:lvl w:ilvl="2" w:tplc="B49EA27E">
      <w:start w:val="1"/>
      <w:numFmt w:val="decimal"/>
      <w:lvlText w:val="%3."/>
      <w:lvlJc w:val="left"/>
      <w:pPr>
        <w:tabs>
          <w:tab w:val="num" w:pos="2160"/>
        </w:tabs>
        <w:ind w:left="2160" w:hanging="360"/>
      </w:pPr>
    </w:lvl>
    <w:lvl w:ilvl="3" w:tplc="548E3958" w:tentative="1">
      <w:start w:val="1"/>
      <w:numFmt w:val="decimal"/>
      <w:lvlText w:val="%4."/>
      <w:lvlJc w:val="left"/>
      <w:pPr>
        <w:tabs>
          <w:tab w:val="num" w:pos="2880"/>
        </w:tabs>
        <w:ind w:left="2880" w:hanging="360"/>
      </w:pPr>
    </w:lvl>
    <w:lvl w:ilvl="4" w:tplc="631A4C38" w:tentative="1">
      <w:start w:val="1"/>
      <w:numFmt w:val="decimal"/>
      <w:lvlText w:val="%5."/>
      <w:lvlJc w:val="left"/>
      <w:pPr>
        <w:tabs>
          <w:tab w:val="num" w:pos="3600"/>
        </w:tabs>
        <w:ind w:left="3600" w:hanging="360"/>
      </w:pPr>
    </w:lvl>
    <w:lvl w:ilvl="5" w:tplc="843446C8" w:tentative="1">
      <w:start w:val="1"/>
      <w:numFmt w:val="decimal"/>
      <w:lvlText w:val="%6."/>
      <w:lvlJc w:val="left"/>
      <w:pPr>
        <w:tabs>
          <w:tab w:val="num" w:pos="4320"/>
        </w:tabs>
        <w:ind w:left="4320" w:hanging="360"/>
      </w:pPr>
    </w:lvl>
    <w:lvl w:ilvl="6" w:tplc="EE920628" w:tentative="1">
      <w:start w:val="1"/>
      <w:numFmt w:val="decimal"/>
      <w:lvlText w:val="%7."/>
      <w:lvlJc w:val="left"/>
      <w:pPr>
        <w:tabs>
          <w:tab w:val="num" w:pos="5040"/>
        </w:tabs>
        <w:ind w:left="5040" w:hanging="360"/>
      </w:pPr>
    </w:lvl>
    <w:lvl w:ilvl="7" w:tplc="6D92E5CE" w:tentative="1">
      <w:start w:val="1"/>
      <w:numFmt w:val="decimal"/>
      <w:lvlText w:val="%8."/>
      <w:lvlJc w:val="left"/>
      <w:pPr>
        <w:tabs>
          <w:tab w:val="num" w:pos="5760"/>
        </w:tabs>
        <w:ind w:left="5760" w:hanging="360"/>
      </w:pPr>
    </w:lvl>
    <w:lvl w:ilvl="8" w:tplc="B9F0CA56" w:tentative="1">
      <w:start w:val="1"/>
      <w:numFmt w:val="decimal"/>
      <w:lvlText w:val="%9."/>
      <w:lvlJc w:val="left"/>
      <w:pPr>
        <w:tabs>
          <w:tab w:val="num" w:pos="6480"/>
        </w:tabs>
        <w:ind w:left="6480" w:hanging="360"/>
      </w:pPr>
    </w:lvl>
  </w:abstractNum>
  <w:abstractNum w:abstractNumId="12">
    <w:nsid w:val="6CC647D6"/>
    <w:multiLevelType w:val="hybridMultilevel"/>
    <w:tmpl w:val="F7840690"/>
    <w:lvl w:ilvl="0" w:tplc="2A02F688">
      <w:start w:val="1"/>
      <w:numFmt w:val="decimal"/>
      <w:lvlText w:val="%1)"/>
      <w:lvlJc w:val="left"/>
      <w:pPr>
        <w:tabs>
          <w:tab w:val="num" w:pos="360"/>
        </w:tabs>
        <w:ind w:left="360" w:hanging="360"/>
      </w:pPr>
      <w:rPr>
        <w:rFonts w:cs="Times New Roman"/>
        <w:b/>
      </w:rPr>
    </w:lvl>
    <w:lvl w:ilvl="1" w:tplc="A5A8C850">
      <w:start w:val="1"/>
      <w:numFmt w:val="lowerLetter"/>
      <w:lvlText w:val="%2."/>
      <w:lvlJc w:val="left"/>
      <w:pPr>
        <w:tabs>
          <w:tab w:val="num" w:pos="1080"/>
        </w:tabs>
        <w:ind w:left="1080" w:hanging="360"/>
      </w:pPr>
      <w:rPr>
        <w:rFonts w:cs="Times New Roman"/>
      </w:rPr>
    </w:lvl>
    <w:lvl w:ilvl="2" w:tplc="49EA035A" w:tentative="1">
      <w:start w:val="1"/>
      <w:numFmt w:val="decimal"/>
      <w:lvlText w:val="%3)"/>
      <w:lvlJc w:val="left"/>
      <w:pPr>
        <w:tabs>
          <w:tab w:val="num" w:pos="1800"/>
        </w:tabs>
        <w:ind w:left="1800" w:hanging="360"/>
      </w:pPr>
      <w:rPr>
        <w:rFonts w:cs="Times New Roman"/>
      </w:rPr>
    </w:lvl>
    <w:lvl w:ilvl="3" w:tplc="FC76EA92" w:tentative="1">
      <w:start w:val="1"/>
      <w:numFmt w:val="decimal"/>
      <w:lvlText w:val="%4)"/>
      <w:lvlJc w:val="left"/>
      <w:pPr>
        <w:tabs>
          <w:tab w:val="num" w:pos="2520"/>
        </w:tabs>
        <w:ind w:left="2520" w:hanging="360"/>
      </w:pPr>
      <w:rPr>
        <w:rFonts w:cs="Times New Roman"/>
      </w:rPr>
    </w:lvl>
    <w:lvl w:ilvl="4" w:tplc="8FDED0B6" w:tentative="1">
      <w:start w:val="1"/>
      <w:numFmt w:val="decimal"/>
      <w:lvlText w:val="%5)"/>
      <w:lvlJc w:val="left"/>
      <w:pPr>
        <w:tabs>
          <w:tab w:val="num" w:pos="3240"/>
        </w:tabs>
        <w:ind w:left="3240" w:hanging="360"/>
      </w:pPr>
      <w:rPr>
        <w:rFonts w:cs="Times New Roman"/>
      </w:rPr>
    </w:lvl>
    <w:lvl w:ilvl="5" w:tplc="7A62A716" w:tentative="1">
      <w:start w:val="1"/>
      <w:numFmt w:val="decimal"/>
      <w:lvlText w:val="%6)"/>
      <w:lvlJc w:val="left"/>
      <w:pPr>
        <w:tabs>
          <w:tab w:val="num" w:pos="3960"/>
        </w:tabs>
        <w:ind w:left="3960" w:hanging="360"/>
      </w:pPr>
      <w:rPr>
        <w:rFonts w:cs="Times New Roman"/>
      </w:rPr>
    </w:lvl>
    <w:lvl w:ilvl="6" w:tplc="77AEB7B0" w:tentative="1">
      <w:start w:val="1"/>
      <w:numFmt w:val="decimal"/>
      <w:lvlText w:val="%7)"/>
      <w:lvlJc w:val="left"/>
      <w:pPr>
        <w:tabs>
          <w:tab w:val="num" w:pos="4680"/>
        </w:tabs>
        <w:ind w:left="4680" w:hanging="360"/>
      </w:pPr>
      <w:rPr>
        <w:rFonts w:cs="Times New Roman"/>
      </w:rPr>
    </w:lvl>
    <w:lvl w:ilvl="7" w:tplc="714C0A9C" w:tentative="1">
      <w:start w:val="1"/>
      <w:numFmt w:val="decimal"/>
      <w:lvlText w:val="%8)"/>
      <w:lvlJc w:val="left"/>
      <w:pPr>
        <w:tabs>
          <w:tab w:val="num" w:pos="5400"/>
        </w:tabs>
        <w:ind w:left="5400" w:hanging="360"/>
      </w:pPr>
      <w:rPr>
        <w:rFonts w:cs="Times New Roman"/>
      </w:rPr>
    </w:lvl>
    <w:lvl w:ilvl="8" w:tplc="85A81A42" w:tentative="1">
      <w:start w:val="1"/>
      <w:numFmt w:val="decimal"/>
      <w:lvlText w:val="%9)"/>
      <w:lvlJc w:val="left"/>
      <w:pPr>
        <w:tabs>
          <w:tab w:val="num" w:pos="6120"/>
        </w:tabs>
        <w:ind w:left="6120" w:hanging="360"/>
      </w:pPr>
      <w:rPr>
        <w:rFonts w:cs="Times New Roman"/>
      </w:rPr>
    </w:lvl>
  </w:abstractNum>
  <w:abstractNum w:abstractNumId="13">
    <w:nsid w:val="7D823C7E"/>
    <w:multiLevelType w:val="hybridMultilevel"/>
    <w:tmpl w:val="E45091AE"/>
    <w:lvl w:ilvl="0" w:tplc="08090001">
      <w:start w:val="1"/>
      <w:numFmt w:val="bullet"/>
      <w:lvlText w:val=""/>
      <w:lvlJc w:val="left"/>
      <w:pPr>
        <w:tabs>
          <w:tab w:val="num" w:pos="720"/>
        </w:tabs>
        <w:ind w:left="720" w:hanging="360"/>
      </w:pPr>
      <w:rPr>
        <w:rFonts w:ascii="Symbol" w:hAnsi="Symbol" w:hint="default"/>
        <w:b w:val="0"/>
      </w:rPr>
    </w:lvl>
    <w:lvl w:ilvl="1" w:tplc="44E8D9EC">
      <w:start w:val="1"/>
      <w:numFmt w:val="decimal"/>
      <w:lvlText w:val="%2."/>
      <w:lvlJc w:val="left"/>
      <w:pPr>
        <w:tabs>
          <w:tab w:val="num" w:pos="1440"/>
        </w:tabs>
        <w:ind w:left="1440" w:hanging="360"/>
      </w:pPr>
    </w:lvl>
    <w:lvl w:ilvl="2" w:tplc="B49EA27E">
      <w:start w:val="1"/>
      <w:numFmt w:val="decimal"/>
      <w:lvlText w:val="%3."/>
      <w:lvlJc w:val="left"/>
      <w:pPr>
        <w:tabs>
          <w:tab w:val="num" w:pos="2160"/>
        </w:tabs>
        <w:ind w:left="2160" w:hanging="360"/>
      </w:pPr>
    </w:lvl>
    <w:lvl w:ilvl="3" w:tplc="548E3958" w:tentative="1">
      <w:start w:val="1"/>
      <w:numFmt w:val="decimal"/>
      <w:lvlText w:val="%4."/>
      <w:lvlJc w:val="left"/>
      <w:pPr>
        <w:tabs>
          <w:tab w:val="num" w:pos="2880"/>
        </w:tabs>
        <w:ind w:left="2880" w:hanging="360"/>
      </w:pPr>
    </w:lvl>
    <w:lvl w:ilvl="4" w:tplc="631A4C38" w:tentative="1">
      <w:start w:val="1"/>
      <w:numFmt w:val="decimal"/>
      <w:lvlText w:val="%5."/>
      <w:lvlJc w:val="left"/>
      <w:pPr>
        <w:tabs>
          <w:tab w:val="num" w:pos="3600"/>
        </w:tabs>
        <w:ind w:left="3600" w:hanging="360"/>
      </w:pPr>
    </w:lvl>
    <w:lvl w:ilvl="5" w:tplc="843446C8" w:tentative="1">
      <w:start w:val="1"/>
      <w:numFmt w:val="decimal"/>
      <w:lvlText w:val="%6."/>
      <w:lvlJc w:val="left"/>
      <w:pPr>
        <w:tabs>
          <w:tab w:val="num" w:pos="4320"/>
        </w:tabs>
        <w:ind w:left="4320" w:hanging="360"/>
      </w:pPr>
    </w:lvl>
    <w:lvl w:ilvl="6" w:tplc="EE920628" w:tentative="1">
      <w:start w:val="1"/>
      <w:numFmt w:val="decimal"/>
      <w:lvlText w:val="%7."/>
      <w:lvlJc w:val="left"/>
      <w:pPr>
        <w:tabs>
          <w:tab w:val="num" w:pos="5040"/>
        </w:tabs>
        <w:ind w:left="5040" w:hanging="360"/>
      </w:pPr>
    </w:lvl>
    <w:lvl w:ilvl="7" w:tplc="6D92E5CE" w:tentative="1">
      <w:start w:val="1"/>
      <w:numFmt w:val="decimal"/>
      <w:lvlText w:val="%8."/>
      <w:lvlJc w:val="left"/>
      <w:pPr>
        <w:tabs>
          <w:tab w:val="num" w:pos="5760"/>
        </w:tabs>
        <w:ind w:left="5760" w:hanging="360"/>
      </w:pPr>
    </w:lvl>
    <w:lvl w:ilvl="8" w:tplc="B9F0CA56" w:tentative="1">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12"/>
  </w:num>
  <w:num w:numId="5">
    <w:abstractNumId w:val="0"/>
  </w:num>
  <w:num w:numId="6">
    <w:abstractNumId w:val="10"/>
  </w:num>
  <w:num w:numId="7">
    <w:abstractNumId w:val="4"/>
  </w:num>
  <w:num w:numId="8">
    <w:abstractNumId w:val="6"/>
  </w:num>
  <w:num w:numId="9">
    <w:abstractNumId w:val="3"/>
  </w:num>
  <w:num w:numId="10">
    <w:abstractNumId w:val="11"/>
  </w:num>
  <w:num w:numId="11">
    <w:abstractNumId w:val="8"/>
  </w:num>
  <w:num w:numId="12">
    <w:abstractNumId w:val="2"/>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32D"/>
    <w:rsid w:val="001D736A"/>
    <w:rsid w:val="00214C50"/>
    <w:rsid w:val="0036432D"/>
    <w:rsid w:val="0075462B"/>
    <w:rsid w:val="0088361B"/>
    <w:rsid w:val="00945954"/>
    <w:rsid w:val="009725EF"/>
    <w:rsid w:val="00B87C9F"/>
    <w:rsid w:val="00C12E95"/>
    <w:rsid w:val="00CA0A7A"/>
    <w:rsid w:val="00D44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32D"/>
    <w:pPr>
      <w:spacing w:after="0" w:line="240" w:lineRule="auto"/>
    </w:pPr>
    <w:rPr>
      <w:rFonts w:ascii="Times New Roman" w:eastAsia="MS Mincho"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DocBodyText">
    <w:name w:val="TecDoc Body Text"/>
    <w:basedOn w:val="Normal"/>
    <w:uiPriority w:val="99"/>
    <w:rsid w:val="0036432D"/>
    <w:pPr>
      <w:widowControl w:val="0"/>
      <w:suppressAutoHyphens/>
      <w:spacing w:after="240"/>
      <w:ind w:firstLine="601"/>
      <w:jc w:val="both"/>
      <w:textAlignment w:val="baseline"/>
    </w:pPr>
    <w:rPr>
      <w:rFonts w:eastAsia="Times New Roman"/>
      <w:kern w:val="1"/>
      <w:lang w:val="en-GB" w:eastAsia="ar-SA"/>
    </w:rPr>
  </w:style>
  <w:style w:type="paragraph" w:styleId="ListParagraph">
    <w:name w:val="List Paragraph"/>
    <w:basedOn w:val="Normal"/>
    <w:uiPriority w:val="34"/>
    <w:qFormat/>
    <w:rsid w:val="0036432D"/>
    <w:pPr>
      <w:ind w:left="720"/>
      <w:contextualSpacing/>
    </w:pPr>
  </w:style>
  <w:style w:type="paragraph" w:customStyle="1" w:styleId="BodyTextMultiline">
    <w:name w:val="Body Text Multiline"/>
    <w:basedOn w:val="BodyText"/>
    <w:rsid w:val="0036432D"/>
    <w:pPr>
      <w:numPr>
        <w:numId w:val="2"/>
      </w:numPr>
      <w:tabs>
        <w:tab w:val="clear" w:pos="459"/>
        <w:tab w:val="num" w:pos="360"/>
      </w:tabs>
      <w:spacing w:after="170" w:line="280" w:lineRule="atLeast"/>
      <w:jc w:val="both"/>
    </w:pPr>
    <w:rPr>
      <w:rFonts w:eastAsia="Times New Roman"/>
      <w:sz w:val="22"/>
    </w:rPr>
  </w:style>
  <w:style w:type="character" w:styleId="Hyperlink">
    <w:name w:val="Hyperlink"/>
    <w:basedOn w:val="DefaultParagraphFont"/>
    <w:uiPriority w:val="99"/>
    <w:unhideWhenUsed/>
    <w:rsid w:val="0036432D"/>
    <w:rPr>
      <w:color w:val="0000FF" w:themeColor="hyperlink"/>
      <w:u w:val="single"/>
    </w:rPr>
  </w:style>
  <w:style w:type="paragraph" w:styleId="BodyText">
    <w:name w:val="Body Text"/>
    <w:basedOn w:val="Normal"/>
    <w:link w:val="BodyTextChar"/>
    <w:uiPriority w:val="99"/>
    <w:semiHidden/>
    <w:unhideWhenUsed/>
    <w:rsid w:val="0036432D"/>
    <w:pPr>
      <w:spacing w:after="120"/>
    </w:pPr>
  </w:style>
  <w:style w:type="character" w:customStyle="1" w:styleId="BodyTextChar">
    <w:name w:val="Body Text Char"/>
    <w:basedOn w:val="DefaultParagraphFont"/>
    <w:link w:val="BodyText"/>
    <w:uiPriority w:val="99"/>
    <w:semiHidden/>
    <w:rsid w:val="0036432D"/>
    <w:rPr>
      <w:rFonts w:ascii="Times New Roman" w:eastAsia="MS Mincho"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32D"/>
    <w:pPr>
      <w:spacing w:after="0" w:line="240" w:lineRule="auto"/>
    </w:pPr>
    <w:rPr>
      <w:rFonts w:ascii="Times New Roman" w:eastAsia="MS Mincho"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DocBodyText">
    <w:name w:val="TecDoc Body Text"/>
    <w:basedOn w:val="Normal"/>
    <w:uiPriority w:val="99"/>
    <w:rsid w:val="0036432D"/>
    <w:pPr>
      <w:widowControl w:val="0"/>
      <w:suppressAutoHyphens/>
      <w:spacing w:after="240"/>
      <w:ind w:firstLine="601"/>
      <w:jc w:val="both"/>
      <w:textAlignment w:val="baseline"/>
    </w:pPr>
    <w:rPr>
      <w:rFonts w:eastAsia="Times New Roman"/>
      <w:kern w:val="1"/>
      <w:lang w:val="en-GB" w:eastAsia="ar-SA"/>
    </w:rPr>
  </w:style>
  <w:style w:type="paragraph" w:styleId="ListParagraph">
    <w:name w:val="List Paragraph"/>
    <w:basedOn w:val="Normal"/>
    <w:uiPriority w:val="34"/>
    <w:qFormat/>
    <w:rsid w:val="0036432D"/>
    <w:pPr>
      <w:ind w:left="720"/>
      <w:contextualSpacing/>
    </w:pPr>
  </w:style>
  <w:style w:type="paragraph" w:customStyle="1" w:styleId="BodyTextMultiline">
    <w:name w:val="Body Text Multiline"/>
    <w:basedOn w:val="BodyText"/>
    <w:rsid w:val="0036432D"/>
    <w:pPr>
      <w:numPr>
        <w:numId w:val="2"/>
      </w:numPr>
      <w:tabs>
        <w:tab w:val="clear" w:pos="459"/>
        <w:tab w:val="num" w:pos="360"/>
      </w:tabs>
      <w:spacing w:after="170" w:line="280" w:lineRule="atLeast"/>
      <w:jc w:val="both"/>
    </w:pPr>
    <w:rPr>
      <w:rFonts w:eastAsia="Times New Roman"/>
      <w:sz w:val="22"/>
    </w:rPr>
  </w:style>
  <w:style w:type="character" w:styleId="Hyperlink">
    <w:name w:val="Hyperlink"/>
    <w:basedOn w:val="DefaultParagraphFont"/>
    <w:uiPriority w:val="99"/>
    <w:unhideWhenUsed/>
    <w:rsid w:val="0036432D"/>
    <w:rPr>
      <w:color w:val="0000FF" w:themeColor="hyperlink"/>
      <w:u w:val="single"/>
    </w:rPr>
  </w:style>
  <w:style w:type="paragraph" w:styleId="BodyText">
    <w:name w:val="Body Text"/>
    <w:basedOn w:val="Normal"/>
    <w:link w:val="BodyTextChar"/>
    <w:uiPriority w:val="99"/>
    <w:semiHidden/>
    <w:unhideWhenUsed/>
    <w:rsid w:val="0036432D"/>
    <w:pPr>
      <w:spacing w:after="120"/>
    </w:pPr>
  </w:style>
  <w:style w:type="character" w:customStyle="1" w:styleId="BodyTextChar">
    <w:name w:val="Body Text Char"/>
    <w:basedOn w:val="DefaultParagraphFont"/>
    <w:link w:val="BodyText"/>
    <w:uiPriority w:val="99"/>
    <w:semiHidden/>
    <w:rsid w:val="0036432D"/>
    <w:rPr>
      <w:rFonts w:ascii="Times New Roman" w:eastAsia="MS Mincho"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nssn.iaea.org/NSNI/PoS/IGALL/SitePages/Home.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3655</Words>
  <Characters>20837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IAEA</Company>
  <LinksUpToDate>false</LinksUpToDate>
  <CharactersWithSpaces>24444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KRIVANEK, Robert</dc:creator>
  <cp:lastModifiedBy>KRIVANEK, Robert</cp:lastModifiedBy>
  <cp:revision>6</cp:revision>
  <dcterms:created xsi:type="dcterms:W3CDTF">2017-12-14T16:53:00Z</dcterms:created>
  <dcterms:modified xsi:type="dcterms:W3CDTF">2018-05-25T15:05:00Z</dcterms:modified>
</cp:coreProperties>
</file>