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38" w:rsidRDefault="001C16A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38" w:rsidRDefault="0001643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016438" w:rsidRDefault="00D0554C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016438" w:rsidRDefault="00D0554C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5930"/>
      </w:tblGrid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EVT1705070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TC Expert Mission to review the progress of method and software for independent root cause analysis 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purpose of the event is to conduct expert mission to review the progress of methods and software application for independent root cause analyses of Bushehr NPP (follow</w:t>
            </w:r>
            <w:r w:rsidR="001C16A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up of the previous EM 3.10.2).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6A8" w:rsidRPr="001C16A8" w:rsidRDefault="001C16A8" w:rsidP="001C16A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16A8">
              <w:rPr>
                <w:rFonts w:ascii="Times New Roman" w:hAnsi="Times New Roman" w:cs="Times New Roman"/>
                <w:color w:val="000000"/>
              </w:rPr>
              <w:t>Mr Sergei KEZIN</w:t>
            </w:r>
          </w:p>
          <w:p w:rsidR="001C16A8" w:rsidRPr="001C16A8" w:rsidRDefault="001C16A8" w:rsidP="001C16A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16A8">
              <w:rPr>
                <w:rFonts w:ascii="Times New Roman" w:hAnsi="Times New Roman" w:cs="Times New Roman"/>
                <w:color w:val="000000"/>
              </w:rPr>
              <w:t xml:space="preserve">25, </w:t>
            </w:r>
            <w:proofErr w:type="spellStart"/>
            <w:r w:rsidRPr="001C16A8">
              <w:rPr>
                <w:rFonts w:ascii="Times New Roman" w:hAnsi="Times New Roman" w:cs="Times New Roman"/>
                <w:color w:val="000000"/>
              </w:rPr>
              <w:t>Ferganskaya</w:t>
            </w:r>
            <w:proofErr w:type="spellEnd"/>
            <w:r w:rsidRPr="001C16A8">
              <w:rPr>
                <w:rFonts w:ascii="Times New Roman" w:hAnsi="Times New Roman" w:cs="Times New Roman"/>
                <w:color w:val="000000"/>
              </w:rPr>
              <w:t xml:space="preserve"> Street, </w:t>
            </w:r>
          </w:p>
          <w:p w:rsidR="001C16A8" w:rsidRPr="001C16A8" w:rsidRDefault="001C16A8" w:rsidP="001C16A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16A8">
              <w:rPr>
                <w:rFonts w:ascii="Times New Roman" w:hAnsi="Times New Roman" w:cs="Times New Roman"/>
                <w:color w:val="000000"/>
              </w:rPr>
              <w:t xml:space="preserve">109507, Moscow, </w:t>
            </w:r>
          </w:p>
          <w:p w:rsidR="001C16A8" w:rsidRDefault="001C16A8" w:rsidP="001C16A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16A8">
              <w:rPr>
                <w:rFonts w:ascii="Times New Roman" w:hAnsi="Times New Roman" w:cs="Times New Roman"/>
                <w:color w:val="000000"/>
              </w:rPr>
              <w:t>Russian Federation</w:t>
            </w:r>
          </w:p>
          <w:p w:rsidR="00D0554C" w:rsidRDefault="00D0554C" w:rsidP="001C16A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8" w:history="1">
              <w:r w:rsidRPr="006C3FBB">
                <w:rPr>
                  <w:rStyle w:val="Hyperlink"/>
                  <w:rFonts w:ascii="Times New Roman" w:hAnsi="Times New Roman" w:cs="Times New Roman"/>
                </w:rPr>
                <w:t>kezin@wanomc.ru</w:t>
              </w:r>
            </w:hyperlink>
          </w:p>
          <w:p w:rsidR="004B6109" w:rsidRDefault="004B6109" w:rsidP="001C16A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16438" w:rsidRDefault="00D0554C" w:rsidP="001C16A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 w:rsidP="001C16A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6A8" w:rsidRDefault="001C16A8" w:rsidP="001C16A8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M.H. Raji</w:t>
            </w:r>
          </w:p>
          <w:p w:rsidR="001C16A8" w:rsidRDefault="001C16A8" w:rsidP="001C16A8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No.36,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Kaboli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St</w:t>
            </w:r>
          </w:p>
          <w:p w:rsidR="001C16A8" w:rsidRDefault="001C16A8" w:rsidP="001C16A8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Arash-mehr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St, </w:t>
            </w:r>
          </w:p>
          <w:p w:rsidR="001C16A8" w:rsidRDefault="001C16A8" w:rsidP="001C16A8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  <w:p w:rsidR="001C16A8" w:rsidRDefault="001C16A8" w:rsidP="001C16A8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Phone: +98 21 88231038 (400)</w:t>
            </w:r>
          </w:p>
          <w:p w:rsidR="001C16A8" w:rsidRDefault="001C16A8" w:rsidP="001C1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4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</w:rPr>
                <w:t>tavananuc@nppd.co.ir</w:t>
              </w:r>
            </w:hyperlink>
          </w:p>
          <w:p w:rsidR="00016438" w:rsidRDefault="00016438" w:rsidP="001C1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2019-04-27</w:t>
            </w:r>
          </w:p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2019-05-01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 review Bushehr Nuclear Power Plant Unit 1 operating experiences processes and RCA methodology.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To provide suggestions for improving current processes.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Experience in event investigation and operating experiences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016438" w:rsidTr="001C16A8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6438" w:rsidRDefault="00D0554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016438" w:rsidRDefault="00016438" w:rsidP="004B6109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Arial" w:hAnsi="Arial" w:cs="Arial"/>
          <w:sz w:val="24"/>
          <w:szCs w:val="24"/>
        </w:rPr>
      </w:pPr>
    </w:p>
    <w:sectPr w:rsidR="00016438">
      <w:footerReference w:type="default" r:id="rId10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38" w:rsidRDefault="00D0554C">
      <w:pPr>
        <w:spacing w:after="0" w:line="240" w:lineRule="auto"/>
      </w:pPr>
      <w:r>
        <w:separator/>
      </w:r>
    </w:p>
  </w:endnote>
  <w:endnote w:type="continuationSeparator" w:id="0">
    <w:p w:rsidR="00016438" w:rsidRDefault="00D0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438" w:rsidRDefault="00D0554C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38" w:rsidRDefault="00D0554C">
      <w:pPr>
        <w:spacing w:after="0" w:line="240" w:lineRule="auto"/>
      </w:pPr>
      <w:r>
        <w:separator/>
      </w:r>
    </w:p>
  </w:footnote>
  <w:footnote w:type="continuationSeparator" w:id="0">
    <w:p w:rsidR="00016438" w:rsidRDefault="00D0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A8"/>
    <w:rsid w:val="00016438"/>
    <w:rsid w:val="001C16A8"/>
    <w:rsid w:val="004B6109"/>
    <w:rsid w:val="00D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3D6F9"/>
  <w14:defaultImageDpi w14:val="0"/>
  <w15:docId w15:val="{84F9262E-6984-4A46-A23B-CEBFE2FF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16A8"/>
    <w:rPr>
      <w:color w:val="0563C1"/>
      <w:u w:val="single"/>
    </w:rPr>
  </w:style>
  <w:style w:type="character" w:customStyle="1" w:styleId="instpersonname">
    <w:name w:val="instpersonname"/>
    <w:rsid w:val="001C16A8"/>
  </w:style>
  <w:style w:type="character" w:styleId="UnresolvedMention">
    <w:name w:val="Unresolved Mention"/>
    <w:basedOn w:val="DefaultParagraphFont"/>
    <w:uiPriority w:val="99"/>
    <w:semiHidden/>
    <w:unhideWhenUsed/>
    <w:rsid w:val="00D055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6109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zin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vananuc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2019-03-29T16:36:00Z</dcterms:created>
  <dcterms:modified xsi:type="dcterms:W3CDTF">2019-03-29T16:36:00Z</dcterms:modified>
</cp:coreProperties>
</file>