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76DE0" w14:textId="64B0D798" w:rsidR="006C6342" w:rsidRPr="001A17A3" w:rsidRDefault="005C04CC" w:rsidP="00834B82">
      <w:pPr>
        <w:bidi/>
        <w:spacing w:line="276" w:lineRule="auto"/>
        <w:jc w:val="center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cs="B Nazanin" w:hint="cs"/>
          <w:b/>
          <w:bCs/>
          <w:sz w:val="24"/>
          <w:szCs w:val="24"/>
          <w:rtl/>
          <w:lang w:bidi="fa-IR"/>
        </w:rPr>
        <w:t xml:space="preserve">توسعه ساختار ایمنی هسته‌ای در برنامه ملی توسعه و </w:t>
      </w:r>
      <w:r w:rsidR="003A5C08" w:rsidRPr="001A17A3">
        <w:rPr>
          <w:rFonts w:cs="B Nazanin" w:hint="cs"/>
          <w:b/>
          <w:bCs/>
          <w:sz w:val="24"/>
          <w:szCs w:val="24"/>
          <w:rtl/>
          <w:lang w:bidi="fa-IR"/>
        </w:rPr>
        <w:t>تولید</w:t>
      </w:r>
      <w:r w:rsidR="006C6342" w:rsidRPr="001A17A3">
        <w:rPr>
          <w:rFonts w:cs="B Nazanin" w:hint="cs"/>
          <w:b/>
          <w:bCs/>
          <w:sz w:val="24"/>
          <w:szCs w:val="24"/>
          <w:rtl/>
          <w:lang w:bidi="fa-IR"/>
        </w:rPr>
        <w:t xml:space="preserve"> ده هزار مگاوات برق هسته ای ایمن، مطمئن و اقتصادی</w:t>
      </w:r>
      <w:r w:rsidR="009B1A84" w:rsidRPr="001A17A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C6342" w:rsidRPr="001A17A3">
        <w:rPr>
          <w:rFonts w:cs="B Nazanin" w:hint="cs"/>
          <w:b/>
          <w:bCs/>
          <w:sz w:val="24"/>
          <w:szCs w:val="24"/>
          <w:rtl/>
          <w:lang w:bidi="fa-IR"/>
        </w:rPr>
        <w:t>با رویکرد مشارکت حداکثری</w:t>
      </w:r>
    </w:p>
    <w:p w14:paraId="501CFCCB" w14:textId="413E0256" w:rsidR="002037F8" w:rsidRDefault="00012A6B" w:rsidP="0091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ساختار ایمنی هسته‌ای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برنامه </w:t>
      </w:r>
      <w:r w:rsidR="006C634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ملی توسعه و </w:t>
      </w:r>
      <w:r w:rsidR="00905A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تولید </w:t>
      </w:r>
      <w:r w:rsidR="006C634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ده هزار مگاوات برق هسته</w:t>
      </w:r>
      <w:r w:rsidR="00905A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6C634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 ایمن، مطمئن و اقتصادی (با رویکرد مشارکت حداکثری)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یک ضرورت ملی است. ساختار 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موجود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ایمنی </w:t>
      </w:r>
      <w:r w:rsidR="00CA41B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هسته‌ای 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کشور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باید متناسب با </w:t>
      </w:r>
      <w:r w:rsidR="006C634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این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برنامه ملی و در حمایت از آن،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تقویت 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شده و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یابد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به گونه‌ای که اطمینان </w:t>
      </w:r>
      <w:r w:rsidR="000C3050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دهد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تاسیسات هسته‌ای </w:t>
      </w:r>
      <w:r w:rsidR="0023117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کشور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و انجام فعالیت</w:t>
      </w:r>
      <w:r w:rsidR="000435A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های مرتبط</w:t>
      </w:r>
      <w:r w:rsidR="0023117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با آن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3117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در سطح ملی و بین المللی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23117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ایمن و امن بوده و 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میزان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پرتوگیری کارکنان، مردم و نسل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های آینده و 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همچنین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آلودگی پرتوی محیط زیست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</w:t>
      </w:r>
      <w:r w:rsidR="00377D6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حداقل </w:t>
      </w:r>
      <w:r w:rsidR="00905A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میزان معقول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قابل دستیابی 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است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.</w:t>
      </w:r>
      <w:r w:rsidR="005309B8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راستای </w:t>
      </w:r>
      <w:r w:rsidR="00905A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ساختار ایمنی هسته‌ای درکشور </w:t>
      </w:r>
      <w:r w:rsidR="003D4E43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موارد ذیل باید مورد توجه جدی قرار گیرد:</w:t>
      </w:r>
    </w:p>
    <w:p w14:paraId="02EC66E7" w14:textId="77777777" w:rsidR="009176AC" w:rsidRPr="001A17A3" w:rsidRDefault="009176AC" w:rsidP="0091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</w:p>
    <w:p w14:paraId="5A3E637C" w14:textId="6574ABDB" w:rsidR="00AE3396" w:rsidRDefault="00AE3396" w:rsidP="00834B82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چارچوب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قانونی</w:t>
      </w:r>
      <w:r w:rsidR="005309B8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و دولتی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</w:t>
      </w:r>
      <w:r w:rsidR="00F371BC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موثر در </w:t>
      </w:r>
      <w:r w:rsidR="000A06AA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ایمنی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هسته‌ای</w:t>
      </w:r>
      <w:r w:rsidR="00A13549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33EBA690" w14:textId="6094AA9A" w:rsidR="001C42CE" w:rsidRPr="001A17A3" w:rsidRDefault="00AE3396" w:rsidP="00834B8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الف) قوانین و مقررات: </w:t>
      </w:r>
    </w:p>
    <w:p w14:paraId="742E6FEB" w14:textId="47004D6D" w:rsidR="001C42CE" w:rsidRDefault="001C42CE" w:rsidP="00834B8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حوزه قوانین و مقررات </w:t>
      </w:r>
      <w:r w:rsidR="00A414D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ناظر بر تاسیسات هسته‌ای و فعالیت‌های مربوطه در کشور از جمله قانون تاسیس سازمان انرژی اتمی و قانونی حفاظت در برابراشعه مصوب مجلس شورای اسلامی، </w:t>
      </w:r>
      <w:r w:rsidR="00231857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مبانی حقوقی و قانونی حاکم بر ایمنی تاسیسات هسته‌ای، یک مبنا</w:t>
      </w:r>
      <w:r w:rsidR="00A414D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ی کلی و</w:t>
      </w:r>
      <w:r w:rsidR="0053675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31857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توام با خلاها و نارسایی‌ها</w:t>
      </w:r>
      <w:r w:rsidR="0053675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از جمله عدم استقلال موثر واحد نظارت قانونی و همچنین عدم وجود پشتوانه کافی حقوقی و قضایی به منظور انجام اقدامات قانونی در فرایند نظارت بر تاسیسات هسته‌ای ا</w:t>
      </w:r>
      <w:r w:rsidR="00231857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ست. لذا در راستای برنامه ملی توسعه و تولید ده هزار مگاوات برق هسته‌ای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231857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تدوین و تصویب قانون جامع استفاده از انرژی هسته‌ای </w:t>
      </w:r>
      <w:r w:rsidR="00E270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به منظور تعیین چارچوب قانونی، دولتی و نظارتی بر تاسیسات هسته‌ای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بسیار ضروری می‌نماید. </w:t>
      </w:r>
    </w:p>
    <w:p w14:paraId="1157F3F0" w14:textId="77777777" w:rsidR="00D20586" w:rsidRDefault="000960F4" w:rsidP="00834B82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062EDD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اقدام</w:t>
      </w:r>
      <w:r w:rsidR="00D20586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ات</w:t>
      </w:r>
      <w:r w:rsidRPr="00062EDD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راهبردی: </w:t>
      </w:r>
    </w:p>
    <w:p w14:paraId="4ABA7542" w14:textId="19679E33" w:rsidR="00D20586" w:rsidRDefault="000960F4" w:rsidP="00834B82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D2058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تدوین و تصویب  قانون استفاده ایمن، امن و صل</w:t>
      </w:r>
      <w:r w:rsidR="00C41195" w:rsidRPr="00D2058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ح </w:t>
      </w:r>
      <w:r w:rsidRPr="00D2058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جویانه</w:t>
      </w:r>
      <w:r w:rsidR="00C41195" w:rsidRPr="00D2058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Pr="00D2058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از انرژی هسته‌ای</w:t>
      </w:r>
      <w:r w:rsidR="00D2058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</w:p>
    <w:p w14:paraId="7F65A9B1" w14:textId="1016248E" w:rsidR="00D20586" w:rsidRDefault="00D20586" w:rsidP="00834B82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D2058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تدوین و تصویب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خط مشی</w:t>
      </w:r>
      <w:r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ملی ایمنی هسته‌ای</w:t>
      </w:r>
      <w:r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E24D5E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پسم</w:t>
      </w:r>
      <w:r w:rsidR="00C16211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</w:t>
      </w:r>
      <w:r w:rsidR="00E24D5E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</w:t>
      </w:r>
      <w:r w:rsidR="00C16211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‌های</w:t>
      </w:r>
      <w:r w:rsidR="00E24D5E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C16211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پرتوزا </w:t>
      </w:r>
      <w:r w:rsidR="00E24D5E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و سوخت مصرف شده</w:t>
      </w:r>
      <w:r w:rsidR="003B6A3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</w:p>
    <w:p w14:paraId="67EA95E6" w14:textId="77777777" w:rsidR="00256A8D" w:rsidRDefault="00256A8D" w:rsidP="00834B8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ind w:left="2160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</w:p>
    <w:p w14:paraId="4E3AE77B" w14:textId="7336489C" w:rsidR="00AA19FA" w:rsidRDefault="00675132" w:rsidP="00834B82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نظارت قانونی </w:t>
      </w:r>
      <w:r w:rsidR="00F371BC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مستقل 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بر تاسیسات هسته‌ای </w:t>
      </w:r>
      <w:r w:rsidR="00A13549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:</w:t>
      </w:r>
    </w:p>
    <w:p w14:paraId="6163F5C4" w14:textId="30CD8C28" w:rsidR="002037F8" w:rsidRDefault="0063262C" w:rsidP="00834B8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 اساس استانداردهای آژانس بین المللی انرژی اتمی و تجارب بین المللی کشورهای دارای صنعت هسته‌ای، نهاد نظارت قانونی بر تاسیسات هسته‌ای باید از </w:t>
      </w:r>
      <w:r w:rsidR="0020283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چارچوب  قانونی و دولتی مناسب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قوانین پشتیبان،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منابع مالی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کافی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20283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نیروی انسانی</w:t>
      </w:r>
      <w:r w:rsidR="0020283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واجد صلاحیت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کافی</w:t>
      </w:r>
      <w:r w:rsidR="0020283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نهاد‌های پشتیبان و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ارتباطات</w:t>
      </w:r>
      <w:r w:rsidR="003C669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ملی و بین المللی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برخوردار باشد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برخورداری از این موارد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باعث می‌شود تا نهاد </w:t>
      </w:r>
      <w:r w:rsidR="000D6FD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نظارت قانونی بر تاسیسات هسته‌ای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بتواند به دور از هرگونه اعمال فشار به صورت تخصصی تصمیم‌گیری 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نماید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کشورهای پیشرو در انرژی هسته‌ای از اوایل </w:t>
      </w:r>
      <w:r w:rsidR="003C669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برنامه هسته‌ای خود، سعی در توسعه و تکامل این نهاد داشته‌اند. این تغییرات به‌ویژه بعد از حادثه فوکوشیما از شتاب چشمگیری برخوردار بوده است.</w:t>
      </w:r>
      <w:r w:rsidR="003C669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</w:p>
    <w:p w14:paraId="768058F1" w14:textId="38959D14" w:rsidR="000C7752" w:rsidRDefault="004C0B55" w:rsidP="00834B82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4C0B55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اقدام راهبردی: 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توسعه ساختار نظارت قانونی موجود تحت عنوان مرکز نظام ایمنی هسته‌ای کشور متناسب با برنامه ملی توسعه و تولید ده هزار مگاوات برق هسته‌ای </w:t>
      </w:r>
      <w:r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شامل: </w:t>
      </w:r>
    </w:p>
    <w:p w14:paraId="12018639" w14:textId="20B5F2DC" w:rsidR="00B54D9B" w:rsidRPr="00FB498B" w:rsidRDefault="00FB498B" w:rsidP="00A4205B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تدوین و تصویب  قانون استفاده ایمن، امن و صلح جویانه از انرژی هسته‌ای</w:t>
      </w:r>
      <w:r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و </w:t>
      </w:r>
      <w:r w:rsidR="00832DB5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تحقق بخشیدن به</w:t>
      </w:r>
      <w:r w:rsidR="00B54D9B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استقلال نظارتی</w:t>
      </w:r>
      <w:r w:rsidR="00832DB5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</w:t>
      </w:r>
      <w:r w:rsidR="00B54D9B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عملکردی</w:t>
      </w:r>
      <w:r w:rsidR="00832DB5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و</w:t>
      </w:r>
      <w:r w:rsidR="00046C82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832DB5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مالی</w:t>
      </w:r>
      <w:r w:rsidR="00B54D9B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مرکز نظام ایمنی هسته</w:t>
      </w:r>
      <w:r w:rsidR="00832DB5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B54D9B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</w:t>
      </w:r>
      <w:r w:rsidR="00832DB5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کشور</w:t>
      </w:r>
      <w:r w:rsidR="003D1B55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B54D9B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</w:p>
    <w:p w14:paraId="200D1E07" w14:textId="7740DB1E" w:rsidR="00B76D5F" w:rsidRPr="00B54D9B" w:rsidRDefault="00B76D5F" w:rsidP="00834B82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lang w:bidi="fa-IR"/>
        </w:rPr>
      </w:pP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lastRenderedPageBreak/>
        <w:t>تهیه سند تحول راهبردی مرکز نظام ایمنی هسته‌ای کشور</w:t>
      </w:r>
      <w:r w:rsidR="003D1B5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</w:p>
    <w:p w14:paraId="5EB7D631" w14:textId="68BCBE77" w:rsidR="000C7752" w:rsidRPr="00B54D9B" w:rsidRDefault="000C7752" w:rsidP="00834B82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lang w:bidi="fa-IR"/>
        </w:rPr>
      </w:pP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توسعه</w:t>
      </w:r>
      <w:r w:rsidR="002736F4"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CB4F8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بروز رسانی 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زیرساخت‌های نظارتی</w:t>
      </w:r>
      <w:r w:rsidR="00644169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فعلی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ایمنی، امنیت و پادمان هسته‌ای</w:t>
      </w:r>
      <w:r w:rsidR="00C73FF7" w:rsidRPr="00B54D9B">
        <w:rPr>
          <w:rFonts w:ascii="Courier New" w:eastAsia="Times New Roman" w:hAnsi="Courier New" w:cs="B Nazanin" w:hint="cs"/>
          <w:rtl/>
          <w:lang w:bidi="fa-IR"/>
        </w:rPr>
        <w:t>(ارزیابی ایمنی،صدور پروانه</w:t>
      </w:r>
      <w:r w:rsidR="00644169">
        <w:rPr>
          <w:rFonts w:ascii="Courier New" w:eastAsia="Times New Roman" w:hAnsi="Courier New" w:cs="B Nazanin" w:hint="cs"/>
          <w:rtl/>
          <w:lang w:bidi="fa-IR"/>
        </w:rPr>
        <w:t>/مجوز</w:t>
      </w:r>
      <w:r w:rsidR="00C73FF7" w:rsidRPr="00B54D9B">
        <w:rPr>
          <w:rFonts w:ascii="Courier New" w:eastAsia="Times New Roman" w:hAnsi="Courier New" w:cs="B Nazanin" w:hint="cs"/>
          <w:rtl/>
          <w:lang w:bidi="fa-IR"/>
        </w:rPr>
        <w:t>، بازرسی، اعمال مقررات)</w:t>
      </w:r>
      <w:r w:rsidR="001B6B51" w:rsidRPr="00B54D9B">
        <w:rPr>
          <w:rFonts w:ascii="Courier New" w:eastAsia="Times New Roman" w:hAnsi="Courier New" w:cs="B Nazanin" w:hint="cs"/>
          <w:rtl/>
          <w:lang w:bidi="fa-IR"/>
        </w:rPr>
        <w:t>،</w:t>
      </w:r>
    </w:p>
    <w:p w14:paraId="5AF4070A" w14:textId="173DAEDC" w:rsidR="000C7752" w:rsidRPr="00B54D9B" w:rsidRDefault="00C73FF7" w:rsidP="00834B82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ارتقاء صلاحیت کارکنان </w:t>
      </w:r>
      <w:r w:rsidR="003D1B5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مرکز 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راستای کاهش </w:t>
      </w:r>
      <w:r w:rsidR="003D1B5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حداکثری 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وابستگی به مشاوران خارجی</w:t>
      </w:r>
      <w:r w:rsidR="00B76D5F" w:rsidRPr="00B54D9B">
        <w:rPr>
          <w:rFonts w:eastAsia="Times New Roman" w:cstheme="minorHAnsi"/>
          <w:sz w:val="20"/>
          <w:szCs w:val="20"/>
          <w:rtl/>
          <w:lang w:bidi="fa-IR"/>
        </w:rPr>
        <w:t>(</w:t>
      </w:r>
      <w:r w:rsidR="00B76D5F" w:rsidRPr="00B54D9B">
        <w:rPr>
          <w:rFonts w:eastAsia="Times New Roman" w:cstheme="minorHAnsi"/>
          <w:sz w:val="20"/>
          <w:szCs w:val="20"/>
          <w:lang w:bidi="fa-IR"/>
        </w:rPr>
        <w:t>VOSafety</w:t>
      </w:r>
      <w:r w:rsidR="00B76D5F" w:rsidRPr="00B54D9B">
        <w:rPr>
          <w:rFonts w:eastAsia="Times New Roman" w:cstheme="minorHAnsi"/>
          <w:sz w:val="20"/>
          <w:szCs w:val="20"/>
          <w:rtl/>
          <w:lang w:bidi="fa-IR"/>
        </w:rPr>
        <w:t>)</w:t>
      </w:r>
      <w:r w:rsidR="003D1B55">
        <w:rPr>
          <w:rFonts w:eastAsia="Times New Roman" w:cstheme="minorHAnsi" w:hint="cs"/>
          <w:sz w:val="20"/>
          <w:szCs w:val="20"/>
          <w:rtl/>
          <w:lang w:bidi="fa-IR"/>
        </w:rPr>
        <w:t>،</w:t>
      </w:r>
    </w:p>
    <w:p w14:paraId="24A46B93" w14:textId="742D0643" w:rsidR="00B76D5F" w:rsidRPr="00B54D9B" w:rsidRDefault="00B76D5F" w:rsidP="00834B82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ایجاد مرکز آمادگی و مقابله با شرایط اضطراری هسته‌ای و پرتوی با استفاده از مشارکت اتحادیه اروپا ذیل توافقات برجام</w:t>
      </w:r>
      <w:r w:rsidR="001B6B51"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</w:p>
    <w:p w14:paraId="588695A6" w14:textId="4C947C05" w:rsidR="004C0B55" w:rsidRPr="00B54D9B" w:rsidRDefault="001B6B51" w:rsidP="00834B82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ایجاد</w:t>
      </w:r>
      <w:r w:rsidR="00046C82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پشتیبان فنی</w:t>
      </w:r>
      <w:r w:rsidR="003D1B5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(</w:t>
      </w:r>
      <w:r w:rsidR="003D1B55" w:rsidRPr="003D1B55">
        <w:rPr>
          <w:rFonts w:eastAsia="Times New Roman" w:cstheme="minorHAnsi"/>
          <w:sz w:val="24"/>
          <w:szCs w:val="24"/>
          <w:lang w:bidi="fa-IR"/>
        </w:rPr>
        <w:t>TSO</w:t>
      </w:r>
      <w:r w:rsidR="003D1B5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)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046C82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برای 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فعالیت‌های نظارتی مرکز نظام ایمنی هسته‌ای </w:t>
      </w:r>
      <w:r w:rsid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کشور،</w:t>
      </w:r>
    </w:p>
    <w:p w14:paraId="7A3306EB" w14:textId="77777777" w:rsidR="004C0B55" w:rsidRPr="001A17A3" w:rsidRDefault="004C0B55" w:rsidP="00834B8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</w:p>
    <w:p w14:paraId="787BC19F" w14:textId="53D837BE" w:rsidR="00AC1362" w:rsidRPr="001A17A3" w:rsidRDefault="00B856B5" w:rsidP="00834B82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رژیم بین المللی ایمنی هسته‌ای</w:t>
      </w:r>
      <w:r w:rsidR="00AC1362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25FCAE2F" w14:textId="5AE4B839" w:rsidR="00F17A6A" w:rsidRDefault="00C811CA" w:rsidP="00834B8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همزمان با</w:t>
      </w:r>
      <w:r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</w:t>
      </w:r>
      <w:r w:rsidR="0097795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نیروگاه‌های</w:t>
      </w:r>
      <w:r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هسته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>ای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در کشور، </w:t>
      </w:r>
      <w:r w:rsidR="00794E0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توجه به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رژیم بین المللی ایمنی هسته</w:t>
      </w:r>
      <w:r w:rsidR="008176C3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 </w:t>
      </w:r>
      <w:r w:rsidR="00794E0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نیز ضروری</w:t>
      </w:r>
      <w:r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است</w:t>
      </w:r>
      <w:r w:rsidR="00794E0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</w:t>
      </w:r>
      <w:r w:rsidR="00F17A6A"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>الحاق به کنوانسیون‌ها</w:t>
      </w:r>
      <w:r w:rsidR="00F17A6A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ی بین المللی</w:t>
      </w:r>
      <w:r w:rsidR="00F17A6A"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نوعی تمرین تعامل با جامعه بین‌الملل </w:t>
      </w:r>
      <w:r w:rsidR="00E00F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</w:t>
      </w:r>
      <w:r w:rsidR="00E00F3B"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>به معنای درک صحیح از موضوع، صاحب نظر بودن در آن موضوع و نشانه تلاش و تصمیم یک کشور برای ایفای نقش در یک مجموعه بزرگ‌تر است</w:t>
      </w:r>
      <w:r w:rsidR="00E00F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در حال حاضر </w:t>
      </w:r>
      <w:r w:rsidR="00DE198E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کشور ما تنها به دو کنوانسیون </w:t>
      </w:r>
      <w:r w:rsidR="004953D5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کمک رسانی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4953D5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به‌هنگام وقوع حوادث هسته‌ای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4953D5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یا فوریت رادیولوژیکی 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</w:t>
      </w:r>
      <w:r w:rsidR="004953D5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کنوانسیون اطلاع رسانی به موقع حوادث هسته‌ای </w:t>
      </w:r>
      <w:r w:rsidR="00DE198E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پیوسته است و </w:t>
      </w:r>
      <w:r w:rsidR="00E00F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با توجه به تصمیم به اجرای برنامه ملی توسعه و تولید ده هزار مگاوات برق هسته‌ای ایمن، مطمئن و اقتصادی به نظر می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E00F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آید 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بررسی </w:t>
      </w:r>
      <w:r w:rsidR="00F5168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پیوستن کشور به </w:t>
      </w:r>
      <w:r w:rsidR="00FD34B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سایر </w:t>
      </w:r>
      <w:r w:rsidR="00F5168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کنوانسیون‌های بین المللی هسته‌ای بسیار حائز اهمیت می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F5168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باشد. 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توسعه و تولید ده هزار مگاوات برق هسته‌ای</w:t>
      </w:r>
      <w:r w:rsidR="00F5168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DE6D5E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بدون</w:t>
      </w:r>
      <w:r w:rsidR="00B04709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توجه به </w:t>
      </w:r>
      <w:r w:rsidR="00DE6D5E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ساختار</w:t>
      </w:r>
      <w:r w:rsidR="00B04709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های </w:t>
      </w:r>
      <w:r w:rsidR="00FB2971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رژیم </w:t>
      </w:r>
      <w:r w:rsidR="00B04709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بین المللی </w:t>
      </w:r>
      <w:r w:rsidR="00DE6D5E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ایمنی هسته‌ای، با مشکلات</w:t>
      </w:r>
      <w:r w:rsidR="00B04709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جدی</w:t>
      </w:r>
      <w:r w:rsidR="00DE6D5E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روبرو خواهد بود. </w:t>
      </w:r>
    </w:p>
    <w:p w14:paraId="1D3600DE" w14:textId="34922464" w:rsidR="00977956" w:rsidRDefault="00977956" w:rsidP="00834B82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977956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اقدام راهبردی: </w:t>
      </w:r>
      <w:r w:rsidR="00DE198E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بررسی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پیوستن کشور به کنوانسیون‌های بین المللی هسته‌ای</w:t>
      </w:r>
      <w:r w:rsidR="00DE198E" w:rsidRPr="00DE198E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</w:t>
      </w:r>
      <w:r w:rsidR="00DE198E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همزمان با </w:t>
      </w:r>
      <w:r w:rsidR="00DE198E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برنامه ملی توسعه و تولید ده هزار مگاوات برق هسته‌ای</w:t>
      </w:r>
      <w:r w:rsidR="00DE198E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شامل:</w:t>
      </w:r>
    </w:p>
    <w:p w14:paraId="658AD0EA" w14:textId="57694793" w:rsidR="00DE198E" w:rsidRPr="00DE18C5" w:rsidRDefault="00E15F38" w:rsidP="00834B82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بررسی 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پیوستن کشور به کنوانسیون ایمنی هسته‌ای(</w:t>
      </w:r>
      <w:r w:rsidR="00DE198E" w:rsidRPr="00DE18C5">
        <w:rPr>
          <w:rFonts w:eastAsia="Times New Roman" w:cstheme="minorHAnsi"/>
          <w:sz w:val="24"/>
          <w:szCs w:val="24"/>
          <w:lang w:bidi="fa-IR"/>
        </w:rPr>
        <w:t>CNS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)</w:t>
      </w:r>
      <w:r w:rsidR="00CD105C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</w:p>
    <w:p w14:paraId="37BFD3CE" w14:textId="06AB8FF2" w:rsidR="00DE198E" w:rsidRPr="00DE18C5" w:rsidRDefault="00E15F38" w:rsidP="00834B82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بررسی 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پیوستن کشور به کنوانسیون </w:t>
      </w:r>
      <w:r w:rsidR="00A34F7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ایمنی 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مدیریت </w:t>
      </w:r>
      <w:r w:rsidR="00A34F7D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سوخت مصرف شده </w:t>
      </w:r>
      <w:r w:rsidR="00A34F7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ایمنی مدیریت 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پسمان</w:t>
      </w:r>
      <w:r w:rsidR="00A34F7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پرتوزا</w:t>
      </w:r>
      <w:r w:rsidR="0025077D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(</w:t>
      </w:r>
      <w:r w:rsidR="0025077D" w:rsidRPr="00DE18C5">
        <w:rPr>
          <w:rFonts w:eastAsia="Times New Roman" w:cstheme="minorHAnsi"/>
          <w:sz w:val="24"/>
          <w:szCs w:val="24"/>
          <w:lang w:bidi="fa-IR"/>
        </w:rPr>
        <w:t>JC</w:t>
      </w:r>
      <w:r w:rsidR="0025077D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)</w:t>
      </w:r>
      <w:r w:rsidR="00CD105C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</w:p>
    <w:p w14:paraId="6292BD88" w14:textId="74A0CC31" w:rsidR="00CD105C" w:rsidRPr="00E15F38" w:rsidRDefault="00E15F38" w:rsidP="00C1181F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E15F38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بررسی </w:t>
      </w:r>
      <w:r w:rsidR="004953D5" w:rsidRPr="00E15F38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پیوستن کشور به کنوانسیون حفاظت فیزیکی</w:t>
      </w:r>
      <w:r w:rsidR="00A34F7D" w:rsidRPr="00E15F38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92493E" w:rsidRPr="00E15F38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از </w:t>
      </w:r>
      <w:r w:rsidR="00A34F7D" w:rsidRPr="00E15F38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مواد هسته‌ای</w:t>
      </w:r>
      <w:r w:rsidR="00CD105C" w:rsidRPr="00E15F38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</w:p>
    <w:p w14:paraId="57C658A7" w14:textId="77777777" w:rsidR="00E15F38" w:rsidRPr="00E15F38" w:rsidRDefault="00E15F38" w:rsidP="00E15F3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ind w:left="2160"/>
        <w:jc w:val="both"/>
        <w:rPr>
          <w:rFonts w:ascii="Courier New" w:eastAsia="Times New Roman" w:hAnsi="Courier New" w:cs="B Nazanin"/>
          <w:b/>
          <w:bCs/>
          <w:sz w:val="24"/>
          <w:szCs w:val="24"/>
          <w:rtl/>
          <w:lang w:bidi="fa-IR"/>
        </w:rPr>
      </w:pPr>
    </w:p>
    <w:p w14:paraId="7637908C" w14:textId="0A76F700" w:rsidR="00DE6D5E" w:rsidRDefault="00F5168B" w:rsidP="00834B82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B27D94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شرایط اضطراری نیروگاه</w:t>
      </w:r>
      <w:r w:rsidR="00BF7D4C" w:rsidRPr="00B27D94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‌</w:t>
      </w:r>
      <w:r w:rsidRPr="00B27D94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های هسته</w:t>
      </w:r>
      <w:r w:rsidR="00157B89" w:rsidRPr="00B27D94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‌</w:t>
      </w:r>
      <w:r w:rsidRPr="00B27D94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ای</w:t>
      </w:r>
      <w:r w:rsidR="00E875C2" w:rsidRPr="00B27D94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: </w:t>
      </w:r>
      <w:r w:rsidR="00E875C2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مدیریت شرایط اضطراری نیروگاه‌های هسته‌ای با هدف حفاظت از جان، سلامت و اموال انسان‌ها و محیط زیست یکی از موضوعات اصلی توسعه ساختار ایمنی هسته‌ای می‌باشد. </w:t>
      </w:r>
      <w:r w:rsidR="00B7195D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مدیریت شرایط اضطراری نیروگاه‌های هسته‌ای در سطح ملی و </w:t>
      </w:r>
      <w:r w:rsidR="00264BE1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بین المللی</w:t>
      </w:r>
      <w:r w:rsidR="00B7195D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 شامل نقش‌ها و مسئولیت‌های مهمی برای نهادهای متعددی از جمله سازمان مدیریت بحران، سازمان پدافند غیر عامل، وزارت بهداشت</w:t>
      </w:r>
      <w:r w:rsidR="00264BE1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 درمان و آموزش پزشکی</w:t>
      </w:r>
      <w:r w:rsidR="00B7195D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جمعیت هلال احمر، سازمان برنامه و بودجه، </w:t>
      </w:r>
      <w:r w:rsidR="00264BE1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ستاد کل</w:t>
      </w:r>
      <w:r w:rsidR="00B7195D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نیروهای مسلح  می‌باشد که با توجه به حساسیت، تعدد، تنوع و گستردگی وظایف و ساختارها، لزوم </w:t>
      </w:r>
      <w:r w:rsidR="00271EF1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تعیین و ابلاغ وظایف نهادهای مذکور</w:t>
      </w:r>
      <w:r w:rsidR="00B7195D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در سطح ملی به منظور مدیریت صحیح و استاندارد شرایط اضطراری در تطابق حداکثری با ساختار حاکمیتی و وظایف ذاتی </w:t>
      </w:r>
      <w:r w:rsidR="00271EF1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آنها</w:t>
      </w:r>
      <w:r w:rsidR="00B7195D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بسیار ضروری است</w:t>
      </w:r>
      <w:r w:rsidR="00B856B5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طرح ملی </w:t>
      </w:r>
      <w:r w:rsidR="00264BE1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موجود مدیریت </w:t>
      </w:r>
      <w:r w:rsidR="00B856B5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شرایط اضطراری نیروگاه‌های هسته‌ای </w:t>
      </w:r>
      <w:r w:rsidR="00264BE1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باید </w:t>
      </w:r>
      <w:r w:rsidR="00BF7D4C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همزمان با</w:t>
      </w:r>
      <w:r w:rsidR="00E875C2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برنامه ملی توسعه و تولید ده هزار مگاوات برق هسته‌ای </w:t>
      </w:r>
      <w:r w:rsidR="00264BE1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توسعه یافته و زیرساخت</w:t>
      </w:r>
      <w:r w:rsidR="00245620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264BE1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های لازم متناسب با تولید </w:t>
      </w:r>
      <w:r w:rsidR="00245620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ده هزار مگاوات برق هسته‌ای بروزرسانی گردد. </w:t>
      </w:r>
    </w:p>
    <w:p w14:paraId="447FACB0" w14:textId="4D19F85C" w:rsidR="00B27D94" w:rsidRDefault="00B27D94" w:rsidP="00834B82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اقدام راهبردی: </w:t>
      </w:r>
      <w:r w:rsidR="00A338AD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تصویب و ابلاغ 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طرح ملی شرایط اضطراری نیروگاه‌های هسته‌ای</w:t>
      </w:r>
      <w:r w:rsidR="00271EF1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شامل</w:t>
      </w:r>
      <w:r w:rsidR="00194647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:</w:t>
      </w:r>
    </w:p>
    <w:p w14:paraId="124DCB08" w14:textId="0E9873DD" w:rsidR="00271EF1" w:rsidRDefault="00271EF1" w:rsidP="00834B82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lastRenderedPageBreak/>
        <w:t xml:space="preserve">ابلاغ </w:t>
      </w:r>
      <w:r w:rsidR="009E7B2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ملی </w:t>
      </w:r>
      <w:r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وظایف نهادهای </w:t>
      </w:r>
      <w:r w:rsidR="00A338AD"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مسئول</w:t>
      </w:r>
      <w:r w:rsidR="006E26C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 همکار و پشتیبان</w:t>
      </w:r>
      <w:r w:rsidR="00761A41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در ساختار آمادگی و مقابله با حوادث هسته‌ای، </w:t>
      </w:r>
    </w:p>
    <w:p w14:paraId="40FF3490" w14:textId="26F7AE41" w:rsidR="00271EF1" w:rsidRPr="00606D96" w:rsidRDefault="00271EF1" w:rsidP="00834B82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اهتمام نهادهای </w:t>
      </w:r>
      <w:r w:rsidR="006E26C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مذکور</w:t>
      </w:r>
      <w:r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6E26C7"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در ایجاد زیرساخت</w:t>
      </w:r>
      <w:r w:rsidR="006E26C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6E26C7"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های</w:t>
      </w:r>
      <w:r w:rsidR="006E26C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6E26C7"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لازم برای آمادگی و مقابله</w:t>
      </w:r>
      <w:r w:rsidR="006E26C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9E7B2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 اساس وظایف ابلاغ شده</w:t>
      </w:r>
      <w:r w:rsidR="006E26C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9E7B2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</w:p>
    <w:p w14:paraId="0056F0DD" w14:textId="26F5339A" w:rsidR="004953D5" w:rsidRDefault="00846A4E" w:rsidP="00834B82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اجرای </w:t>
      </w:r>
      <w:r w:rsidR="00804597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مانورهای</w:t>
      </w:r>
      <w:r w:rsidR="00271EF1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متعدد </w:t>
      </w:r>
      <w:r w:rsidR="00276E12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با مشارکت نهادهای مسئول </w:t>
      </w:r>
      <w:r w:rsidR="00271EF1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 اساس سناریوهای محتمل در نیروگاه</w:t>
      </w:r>
      <w:r w:rsidR="00A338AD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271EF1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های هسته‌ای با توجه به عدم امکان </w:t>
      </w:r>
      <w:r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اجرای </w:t>
      </w:r>
      <w:r w:rsidR="00271EF1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تمرین</w:t>
      </w:r>
      <w:r w:rsidR="00A338AD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271EF1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های کسب آمادگی </w:t>
      </w:r>
      <w:r w:rsidR="00276E12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</w:t>
      </w:r>
      <w:r w:rsidR="00271EF1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حوادث نیروگاه</w:t>
      </w:r>
      <w:r w:rsidR="00A338AD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‌های </w:t>
      </w:r>
      <w:r w:rsidR="00271EF1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هسته‌ای به صورت واقعی</w:t>
      </w:r>
      <w:r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</w:p>
    <w:p w14:paraId="27C95A30" w14:textId="0AC9FA2B" w:rsidR="003E4DF0" w:rsidRDefault="00761A41" w:rsidP="003E4DF0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ایجاد نهاد آموزش آمادگی و مقابله با حوادث هسته‌ای برای </w:t>
      </w:r>
      <w:r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نهادهای مسئول</w:t>
      </w:r>
      <w:r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همکار و پشتیبان، با توجه به تخصصی بودن موضوع و عدم وجود دانش کافی در </w:t>
      </w:r>
      <w:r w:rsidR="00174372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نهادهای غیر تخصصی،</w:t>
      </w:r>
    </w:p>
    <w:p w14:paraId="018F0629" w14:textId="77777777" w:rsidR="00F172FF" w:rsidRDefault="00F172FF" w:rsidP="00F172F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ind w:left="2160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</w:p>
    <w:p w14:paraId="542AFDC9" w14:textId="4556BBF6" w:rsidR="00713555" w:rsidRDefault="00DE6D5E" w:rsidP="0083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 اساس </w:t>
      </w:r>
      <w:r w:rsidR="00E6673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مو</w:t>
      </w:r>
      <w:r w:rsidR="003205C0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</w:t>
      </w:r>
      <w:r w:rsidR="00E6673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رد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کلی </w:t>
      </w:r>
      <w:r w:rsidR="006F5A5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حائز اهمیت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فوق</w:t>
      </w:r>
      <w:r w:rsidR="00B856B5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به نظر می‌آید </w:t>
      </w:r>
      <w:r w:rsidR="006F5A5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در توسعه ساختار ایمنی هسته‌ای همزمان با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برنامه ملی توسعه و تولید ده هزار مگاوات برق هسته‌ای، 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با فقدان زیر ساخت‌هایی روبرو هستیم که رفع آنها مستلزم اقدامات جدی مجلس شورای اسلامی</w:t>
      </w:r>
      <w:r w:rsidR="00256A8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شورای امنیت ملی</w:t>
      </w:r>
      <w:r w:rsidR="00256A8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دولت، سازمان انرژی اتمی ایران/ مرکز نظام ایمنی هسته‌ای کشور و شرکت تولید و توسعه انرژی اتمی به عنوان سازمان بهره بردار نیروگاه‌های هسته‌ای کشور، </w:t>
      </w:r>
      <w:r w:rsidR="00256A8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توسعه ساختار ایمنی هسته‌ای و بهره‌برداری ایمن از نیروگاه‌های </w:t>
      </w:r>
      <w:r w:rsidR="00256A8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هسته‌ای</w:t>
      </w:r>
      <w:r w:rsidR="00256A8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است. هرکدام از نهادهای مذکور باید نقش و مسئولیت‌های خود را در طول عمر تاسیسات هسته‌ای و در درسه فاز 1- قبل از تصمیم ملی به توسعه نیروگاه های </w:t>
      </w:r>
      <w:r w:rsidR="00256A8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هسته‌ای</w:t>
      </w:r>
      <w:r w:rsidR="00256A8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2- فاز برگزاری مناقصه و مذاکره قرارداد و 3- فاز بهره ‌برداری و ازکاراندازی راکتورهای </w:t>
      </w:r>
      <w:r w:rsidR="00256A8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هسته‌ای</w:t>
      </w:r>
      <w:r w:rsidR="00256A8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ایفاد نمایند</w:t>
      </w:r>
      <w:r w:rsidR="00AF61C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(</w:t>
      </w:r>
      <w:r w:rsidR="00AF61CF">
        <w:rPr>
          <w:rFonts w:ascii="Courier New" w:eastAsia="Times New Roman" w:hAnsi="Courier New" w:cs="B Nazanin"/>
          <w:sz w:val="24"/>
          <w:szCs w:val="24"/>
          <w:lang w:bidi="fa-IR"/>
        </w:rPr>
        <w:t>IAEA-SSG-16</w:t>
      </w:r>
      <w:r w:rsidR="00AF61C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)</w:t>
      </w:r>
      <w:r w:rsidR="00256A8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.</w:t>
      </w:r>
    </w:p>
    <w:p w14:paraId="60778115" w14:textId="063CE7AA" w:rsidR="00F5168B" w:rsidRPr="001A17A3" w:rsidRDefault="00CA41B1" w:rsidP="0083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TimesNewRomanPSMT" w:hAnsi="TimesNewRomanPSMT" w:cs="B Nazanin"/>
          <w:color w:val="242021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برگرفته از استانداردهای آژانس بین المللی انرژی اتمی،</w:t>
      </w:r>
      <w:r w:rsidR="000435A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</w:t>
      </w:r>
      <w:r w:rsidR="004F3A6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ساختار ایمنی هسته‌ای در </w:t>
      </w:r>
      <w:r w:rsidR="000435A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برنامه ملی توسعه و </w:t>
      </w:r>
      <w:r w:rsidR="00035B9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تولید </w:t>
      </w:r>
      <w:r w:rsidR="000435A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ده هزار مگاوات</w:t>
      </w:r>
      <w:r w:rsidR="00035B9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0435A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برق هسته ای ایمن، مطمئن و اقتصادی </w:t>
      </w:r>
      <w:r w:rsidR="00D2375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شامل توسعه </w:t>
      </w:r>
      <w:r w:rsidR="00BA486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موضوعات 20 گانه ذیل </w:t>
      </w:r>
      <w:r w:rsidR="00D2375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می</w:t>
      </w:r>
      <w:r w:rsidR="00B7195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D2375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باشد</w:t>
      </w:r>
      <w:r w:rsidR="00BA486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و نقش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مسئولیت‌های </w:t>
      </w:r>
      <w:r w:rsidR="00BA486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هر یک از نهادهای فوق الذکر </w:t>
      </w:r>
      <w:r w:rsidR="00B7195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در این موضوعات مشخص گردیده</w:t>
      </w:r>
      <w:r w:rsidR="00BA486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است</w:t>
      </w:r>
      <w:r w:rsidR="00AF61C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(</w:t>
      </w:r>
      <w:r w:rsidR="00AF61CF">
        <w:rPr>
          <w:rFonts w:ascii="Courier New" w:eastAsia="Times New Roman" w:hAnsi="Courier New" w:cs="B Nazanin"/>
          <w:sz w:val="24"/>
          <w:szCs w:val="24"/>
          <w:lang w:bidi="fa-IR"/>
        </w:rPr>
        <w:t>IAEA-SSG-16</w:t>
      </w:r>
      <w:r w:rsidR="00AF61C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)</w:t>
      </w:r>
      <w:r w:rsidR="00BA486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.</w:t>
      </w:r>
    </w:p>
    <w:tbl>
      <w:tblPr>
        <w:tblStyle w:val="GridTable2-Accent1"/>
        <w:tblpPr w:leftFromText="180" w:rightFromText="180" w:vertAnchor="text" w:horzAnchor="margin" w:tblpY="3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526"/>
        <w:gridCol w:w="4237"/>
        <w:gridCol w:w="600"/>
        <w:gridCol w:w="4128"/>
      </w:tblGrid>
      <w:tr w:rsidR="00F5168B" w:rsidRPr="001A17A3" w14:paraId="67CD1DC7" w14:textId="77777777" w:rsidTr="0037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1" w:type="dxa"/>
            <w:gridSpan w:val="4"/>
            <w:shd w:val="clear" w:color="auto" w:fill="A8D08D" w:themeFill="accent6" w:themeFillTint="99"/>
          </w:tcPr>
          <w:p w14:paraId="1D15C902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ind w:left="-5"/>
              <w:jc w:val="center"/>
              <w:rPr>
                <w:rFonts w:ascii="Courier New" w:eastAsia="Times New Roman" w:hAnsi="Courier Ne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17A3">
              <w:rPr>
                <w:rFonts w:ascii="Courier New" w:eastAsia="Times New Roman" w:hAnsi="Courier New" w:cs="B Nazanin" w:hint="cs"/>
                <w:b/>
                <w:bCs/>
                <w:sz w:val="24"/>
                <w:szCs w:val="24"/>
                <w:rtl/>
                <w:lang w:bidi="fa-IR"/>
              </w:rPr>
              <w:t>موضوعات 20 گانه توسعه ساختار ایمنی هسته‌ای</w:t>
            </w:r>
          </w:p>
        </w:tc>
      </w:tr>
      <w:tr w:rsidR="00F5168B" w:rsidRPr="001A17A3" w14:paraId="3E24AA7F" w14:textId="77777777" w:rsidTr="003740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42FC4EA5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237" w:type="dxa"/>
            <w:shd w:val="clear" w:color="auto" w:fill="FFFFFF" w:themeFill="background1"/>
            <w:vAlign w:val="center"/>
          </w:tcPr>
          <w:p w14:paraId="6461EEF3" w14:textId="2E478EFC" w:rsidR="00F5168B" w:rsidRPr="001A17A3" w:rsidRDefault="00F5168B" w:rsidP="0037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 xml:space="preserve">خط مشی و راهبرد ملی ایمنی </w:t>
            </w:r>
            <w:r w:rsidR="00994515">
              <w:rPr>
                <w:rFonts w:cs="B Mitra" w:hint="cs"/>
                <w:sz w:val="24"/>
                <w:szCs w:val="24"/>
                <w:rtl/>
              </w:rPr>
              <w:t xml:space="preserve">و امنیت </w:t>
            </w:r>
            <w:r w:rsidRPr="001A17A3">
              <w:rPr>
                <w:rFonts w:cs="B Mitra" w:hint="cs"/>
                <w:sz w:val="24"/>
                <w:szCs w:val="24"/>
                <w:rtl/>
              </w:rPr>
              <w:t>هسته‌ای،</w:t>
            </w:r>
            <w:r w:rsidR="003740CC">
              <w:rPr>
                <w:rFonts w:cs="B Mitra" w:hint="cs"/>
                <w:sz w:val="24"/>
                <w:szCs w:val="24"/>
                <w:rtl/>
              </w:rPr>
              <w:t xml:space="preserve"> پسمان</w:t>
            </w:r>
            <w:r w:rsidR="00994515">
              <w:rPr>
                <w:rFonts w:cs="B Mitra" w:hint="cs"/>
                <w:sz w:val="24"/>
                <w:szCs w:val="24"/>
                <w:rtl/>
              </w:rPr>
              <w:t xml:space="preserve">‌های پرتوزا </w:t>
            </w:r>
            <w:r w:rsidR="003740CC">
              <w:rPr>
                <w:rFonts w:cs="B Mitra" w:hint="cs"/>
                <w:sz w:val="24"/>
                <w:szCs w:val="24"/>
                <w:rtl/>
              </w:rPr>
              <w:t>و سوخت</w:t>
            </w:r>
            <w:r w:rsidR="00994515">
              <w:rPr>
                <w:rFonts w:cs="B Mitra" w:hint="cs"/>
                <w:sz w:val="24"/>
                <w:szCs w:val="24"/>
                <w:rtl/>
              </w:rPr>
              <w:t xml:space="preserve"> هسته‌ای</w:t>
            </w:r>
            <w:r w:rsidR="003740CC">
              <w:rPr>
                <w:rFonts w:cs="B Mitra" w:hint="cs"/>
                <w:sz w:val="24"/>
                <w:szCs w:val="24"/>
                <w:rtl/>
              </w:rPr>
              <w:t xml:space="preserve"> مصرف شده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  <w:vAlign w:val="center"/>
          </w:tcPr>
          <w:p w14:paraId="1C18C668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4128" w:type="dxa"/>
            <w:shd w:val="clear" w:color="auto" w:fill="FFFFFF" w:themeFill="background1"/>
            <w:vAlign w:val="center"/>
          </w:tcPr>
          <w:p w14:paraId="7D804D5B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حفاظت پرتوی</w:t>
            </w:r>
          </w:p>
        </w:tc>
      </w:tr>
      <w:tr w:rsidR="00F5168B" w:rsidRPr="001A17A3" w14:paraId="431252C6" w14:textId="77777777" w:rsidTr="0037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1FADAF84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237" w:type="dxa"/>
            <w:shd w:val="clear" w:color="auto" w:fill="FFFFFF" w:themeFill="background1"/>
          </w:tcPr>
          <w:p w14:paraId="65332B93" w14:textId="4266E416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 xml:space="preserve"> رژیم بین المللی ایمنی</w:t>
            </w:r>
            <w:r w:rsidR="00DD0B14">
              <w:rPr>
                <w:rFonts w:cs="B Mitra" w:hint="cs"/>
                <w:sz w:val="24"/>
                <w:szCs w:val="24"/>
                <w:rtl/>
              </w:rPr>
              <w:t xml:space="preserve">، امنیت و پادمان </w:t>
            </w:r>
            <w:r w:rsidRPr="001A17A3">
              <w:rPr>
                <w:rFonts w:cs="B Mitra" w:hint="cs"/>
                <w:sz w:val="24"/>
                <w:szCs w:val="24"/>
                <w:rtl/>
              </w:rPr>
              <w:t>هسته‌ای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771B9152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4128" w:type="dxa"/>
            <w:shd w:val="clear" w:color="auto" w:fill="FFFFFF" w:themeFill="background1"/>
          </w:tcPr>
          <w:p w14:paraId="77A2FEB5" w14:textId="3D1C673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ارزیابی ایمنی</w:t>
            </w:r>
            <w:r w:rsidR="00DD0B1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امنیت هسته‌ای</w:t>
            </w:r>
          </w:p>
        </w:tc>
      </w:tr>
      <w:tr w:rsidR="00F5168B" w:rsidRPr="001A17A3" w14:paraId="1A283425" w14:textId="77777777" w:rsidTr="003740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30FE5ADC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237" w:type="dxa"/>
            <w:shd w:val="clear" w:color="auto" w:fill="FFFFFF" w:themeFill="background1"/>
          </w:tcPr>
          <w:p w14:paraId="28F0771A" w14:textId="7B616CFA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 xml:space="preserve">چارچوب </w:t>
            </w:r>
            <w:r w:rsidR="00676B53">
              <w:rPr>
                <w:rFonts w:cs="B Mitra" w:hint="cs"/>
                <w:sz w:val="24"/>
                <w:szCs w:val="24"/>
                <w:rtl/>
              </w:rPr>
              <w:t xml:space="preserve">دولتی و </w:t>
            </w:r>
            <w:r w:rsidR="005F7C00">
              <w:rPr>
                <w:rFonts w:cs="B Mitra" w:hint="cs"/>
                <w:sz w:val="24"/>
                <w:szCs w:val="24"/>
                <w:rtl/>
              </w:rPr>
              <w:t>قانونی</w:t>
            </w:r>
            <w:r w:rsidRPr="001A17A3">
              <w:rPr>
                <w:rFonts w:cs="B Mitra" w:hint="cs"/>
                <w:sz w:val="24"/>
                <w:szCs w:val="24"/>
                <w:rtl/>
              </w:rPr>
              <w:t xml:space="preserve"> ایمنی</w:t>
            </w:r>
            <w:r w:rsidR="001C4614">
              <w:rPr>
                <w:rFonts w:cs="B Mitra" w:hint="cs"/>
                <w:sz w:val="24"/>
                <w:szCs w:val="24"/>
                <w:rtl/>
              </w:rPr>
              <w:t xml:space="preserve">، امنیت و پادمان </w:t>
            </w:r>
            <w:r w:rsidRPr="001A17A3">
              <w:rPr>
                <w:rFonts w:cs="B Mitra" w:hint="cs"/>
                <w:sz w:val="24"/>
                <w:szCs w:val="24"/>
                <w:rtl/>
              </w:rPr>
              <w:t xml:space="preserve">هسته‌ای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2C15D75F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4128" w:type="dxa"/>
            <w:shd w:val="clear" w:color="auto" w:fill="FFFFFF" w:themeFill="background1"/>
          </w:tcPr>
          <w:p w14:paraId="5CF41075" w14:textId="1E5C5DA4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مدیریت پسمان</w:t>
            </w:r>
            <w:r w:rsidR="00A93A9E">
              <w:rPr>
                <w:rFonts w:cs="B Mitra" w:hint="cs"/>
                <w:sz w:val="24"/>
                <w:szCs w:val="24"/>
                <w:rtl/>
                <w:lang w:bidi="fa-IR"/>
              </w:rPr>
              <w:t>‌</w:t>
            </w: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های پرتوزا، سوخت مصرف‌شده و ازکاراندازی</w:t>
            </w:r>
            <w:r w:rsidR="00DD0B1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تاسیسات هسته‌ای</w:t>
            </w:r>
          </w:p>
        </w:tc>
      </w:tr>
      <w:tr w:rsidR="00F5168B" w:rsidRPr="001A17A3" w14:paraId="72F1763A" w14:textId="77777777" w:rsidTr="0037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1365288A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237" w:type="dxa"/>
            <w:shd w:val="clear" w:color="auto" w:fill="FFFFFF" w:themeFill="background1"/>
          </w:tcPr>
          <w:p w14:paraId="2AD0F958" w14:textId="74B94CC5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چارچوب</w:t>
            </w:r>
            <w:r w:rsidR="001C461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1A17A3">
              <w:rPr>
                <w:rFonts w:cs="B Mitra" w:hint="cs"/>
                <w:sz w:val="24"/>
                <w:szCs w:val="24"/>
                <w:rtl/>
              </w:rPr>
              <w:t>نظارت قانونی</w:t>
            </w:r>
            <w:r w:rsidR="00EF2EAE">
              <w:rPr>
                <w:rFonts w:cs="B Mitra" w:hint="cs"/>
                <w:sz w:val="24"/>
                <w:szCs w:val="24"/>
                <w:rtl/>
              </w:rPr>
              <w:t xml:space="preserve"> بر تاسیسات و فعالیت‌های هسته‌ای</w:t>
            </w:r>
            <w:r w:rsidR="001C4614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2DFA7C30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4128" w:type="dxa"/>
            <w:shd w:val="clear" w:color="auto" w:fill="FFFFFF" w:themeFill="background1"/>
          </w:tcPr>
          <w:p w14:paraId="7D7B0165" w14:textId="49F4185F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آمادگی و مقابله با شرایط اضطراری</w:t>
            </w:r>
            <w:r w:rsidR="00DD0B1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هسته‌ای و پرتوی</w:t>
            </w:r>
          </w:p>
        </w:tc>
      </w:tr>
      <w:tr w:rsidR="00F5168B" w:rsidRPr="001A17A3" w14:paraId="4887D005" w14:textId="77777777" w:rsidTr="003740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345176B2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237" w:type="dxa"/>
            <w:shd w:val="clear" w:color="auto" w:fill="FFFFFF" w:themeFill="background1"/>
          </w:tcPr>
          <w:p w14:paraId="34436C99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شفافیت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19A9EC92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4128" w:type="dxa"/>
            <w:shd w:val="clear" w:color="auto" w:fill="FFFFFF" w:themeFill="background1"/>
          </w:tcPr>
          <w:p w14:paraId="26E55F5A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سازمان بهره‌بردار</w:t>
            </w:r>
          </w:p>
        </w:tc>
      </w:tr>
      <w:tr w:rsidR="00F5168B" w:rsidRPr="001A17A3" w14:paraId="0043C3B9" w14:textId="77777777" w:rsidTr="0037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1D441EDE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4237" w:type="dxa"/>
            <w:shd w:val="clear" w:color="auto" w:fill="FFFFFF" w:themeFill="background1"/>
          </w:tcPr>
          <w:p w14:paraId="5960F653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منابع و تامین مالی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77D6B986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4128" w:type="dxa"/>
            <w:shd w:val="clear" w:color="auto" w:fill="FFFFFF" w:themeFill="background1"/>
          </w:tcPr>
          <w:p w14:paraId="03982EB0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بررسی و ارزیابی سایت</w:t>
            </w:r>
          </w:p>
        </w:tc>
      </w:tr>
      <w:tr w:rsidR="00F5168B" w:rsidRPr="001A17A3" w14:paraId="6A86D241" w14:textId="77777777" w:rsidTr="003740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42B84302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4237" w:type="dxa"/>
            <w:shd w:val="clear" w:color="auto" w:fill="FFFFFF" w:themeFill="background1"/>
          </w:tcPr>
          <w:p w14:paraId="31EF836A" w14:textId="5C52A21D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 xml:space="preserve">سازمان‌های پشتیبان و </w:t>
            </w: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پیمانکاران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4C9139A5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4128" w:type="dxa"/>
            <w:shd w:val="clear" w:color="auto" w:fill="FFFFFF" w:themeFill="background1"/>
          </w:tcPr>
          <w:p w14:paraId="7A5D5B5C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ایمنی طراحی</w:t>
            </w:r>
          </w:p>
        </w:tc>
      </w:tr>
      <w:tr w:rsidR="00F5168B" w:rsidRPr="001A17A3" w14:paraId="635578D1" w14:textId="77777777" w:rsidTr="0037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513CEEF0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4237" w:type="dxa"/>
            <w:shd w:val="clear" w:color="auto" w:fill="FFFFFF" w:themeFill="background1"/>
          </w:tcPr>
          <w:p w14:paraId="29A75989" w14:textId="00A8046D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رهبری و مدیریت در ایمنی</w:t>
            </w:r>
            <w:r w:rsidR="00DD0B1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امنیت و پادمان </w:t>
            </w: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هسته‌ای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1422A946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4128" w:type="dxa"/>
            <w:shd w:val="clear" w:color="auto" w:fill="FFFFFF" w:themeFill="background1"/>
          </w:tcPr>
          <w:p w14:paraId="10C4A75E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آمادگی برای بهره‌برداری</w:t>
            </w:r>
          </w:p>
        </w:tc>
      </w:tr>
      <w:tr w:rsidR="00F5168B" w:rsidRPr="001A17A3" w14:paraId="503D0FE4" w14:textId="77777777" w:rsidTr="003740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6108E88E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4237" w:type="dxa"/>
            <w:shd w:val="clear" w:color="auto" w:fill="FFFFFF" w:themeFill="background1"/>
          </w:tcPr>
          <w:p w14:paraId="2DCE6861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توسعه نیروی انسانی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62870E14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4128" w:type="dxa"/>
            <w:shd w:val="clear" w:color="auto" w:fill="FFFFFF" w:themeFill="background1"/>
          </w:tcPr>
          <w:p w14:paraId="723401FC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ایمنی ترابری</w:t>
            </w:r>
          </w:p>
        </w:tc>
      </w:tr>
      <w:tr w:rsidR="00F5168B" w:rsidRPr="001A17A3" w14:paraId="77E1278A" w14:textId="77777777" w:rsidTr="0037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519774AB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4237" w:type="dxa"/>
            <w:shd w:val="clear" w:color="auto" w:fill="FFFFFF" w:themeFill="background1"/>
          </w:tcPr>
          <w:p w14:paraId="3A63B1F7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تحقیق و توسعه با مقاصد ایمنی هسته‌ای و نظارت قانونی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1DAF3583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4128" w:type="dxa"/>
            <w:shd w:val="clear" w:color="auto" w:fill="FFFFFF" w:themeFill="background1"/>
          </w:tcPr>
          <w:p w14:paraId="65A4A1D4" w14:textId="6D3C2F0A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ایمنی</w:t>
            </w:r>
            <w:r w:rsidR="002C41E4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امنیت </w:t>
            </w:r>
            <w:r w:rsidR="002C41E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پادمان </w:t>
            </w: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هسته‌ای</w:t>
            </w:r>
          </w:p>
        </w:tc>
      </w:tr>
    </w:tbl>
    <w:p w14:paraId="7CAD2562" w14:textId="151F9C74" w:rsidR="00FA1DC1" w:rsidRDefault="00FA1DC1" w:rsidP="00834B82">
      <w:pPr>
        <w:tabs>
          <w:tab w:val="left" w:pos="8490"/>
        </w:tabs>
        <w:spacing w:line="276" w:lineRule="auto"/>
        <w:jc w:val="both"/>
        <w:rPr>
          <w:rFonts w:ascii="TimesNewRomanPSMT" w:hAnsi="TimesNewRomanPSMT"/>
          <w:color w:val="242021"/>
          <w:sz w:val="24"/>
          <w:szCs w:val="24"/>
          <w:rtl/>
        </w:rPr>
      </w:pPr>
    </w:p>
    <w:sectPr w:rsidR="00FA1DC1" w:rsidSect="00644169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0"/>
    <w:multiLevelType w:val="hybridMultilevel"/>
    <w:tmpl w:val="944E1FA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5B6647"/>
    <w:multiLevelType w:val="hybridMultilevel"/>
    <w:tmpl w:val="9622192E"/>
    <w:lvl w:ilvl="0" w:tplc="603665D8">
      <w:numFmt w:val="bullet"/>
      <w:lvlText w:val="-"/>
      <w:lvlJc w:val="left"/>
      <w:pPr>
        <w:ind w:left="785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71F44"/>
    <w:multiLevelType w:val="hybridMultilevel"/>
    <w:tmpl w:val="9D38FB3C"/>
    <w:lvl w:ilvl="0" w:tplc="13502200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C1EEA"/>
    <w:multiLevelType w:val="hybridMultilevel"/>
    <w:tmpl w:val="4372D5B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DB314C"/>
    <w:multiLevelType w:val="hybridMultilevel"/>
    <w:tmpl w:val="E21E4D7C"/>
    <w:lvl w:ilvl="0" w:tplc="87A8B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27784"/>
    <w:multiLevelType w:val="hybridMultilevel"/>
    <w:tmpl w:val="B7A4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42917"/>
    <w:multiLevelType w:val="hybridMultilevel"/>
    <w:tmpl w:val="30F0F374"/>
    <w:lvl w:ilvl="0" w:tplc="2D88211A">
      <w:start w:val="1"/>
      <w:numFmt w:val="bullet"/>
      <w:lvlText w:val="-"/>
      <w:lvlJc w:val="left"/>
      <w:pPr>
        <w:ind w:left="207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31D911C9"/>
    <w:multiLevelType w:val="hybridMultilevel"/>
    <w:tmpl w:val="D9D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7521C"/>
    <w:multiLevelType w:val="hybridMultilevel"/>
    <w:tmpl w:val="623027D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2647519"/>
    <w:multiLevelType w:val="hybridMultilevel"/>
    <w:tmpl w:val="27C87E4E"/>
    <w:lvl w:ilvl="0" w:tplc="F01274AA">
      <w:start w:val="1"/>
      <w:numFmt w:val="decimal"/>
      <w:lvlText w:val="%1-"/>
      <w:lvlJc w:val="left"/>
      <w:pPr>
        <w:ind w:left="720" w:hanging="360"/>
      </w:pPr>
      <w:rPr>
        <w:rFonts w:ascii="Courier New" w:eastAsia="Times New Roman" w:hAnsi="Courier New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B76AB"/>
    <w:multiLevelType w:val="hybridMultilevel"/>
    <w:tmpl w:val="69C06DEA"/>
    <w:lvl w:ilvl="0" w:tplc="31A285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C966AE"/>
    <w:multiLevelType w:val="hybridMultilevel"/>
    <w:tmpl w:val="CB32D9F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10"/>
  </w:num>
  <w:num w:numId="9">
    <w:abstractNumId w:val="8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D3"/>
    <w:rsid w:val="00001EF3"/>
    <w:rsid w:val="00012A6B"/>
    <w:rsid w:val="00015236"/>
    <w:rsid w:val="00020E89"/>
    <w:rsid w:val="00035B99"/>
    <w:rsid w:val="000435AC"/>
    <w:rsid w:val="00043749"/>
    <w:rsid w:val="00046C82"/>
    <w:rsid w:val="00062EDD"/>
    <w:rsid w:val="000960F4"/>
    <w:rsid w:val="000A06AA"/>
    <w:rsid w:val="000A412D"/>
    <w:rsid w:val="000A51C7"/>
    <w:rsid w:val="000B72EC"/>
    <w:rsid w:val="000C3050"/>
    <w:rsid w:val="000C7752"/>
    <w:rsid w:val="000D021B"/>
    <w:rsid w:val="000D6FDC"/>
    <w:rsid w:val="000E07C4"/>
    <w:rsid w:val="000E6187"/>
    <w:rsid w:val="0014469A"/>
    <w:rsid w:val="001537C8"/>
    <w:rsid w:val="00154DF3"/>
    <w:rsid w:val="00157B89"/>
    <w:rsid w:val="00160B19"/>
    <w:rsid w:val="00174372"/>
    <w:rsid w:val="001901FE"/>
    <w:rsid w:val="00194647"/>
    <w:rsid w:val="001A17A3"/>
    <w:rsid w:val="001B01FB"/>
    <w:rsid w:val="001B6B51"/>
    <w:rsid w:val="001B6FFB"/>
    <w:rsid w:val="001C42CE"/>
    <w:rsid w:val="001C4614"/>
    <w:rsid w:val="001E5C9C"/>
    <w:rsid w:val="001E7723"/>
    <w:rsid w:val="001F4E2B"/>
    <w:rsid w:val="00202831"/>
    <w:rsid w:val="002037F8"/>
    <w:rsid w:val="0023117B"/>
    <w:rsid w:val="00231857"/>
    <w:rsid w:val="00245620"/>
    <w:rsid w:val="0025077D"/>
    <w:rsid w:val="00254AEB"/>
    <w:rsid w:val="00256A8D"/>
    <w:rsid w:val="00264BE1"/>
    <w:rsid w:val="00271EF1"/>
    <w:rsid w:val="00272250"/>
    <w:rsid w:val="002736F4"/>
    <w:rsid w:val="00276E12"/>
    <w:rsid w:val="00276E75"/>
    <w:rsid w:val="00282A63"/>
    <w:rsid w:val="00283455"/>
    <w:rsid w:val="00283E61"/>
    <w:rsid w:val="002A3C2D"/>
    <w:rsid w:val="002C41E4"/>
    <w:rsid w:val="002E0801"/>
    <w:rsid w:val="003205C0"/>
    <w:rsid w:val="00330D9B"/>
    <w:rsid w:val="003409B7"/>
    <w:rsid w:val="00341B30"/>
    <w:rsid w:val="00355F50"/>
    <w:rsid w:val="00362D8A"/>
    <w:rsid w:val="003708AC"/>
    <w:rsid w:val="003740CC"/>
    <w:rsid w:val="00377D69"/>
    <w:rsid w:val="0039429F"/>
    <w:rsid w:val="003A5C08"/>
    <w:rsid w:val="003A7407"/>
    <w:rsid w:val="003B064E"/>
    <w:rsid w:val="003B6A37"/>
    <w:rsid w:val="003B7E14"/>
    <w:rsid w:val="003C669D"/>
    <w:rsid w:val="003D1B55"/>
    <w:rsid w:val="003D4E43"/>
    <w:rsid w:val="003E3234"/>
    <w:rsid w:val="003E4DF0"/>
    <w:rsid w:val="003F0248"/>
    <w:rsid w:val="00404A42"/>
    <w:rsid w:val="0042461A"/>
    <w:rsid w:val="0045224F"/>
    <w:rsid w:val="004953D5"/>
    <w:rsid w:val="004A3AF6"/>
    <w:rsid w:val="004A658F"/>
    <w:rsid w:val="004A716B"/>
    <w:rsid w:val="004B6194"/>
    <w:rsid w:val="004C0B55"/>
    <w:rsid w:val="004D4210"/>
    <w:rsid w:val="004D6397"/>
    <w:rsid w:val="004F3A69"/>
    <w:rsid w:val="005309B8"/>
    <w:rsid w:val="00534103"/>
    <w:rsid w:val="00536757"/>
    <w:rsid w:val="00585561"/>
    <w:rsid w:val="005A2DB6"/>
    <w:rsid w:val="005B0827"/>
    <w:rsid w:val="005C04CC"/>
    <w:rsid w:val="005E2B54"/>
    <w:rsid w:val="005F0ADF"/>
    <w:rsid w:val="005F5464"/>
    <w:rsid w:val="005F7C00"/>
    <w:rsid w:val="00606D96"/>
    <w:rsid w:val="0063262C"/>
    <w:rsid w:val="00644169"/>
    <w:rsid w:val="006537B9"/>
    <w:rsid w:val="00665BFC"/>
    <w:rsid w:val="00665F4B"/>
    <w:rsid w:val="00675132"/>
    <w:rsid w:val="00676B53"/>
    <w:rsid w:val="00692DCA"/>
    <w:rsid w:val="006A1146"/>
    <w:rsid w:val="006C6342"/>
    <w:rsid w:val="006E08D2"/>
    <w:rsid w:val="006E0988"/>
    <w:rsid w:val="006E26C7"/>
    <w:rsid w:val="006E3F5B"/>
    <w:rsid w:val="006F3A10"/>
    <w:rsid w:val="006F431E"/>
    <w:rsid w:val="006F5A5F"/>
    <w:rsid w:val="006F62DD"/>
    <w:rsid w:val="00706048"/>
    <w:rsid w:val="007102D3"/>
    <w:rsid w:val="007114E5"/>
    <w:rsid w:val="00713555"/>
    <w:rsid w:val="00717442"/>
    <w:rsid w:val="00720E45"/>
    <w:rsid w:val="00746806"/>
    <w:rsid w:val="007612B5"/>
    <w:rsid w:val="00761A41"/>
    <w:rsid w:val="00792FE3"/>
    <w:rsid w:val="00794E09"/>
    <w:rsid w:val="007A2A29"/>
    <w:rsid w:val="007F7A75"/>
    <w:rsid w:val="00804597"/>
    <w:rsid w:val="00806174"/>
    <w:rsid w:val="008062E6"/>
    <w:rsid w:val="008176C3"/>
    <w:rsid w:val="00832DB5"/>
    <w:rsid w:val="00834B82"/>
    <w:rsid w:val="008355FB"/>
    <w:rsid w:val="00846A4E"/>
    <w:rsid w:val="00856346"/>
    <w:rsid w:val="00876493"/>
    <w:rsid w:val="00880FD5"/>
    <w:rsid w:val="008966B3"/>
    <w:rsid w:val="008C011D"/>
    <w:rsid w:val="008C58C0"/>
    <w:rsid w:val="008E5519"/>
    <w:rsid w:val="008F284E"/>
    <w:rsid w:val="00905A3B"/>
    <w:rsid w:val="009176AC"/>
    <w:rsid w:val="0092493E"/>
    <w:rsid w:val="0096402F"/>
    <w:rsid w:val="00977956"/>
    <w:rsid w:val="00994515"/>
    <w:rsid w:val="009B1A84"/>
    <w:rsid w:val="009B47DA"/>
    <w:rsid w:val="009B766F"/>
    <w:rsid w:val="009C0603"/>
    <w:rsid w:val="009C2EEF"/>
    <w:rsid w:val="009E7B25"/>
    <w:rsid w:val="009F0B02"/>
    <w:rsid w:val="009F20D8"/>
    <w:rsid w:val="009F5B38"/>
    <w:rsid w:val="00A13549"/>
    <w:rsid w:val="00A338AD"/>
    <w:rsid w:val="00A34F7D"/>
    <w:rsid w:val="00A414D2"/>
    <w:rsid w:val="00A808F1"/>
    <w:rsid w:val="00A93A9E"/>
    <w:rsid w:val="00A93EEC"/>
    <w:rsid w:val="00A957C1"/>
    <w:rsid w:val="00AA19FA"/>
    <w:rsid w:val="00AA437F"/>
    <w:rsid w:val="00AA4AA5"/>
    <w:rsid w:val="00AC1362"/>
    <w:rsid w:val="00AD6B50"/>
    <w:rsid w:val="00AE3396"/>
    <w:rsid w:val="00AF61CF"/>
    <w:rsid w:val="00B04709"/>
    <w:rsid w:val="00B27D94"/>
    <w:rsid w:val="00B52D43"/>
    <w:rsid w:val="00B54D9B"/>
    <w:rsid w:val="00B7195D"/>
    <w:rsid w:val="00B76D5F"/>
    <w:rsid w:val="00B856B5"/>
    <w:rsid w:val="00BA486B"/>
    <w:rsid w:val="00BD2DCD"/>
    <w:rsid w:val="00BD3981"/>
    <w:rsid w:val="00BE1AA2"/>
    <w:rsid w:val="00BE4493"/>
    <w:rsid w:val="00BE7826"/>
    <w:rsid w:val="00BF7D4C"/>
    <w:rsid w:val="00C05195"/>
    <w:rsid w:val="00C102C0"/>
    <w:rsid w:val="00C1073C"/>
    <w:rsid w:val="00C16211"/>
    <w:rsid w:val="00C219F9"/>
    <w:rsid w:val="00C41195"/>
    <w:rsid w:val="00C54260"/>
    <w:rsid w:val="00C63DD3"/>
    <w:rsid w:val="00C6588D"/>
    <w:rsid w:val="00C73FF7"/>
    <w:rsid w:val="00C811CA"/>
    <w:rsid w:val="00C839BB"/>
    <w:rsid w:val="00CA41B1"/>
    <w:rsid w:val="00CB4F84"/>
    <w:rsid w:val="00CD105C"/>
    <w:rsid w:val="00CF1FE6"/>
    <w:rsid w:val="00CF595D"/>
    <w:rsid w:val="00D20586"/>
    <w:rsid w:val="00D21B0F"/>
    <w:rsid w:val="00D2375F"/>
    <w:rsid w:val="00D31D9A"/>
    <w:rsid w:val="00D334AC"/>
    <w:rsid w:val="00D379D1"/>
    <w:rsid w:val="00D56624"/>
    <w:rsid w:val="00D74039"/>
    <w:rsid w:val="00DA0A8D"/>
    <w:rsid w:val="00DA1933"/>
    <w:rsid w:val="00DA67AE"/>
    <w:rsid w:val="00DD0B14"/>
    <w:rsid w:val="00DD7A59"/>
    <w:rsid w:val="00DE18C5"/>
    <w:rsid w:val="00DE198E"/>
    <w:rsid w:val="00DE6D5E"/>
    <w:rsid w:val="00E00F3B"/>
    <w:rsid w:val="00E15F38"/>
    <w:rsid w:val="00E24D5E"/>
    <w:rsid w:val="00E270B6"/>
    <w:rsid w:val="00E310A6"/>
    <w:rsid w:val="00E37DB0"/>
    <w:rsid w:val="00E6673F"/>
    <w:rsid w:val="00E757D1"/>
    <w:rsid w:val="00E803B5"/>
    <w:rsid w:val="00E8746B"/>
    <w:rsid w:val="00E875C2"/>
    <w:rsid w:val="00E945D3"/>
    <w:rsid w:val="00E94867"/>
    <w:rsid w:val="00EE60AD"/>
    <w:rsid w:val="00EF2EAE"/>
    <w:rsid w:val="00F11B6A"/>
    <w:rsid w:val="00F172FF"/>
    <w:rsid w:val="00F17A6A"/>
    <w:rsid w:val="00F371BC"/>
    <w:rsid w:val="00F47FA5"/>
    <w:rsid w:val="00F5168B"/>
    <w:rsid w:val="00F5543F"/>
    <w:rsid w:val="00F6667A"/>
    <w:rsid w:val="00F72944"/>
    <w:rsid w:val="00F82B5C"/>
    <w:rsid w:val="00F908DC"/>
    <w:rsid w:val="00F95AA9"/>
    <w:rsid w:val="00FA1DC1"/>
    <w:rsid w:val="00FA1EE3"/>
    <w:rsid w:val="00FB2971"/>
    <w:rsid w:val="00FB4787"/>
    <w:rsid w:val="00FB498B"/>
    <w:rsid w:val="00FC1E21"/>
    <w:rsid w:val="00FC3AC7"/>
    <w:rsid w:val="00FD0F4E"/>
    <w:rsid w:val="00FD34B4"/>
    <w:rsid w:val="00F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7A3C"/>
  <w15:chartTrackingRefBased/>
  <w15:docId w15:val="{95911279-F437-4D01-AF46-BC03CC37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5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5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766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766F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B52D4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19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A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E55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5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A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76E75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paragraph" w:customStyle="1" w:styleId="Default">
    <w:name w:val="Default"/>
    <w:rsid w:val="00D33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A7"/>
    <w:uiPriority w:val="99"/>
    <w:rsid w:val="00D334AC"/>
    <w:rPr>
      <w:color w:val="000000"/>
      <w:sz w:val="21"/>
      <w:szCs w:val="21"/>
    </w:rPr>
  </w:style>
  <w:style w:type="table" w:styleId="GridTable2-Accent1">
    <w:name w:val="Grid Table 2 Accent 1"/>
    <w:basedOn w:val="TableNormal"/>
    <w:uiPriority w:val="47"/>
    <w:rsid w:val="00792FE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jlqj4b">
    <w:name w:val="jlqj4b"/>
    <w:basedOn w:val="DefaultParagraphFont"/>
    <w:rsid w:val="000E6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00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5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Ahmad Karamloo Ghezeljeh</cp:lastModifiedBy>
  <cp:revision>320</cp:revision>
  <cp:lastPrinted>2022-01-22T13:17:00Z</cp:lastPrinted>
  <dcterms:created xsi:type="dcterms:W3CDTF">2022-01-10T19:42:00Z</dcterms:created>
  <dcterms:modified xsi:type="dcterms:W3CDTF">2022-01-24T06:50:00Z</dcterms:modified>
</cp:coreProperties>
</file>