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CD" w:rsidRDefault="00F573A2" w:rsidP="00D777E2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دیلمی : </w:t>
      </w:r>
      <w:r w:rsidR="00E51892" w:rsidRPr="00C931F8">
        <w:rPr>
          <w:rFonts w:cs="B Nazanin" w:hint="cs"/>
          <w:b/>
          <w:bCs/>
          <w:sz w:val="28"/>
          <w:szCs w:val="28"/>
          <w:rtl/>
          <w:lang w:bidi="fa-IR"/>
        </w:rPr>
        <w:t>بومی سازی صنعت احداث و بهره برداری  نیروگاه های هسته ای</w:t>
      </w:r>
    </w:p>
    <w:p w:rsidR="00CC1EFD" w:rsidRPr="00C931F8" w:rsidRDefault="00CC1EFD" w:rsidP="00D777E2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C1EFD" w:rsidRPr="007B7085" w:rsidRDefault="00CC1EFD" w:rsidP="00D777E2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B7085">
        <w:rPr>
          <w:rFonts w:cs="B Nazanin" w:hint="cs"/>
          <w:b/>
          <w:bCs/>
          <w:sz w:val="28"/>
          <w:szCs w:val="28"/>
          <w:rtl/>
          <w:lang w:bidi="fa-IR"/>
        </w:rPr>
        <w:t xml:space="preserve">مشارکت داخلی در </w:t>
      </w:r>
      <w:r w:rsidR="00553809" w:rsidRPr="007B7085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یکم </w:t>
      </w:r>
      <w:r w:rsidRPr="007B7085">
        <w:rPr>
          <w:rFonts w:cs="B Nazanin" w:hint="cs"/>
          <w:b/>
          <w:bCs/>
          <w:sz w:val="28"/>
          <w:szCs w:val="28"/>
          <w:rtl/>
          <w:lang w:bidi="fa-IR"/>
        </w:rPr>
        <w:t>نیروگاه اتمی بوشهر</w:t>
      </w:r>
      <w:r w:rsidR="00553809" w:rsidRPr="007B7085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D777E2" w:rsidRPr="002C1A78" w:rsidRDefault="00CC1EFD" w:rsidP="007B7085">
      <w:pPr>
        <w:tabs>
          <w:tab w:val="right" w:pos="-1987"/>
        </w:tabs>
        <w:bidi/>
        <w:spacing w:before="60" w:line="276" w:lineRule="auto"/>
        <w:jc w:val="both"/>
        <w:rPr>
          <w:rFonts w:cs="B Nazanin"/>
          <w:sz w:val="28"/>
          <w:szCs w:val="28"/>
          <w:lang w:bidi="fa-IR"/>
        </w:rPr>
      </w:pPr>
      <w:r w:rsidRPr="002C1A78">
        <w:rPr>
          <w:rFonts w:cs="B Nazanin" w:hint="cs"/>
          <w:sz w:val="28"/>
          <w:szCs w:val="28"/>
          <w:rtl/>
          <w:lang w:bidi="fa-IR"/>
        </w:rPr>
        <w:t>مشارکت داخلی در فرایند تکمیل واحد1 نیروگاه اتمی بوشهر عمدتا به تکمیل سازه های ساختمانی و زیر ساختهای تاسیساتی مربوط می شود.</w:t>
      </w:r>
      <w:r w:rsidRPr="002C1A78">
        <w:rPr>
          <w:rFonts w:cs="B Nazanin"/>
          <w:sz w:val="28"/>
          <w:szCs w:val="28"/>
          <w:lang w:bidi="fa-IR"/>
        </w:rPr>
        <w:t xml:space="preserve"> </w:t>
      </w:r>
      <w:r w:rsidRPr="002C1A78">
        <w:rPr>
          <w:rFonts w:cs="B Nazanin" w:hint="cs"/>
          <w:sz w:val="28"/>
          <w:szCs w:val="28"/>
          <w:rtl/>
          <w:lang w:bidi="fa-IR"/>
        </w:rPr>
        <w:t xml:space="preserve">با این وجود پس از راه اندازی و اتمام دوره بهره برداری آزمایشی 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C1A78">
        <w:rPr>
          <w:rFonts w:cs="B Nazanin" w:hint="cs"/>
          <w:sz w:val="28"/>
          <w:szCs w:val="28"/>
          <w:rtl/>
          <w:lang w:bidi="fa-IR"/>
        </w:rPr>
        <w:t>تحویل موقت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 نیروگاه</w:t>
      </w:r>
      <w:r w:rsidRPr="002C1A78">
        <w:rPr>
          <w:rFonts w:cs="B Nazanin" w:hint="cs"/>
          <w:sz w:val="28"/>
          <w:szCs w:val="28"/>
          <w:rtl/>
          <w:lang w:bidi="fa-IR"/>
        </w:rPr>
        <w:t>، مشارکت داخلی در زمینه های مختلف مرتبط با فاز بهره برداری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 شامل </w:t>
      </w:r>
      <w:r w:rsidRPr="002C1A78">
        <w:rPr>
          <w:rFonts w:cs="B Nazanin" w:hint="cs"/>
          <w:sz w:val="28"/>
          <w:szCs w:val="28"/>
          <w:rtl/>
          <w:lang w:bidi="fa-IR"/>
        </w:rPr>
        <w:t xml:space="preserve">بهره برداری تجاری، 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آموزش، </w:t>
      </w:r>
      <w:r w:rsidRPr="002C1A78">
        <w:rPr>
          <w:rFonts w:cs="B Nazanin" w:hint="cs"/>
          <w:sz w:val="28"/>
          <w:szCs w:val="28"/>
          <w:rtl/>
          <w:lang w:bidi="fa-IR"/>
        </w:rPr>
        <w:t>نگهداری و تعمیرات، پشتیبانی علمی فنی از نیروگاه، همراه با جایگزینی تقریبا کامل کارشناسان روسی با کارکنان ایرانی آموزش دیده و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 تجهیز منابع انسانی بهره برداری</w:t>
      </w:r>
      <w:r w:rsidRPr="002C1A78">
        <w:rPr>
          <w:rFonts w:cs="B Nazanin" w:hint="cs"/>
          <w:sz w:val="28"/>
          <w:szCs w:val="28"/>
          <w:rtl/>
          <w:lang w:bidi="fa-IR"/>
        </w:rPr>
        <w:t xml:space="preserve"> ، سال به سال افزایش چشمگیر داشته و در چند سال اخیر، ارزیابی مثبت و تحسین مراجع نظارتی بین المللی نظیر انجمن جهانی بهره برداران نیروگاههای هسته ای و گروه نظارت بر 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ایمنی نیروگاههای هسته ای آژانس </w:t>
      </w:r>
      <w:r w:rsidRPr="002C1A78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7B7085">
        <w:rPr>
          <w:rFonts w:cs="B Nazanin" w:hint="cs"/>
          <w:sz w:val="28"/>
          <w:szCs w:val="28"/>
          <w:rtl/>
          <w:lang w:bidi="fa-IR"/>
        </w:rPr>
        <w:t xml:space="preserve">به همراه </w:t>
      </w:r>
      <w:r w:rsidRPr="002C1A78">
        <w:rPr>
          <w:rFonts w:cs="B Nazanin" w:hint="cs"/>
          <w:sz w:val="28"/>
          <w:szCs w:val="28"/>
          <w:rtl/>
          <w:lang w:bidi="fa-IR"/>
        </w:rPr>
        <w:t>داشته است. طبق گزارش سالانه شرکت تولید وتوسعه ، در حال حاضر بیش از90 درصد فعالیتهای برنامه ریزی و مدیریت نگهداری و تعمیرات سالانه و ادواری نیروگاه توسط شرکت تپنا ( اقماری شرکت تولید و توسعه ) انجام می شود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>.</w:t>
      </w:r>
      <w:r w:rsidRPr="002C1A78">
        <w:rPr>
          <w:rFonts w:cs="B Nazanin" w:hint="cs"/>
          <w:sz w:val="28"/>
          <w:szCs w:val="28"/>
          <w:rtl/>
          <w:lang w:bidi="fa-IR"/>
        </w:rPr>
        <w:t xml:space="preserve"> ضمن آنکه 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به موازات موارد مرتبط با بهره برداری، برنامه ریزی هایی نیز جهت استقرار سازمان پشتیبانی فنی داخلی  </w:t>
      </w:r>
      <w:r w:rsidR="008A46C1" w:rsidRPr="002C1A78">
        <w:rPr>
          <w:rFonts w:cs="B Nazanin"/>
          <w:sz w:val="28"/>
          <w:szCs w:val="28"/>
          <w:lang w:bidi="fa-IR"/>
        </w:rPr>
        <w:t>(Internal Technical Support Organization)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 صورت گرفته که بخش عمده مطالعات و محاسبات مربوط به مدیریت سوخت نیروگاه، تحلیل رویدادهای بهره برداری و حوادث، و ارایه مشاوره های فنی مهندسی به شرکت بهره بردار نیروگاه بوشهر، توسط </w:t>
      </w:r>
      <w:r w:rsidR="007B7085">
        <w:rPr>
          <w:rFonts w:cs="B Nazanin" w:hint="cs"/>
          <w:sz w:val="28"/>
          <w:szCs w:val="28"/>
          <w:rtl/>
          <w:lang w:bidi="fa-IR"/>
        </w:rPr>
        <w:t xml:space="preserve">متخصصین </w:t>
      </w:r>
      <w:r w:rsidR="007B7085">
        <w:rPr>
          <w:rFonts w:cs="B Nazanin"/>
          <w:sz w:val="28"/>
          <w:szCs w:val="28"/>
          <w:lang w:bidi="fa-IR"/>
        </w:rPr>
        <w:t>ITSO</w:t>
      </w:r>
      <w:r w:rsidR="008A46C1" w:rsidRPr="002C1A78">
        <w:rPr>
          <w:rFonts w:cs="B Nazanin" w:hint="cs"/>
          <w:sz w:val="28"/>
          <w:szCs w:val="28"/>
          <w:rtl/>
          <w:lang w:bidi="fa-IR"/>
        </w:rPr>
        <w:t xml:space="preserve"> صورت می گیرد</w:t>
      </w:r>
      <w:r w:rsidR="009E4D36" w:rsidRPr="002C1A78">
        <w:rPr>
          <w:rFonts w:cs="B Nazanin" w:hint="cs"/>
          <w:sz w:val="28"/>
          <w:szCs w:val="28"/>
          <w:rtl/>
          <w:lang w:bidi="fa-IR"/>
        </w:rPr>
        <w:t xml:space="preserve">. </w:t>
      </w:r>
      <w:r w:rsidR="00D777E2" w:rsidRPr="002C1A78">
        <w:rPr>
          <w:rFonts w:cs="B Nazanin" w:hint="cs"/>
          <w:sz w:val="28"/>
          <w:szCs w:val="28"/>
          <w:rtl/>
          <w:lang w:bidi="fa-IR"/>
        </w:rPr>
        <w:t>تجربه بهره برداری واحد شماره 1 نیروگاه بوشهر نشان داده است که مشارکت داخلی در زمینه های مهمی نظیر بهره برداری ایمن و پایا از نیروگاه، پشتیبانی علمی فنی از بهره برداری، نگهداری و تعمیرات، عملیات تعویض سوخت، پسمانداری هسته ای، ارزیابی ایمنی، آموزش و تجهیز نیروی انسانی</w:t>
      </w:r>
      <w:r w:rsidR="007B70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77E2" w:rsidRPr="002C1A78">
        <w:rPr>
          <w:rFonts w:cs="B Nazanin" w:hint="cs"/>
          <w:sz w:val="28"/>
          <w:szCs w:val="28"/>
          <w:rtl/>
          <w:lang w:bidi="fa-IR"/>
        </w:rPr>
        <w:t xml:space="preserve">می تواند تا حد خود اتکایی </w:t>
      </w:r>
      <w:r w:rsidR="007B7085">
        <w:rPr>
          <w:rFonts w:cs="B Nazanin" w:hint="cs"/>
          <w:sz w:val="28"/>
          <w:szCs w:val="28"/>
          <w:rtl/>
          <w:lang w:bidi="fa-IR"/>
        </w:rPr>
        <w:t>افزایش یابد</w:t>
      </w:r>
      <w:r w:rsidR="00D777E2" w:rsidRPr="002C1A78">
        <w:rPr>
          <w:rFonts w:cs="B Nazanin" w:hint="cs"/>
          <w:sz w:val="28"/>
          <w:szCs w:val="28"/>
          <w:rtl/>
          <w:lang w:bidi="fa-IR"/>
        </w:rPr>
        <w:t xml:space="preserve">. مشارکت داخلی در بهره برداری ایمن و پایا از نیروگاه در مدت عمر اقتصادی ( 40-60 سال) ، از اهمیت راهبردی برخوردار </w:t>
      </w:r>
      <w:r w:rsidR="007B7085">
        <w:rPr>
          <w:rFonts w:cs="B Nazanin" w:hint="cs"/>
          <w:sz w:val="28"/>
          <w:szCs w:val="28"/>
          <w:rtl/>
          <w:lang w:bidi="fa-IR"/>
        </w:rPr>
        <w:t>بوده</w:t>
      </w:r>
      <w:r w:rsidR="00D777E2" w:rsidRPr="002C1A78">
        <w:rPr>
          <w:rFonts w:cs="B Nazanin" w:hint="cs"/>
          <w:sz w:val="28"/>
          <w:szCs w:val="28"/>
          <w:rtl/>
          <w:lang w:bidi="fa-IR"/>
        </w:rPr>
        <w:t xml:space="preserve"> و می تواند برای کشور، در سطح منطقه ای و بین المللی، اعتبار ویژه ای ایجاد کند.  </w:t>
      </w:r>
    </w:p>
    <w:p w:rsidR="008A46C1" w:rsidRDefault="008A46C1" w:rsidP="00D777E2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:rsidR="00CC1EFD" w:rsidRPr="002C1A78" w:rsidRDefault="003C4C91" w:rsidP="007B708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C1EFD" w:rsidRPr="002C1A78">
        <w:rPr>
          <w:rFonts w:cs="B Nazanin" w:hint="cs"/>
          <w:b/>
          <w:bCs/>
          <w:sz w:val="28"/>
          <w:szCs w:val="28"/>
          <w:rtl/>
          <w:lang w:bidi="fa-IR"/>
        </w:rPr>
        <w:t xml:space="preserve">مشارکت داخلی در احداث </w:t>
      </w:r>
      <w:r w:rsidR="00553809" w:rsidRPr="002C1A78">
        <w:rPr>
          <w:rFonts w:cs="B Nazanin" w:hint="cs"/>
          <w:b/>
          <w:bCs/>
          <w:sz w:val="28"/>
          <w:szCs w:val="28"/>
          <w:rtl/>
          <w:lang w:bidi="fa-IR"/>
        </w:rPr>
        <w:t>واحدهای دو و سه</w:t>
      </w:r>
      <w:r w:rsidR="00CC1EFD" w:rsidRPr="002C1A78">
        <w:rPr>
          <w:rFonts w:cs="B Nazanin" w:hint="cs"/>
          <w:b/>
          <w:bCs/>
          <w:sz w:val="28"/>
          <w:szCs w:val="28"/>
          <w:rtl/>
          <w:lang w:bidi="fa-IR"/>
        </w:rPr>
        <w:t xml:space="preserve"> نیروگاه اتمی بوشهر</w:t>
      </w:r>
      <w:r w:rsidR="00553809" w:rsidRPr="002C1A78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CC1EE8" w:rsidRDefault="00CC1EE8" w:rsidP="007B7085">
      <w:pPr>
        <w:bidi/>
        <w:spacing w:before="120"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777E2">
        <w:rPr>
          <w:rFonts w:cs="B Nazanin" w:hint="cs"/>
          <w:sz w:val="28"/>
          <w:szCs w:val="28"/>
          <w:rtl/>
          <w:lang w:bidi="fa-IR"/>
        </w:rPr>
        <w:lastRenderedPageBreak/>
        <w:t xml:space="preserve">با آنکه قرارداد احداث واحدهای دو و سه نیروگاه اتمی بوشهر بصورت کلید در دست می باشد، اما در قرارداد و پیوستهای آن، جهت افزایش سهم مشارکت داخلی، بستر های مناسبی پیش بینی شده است. </w:t>
      </w:r>
      <w:r>
        <w:rPr>
          <w:rFonts w:cs="B Nazanin" w:hint="cs"/>
          <w:sz w:val="28"/>
          <w:szCs w:val="28"/>
          <w:rtl/>
          <w:lang w:bidi="fa-IR"/>
        </w:rPr>
        <w:t xml:space="preserve">علاوه بر مبلغ در نظر گرفته در قرارداد بصورت ریالی، پیمانکار ملزم گردیده است که 10% مبلغ کل قرارداد بصورت یورویی را نیز برای تامین تجهیزات و سرویس خدمات از بازار داخل کشور </w:t>
      </w:r>
      <w:r w:rsidR="007B7085">
        <w:rPr>
          <w:rFonts w:cs="B Nazanin" w:hint="cs"/>
          <w:sz w:val="28"/>
          <w:szCs w:val="28"/>
          <w:rtl/>
          <w:lang w:bidi="fa-IR"/>
        </w:rPr>
        <w:t>اختصاص دهد</w:t>
      </w:r>
      <w:r>
        <w:rPr>
          <w:rFonts w:cs="B Nazanin" w:hint="cs"/>
          <w:sz w:val="28"/>
          <w:szCs w:val="28"/>
          <w:rtl/>
          <w:lang w:bidi="fa-IR"/>
        </w:rPr>
        <w:t xml:space="preserve">. همچنین </w:t>
      </w:r>
      <w:r w:rsidR="007B7085">
        <w:rPr>
          <w:rFonts w:cs="B Nazanin" w:hint="cs"/>
          <w:sz w:val="28"/>
          <w:szCs w:val="28"/>
          <w:rtl/>
          <w:lang w:bidi="fa-IR"/>
        </w:rPr>
        <w:t xml:space="preserve">20% </w:t>
      </w:r>
      <w:r>
        <w:rPr>
          <w:rFonts w:cs="B Nazanin" w:hint="cs"/>
          <w:sz w:val="28"/>
          <w:szCs w:val="28"/>
          <w:rtl/>
          <w:lang w:bidi="fa-IR"/>
        </w:rPr>
        <w:t xml:space="preserve"> از تخصیص منابع مالی در زمینه تامین تجهیزات با دوره ساخت کوتاه و یا میان مدت نیز به تامین از داخل اختصاص پیدا کرده‌است. در زمینه اجرا نیز،</w:t>
      </w:r>
      <w:r w:rsidR="00B91F6F">
        <w:rPr>
          <w:rFonts w:cs="B Nazanin" w:hint="cs"/>
          <w:sz w:val="28"/>
          <w:szCs w:val="28"/>
          <w:rtl/>
          <w:lang w:bidi="fa-IR"/>
        </w:rPr>
        <w:t xml:space="preserve">  احداث50 عدد از ساختمانها و تاسیسات نیروگاه در قالب یک پیوست به کارفرما سپرده است. ضمن آنکه احداث سایر ساختمان که حدود </w:t>
      </w:r>
      <w:r w:rsidR="007B7085">
        <w:rPr>
          <w:rFonts w:cs="B Nazanin" w:hint="cs"/>
          <w:sz w:val="28"/>
          <w:szCs w:val="28"/>
          <w:rtl/>
          <w:lang w:bidi="fa-IR"/>
        </w:rPr>
        <w:t>21%</w:t>
      </w:r>
      <w:r w:rsidR="00B91F6F">
        <w:rPr>
          <w:rFonts w:cs="B Nazanin" w:hint="cs"/>
          <w:sz w:val="28"/>
          <w:szCs w:val="28"/>
          <w:rtl/>
          <w:lang w:bidi="fa-IR"/>
        </w:rPr>
        <w:t xml:space="preserve"> قیمت قرارداد را شامل</w:t>
      </w:r>
      <w:r w:rsidR="007B7085">
        <w:rPr>
          <w:rFonts w:cs="B Nazanin" w:hint="cs"/>
          <w:sz w:val="28"/>
          <w:szCs w:val="28"/>
          <w:rtl/>
          <w:lang w:bidi="fa-IR"/>
        </w:rPr>
        <w:t xml:space="preserve"> شده</w:t>
      </w:r>
      <w:r w:rsidR="00B91F6F">
        <w:rPr>
          <w:rFonts w:cs="B Nazanin" w:hint="cs"/>
          <w:sz w:val="28"/>
          <w:szCs w:val="28"/>
          <w:rtl/>
          <w:lang w:bidi="fa-IR"/>
        </w:rPr>
        <w:t xml:space="preserve"> و در تعهد پیمانکار می باشد نیز در عمل توسط شرکتهای ساختمانی داخلی انجام می گردد. </w:t>
      </w:r>
      <w:r w:rsidR="00D777E2">
        <w:rPr>
          <w:rFonts w:cs="B Nazanin" w:hint="cs"/>
          <w:sz w:val="28"/>
          <w:szCs w:val="28"/>
          <w:rtl/>
          <w:lang w:bidi="fa-IR"/>
        </w:rPr>
        <w:t>در صورت تحقق فاز دوم قرارداد، مبنی بر احداث دو واحد دیگر علاوه بر واحدهای 2 و 3، برنامه ریزی جهت مشارکت حداقل 70% شرکت های ایرانی در ساخت و 40% در نصب برای پیمانکار الزامی در نظر گرفته شده است.</w:t>
      </w:r>
    </w:p>
    <w:p w:rsidR="00CC1EFD" w:rsidRPr="00D777E2" w:rsidRDefault="00CC1EFD" w:rsidP="00D777E2">
      <w:pPr>
        <w:tabs>
          <w:tab w:val="right" w:pos="-4397"/>
          <w:tab w:val="right" w:pos="-1987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777E2">
        <w:rPr>
          <w:rFonts w:cs="B Nazanin" w:hint="cs"/>
          <w:sz w:val="28"/>
          <w:szCs w:val="28"/>
          <w:rtl/>
          <w:lang w:bidi="fa-IR"/>
        </w:rPr>
        <w:t xml:space="preserve">نکاتی که در این مورد قابل توجه به نظر می رسد به شرح زیر است : </w:t>
      </w:r>
      <w:r w:rsidRPr="00D777E2">
        <w:rPr>
          <w:rFonts w:cs="B Nazanin"/>
          <w:sz w:val="28"/>
          <w:szCs w:val="28"/>
          <w:rtl/>
          <w:lang w:bidi="fa-IR"/>
        </w:rPr>
        <w:tab/>
      </w:r>
    </w:p>
    <w:p w:rsidR="00CC1EFD" w:rsidRPr="00D777E2" w:rsidRDefault="00CC1EFD" w:rsidP="00D777E2">
      <w:pPr>
        <w:pStyle w:val="ListParagraph"/>
        <w:numPr>
          <w:ilvl w:val="0"/>
          <w:numId w:val="8"/>
        </w:numPr>
        <w:tabs>
          <w:tab w:val="right" w:pos="-1278"/>
        </w:tabs>
        <w:bidi/>
        <w:spacing w:before="60" w:line="276" w:lineRule="auto"/>
        <w:ind w:left="565" w:hanging="426"/>
        <w:contextualSpacing w:val="0"/>
        <w:jc w:val="both"/>
        <w:rPr>
          <w:rFonts w:cs="B Nazanin"/>
          <w:sz w:val="28"/>
          <w:szCs w:val="28"/>
          <w:lang w:bidi="fa-IR"/>
        </w:rPr>
      </w:pPr>
      <w:r w:rsidRPr="00D777E2">
        <w:rPr>
          <w:rFonts w:cs="B Nazanin" w:hint="cs"/>
          <w:sz w:val="28"/>
          <w:szCs w:val="28"/>
          <w:rtl/>
          <w:lang w:bidi="fa-IR"/>
        </w:rPr>
        <w:t>این میزان مشارکت، در صورت تحقق، برای اولین تجربه  مشارکت داخلی در احداث نیروگاه هسته ای، رقم قابل توجهی است و یک فرصت استثنایی را در مقابل صنایع داخلی قرار می دهد. تحقق هدف مشارکت صنایع داخلی در صورتی میسر خواهد شد که حمایت‌های لازم حداقل با پرداخت هزینه‌های توسعه‌ فناوری و یا امکانات فنی آنها و ایجاد انگیزه اقتصادی صورت گیرد.</w:t>
      </w:r>
    </w:p>
    <w:p w:rsidR="00CC1EFD" w:rsidRPr="00D777E2" w:rsidRDefault="00851A9D" w:rsidP="00D777E2">
      <w:pPr>
        <w:pStyle w:val="ListParagraph"/>
        <w:numPr>
          <w:ilvl w:val="0"/>
          <w:numId w:val="8"/>
        </w:numPr>
        <w:tabs>
          <w:tab w:val="right" w:pos="423"/>
        </w:tabs>
        <w:bidi/>
        <w:spacing w:before="60" w:line="276" w:lineRule="auto"/>
        <w:ind w:left="565" w:hanging="426"/>
        <w:contextualSpacing w:val="0"/>
        <w:jc w:val="both"/>
        <w:rPr>
          <w:rFonts w:cs="B Nazanin"/>
          <w:sz w:val="28"/>
          <w:szCs w:val="28"/>
          <w:lang w:bidi="fa-IR"/>
        </w:rPr>
      </w:pPr>
      <w:r w:rsidRPr="00D777E2">
        <w:rPr>
          <w:rFonts w:cs="B Nazanin" w:hint="cs"/>
          <w:sz w:val="28"/>
          <w:szCs w:val="28"/>
          <w:rtl/>
          <w:lang w:bidi="fa-IR"/>
        </w:rPr>
        <w:t xml:space="preserve">بازه واقع بینانه مشارکت داخلی برای نیروگاههای بعدی در افق دو دهه آتی، وابسته به </w:t>
      </w:r>
      <w:r w:rsidR="00B91F6F" w:rsidRPr="00D777E2">
        <w:rPr>
          <w:rFonts w:cs="B Nazanin" w:hint="cs"/>
          <w:sz w:val="28"/>
          <w:szCs w:val="28"/>
          <w:rtl/>
          <w:lang w:bidi="fa-IR"/>
        </w:rPr>
        <w:t xml:space="preserve">نحوه </w:t>
      </w:r>
      <w:r w:rsidR="00CC1EFD" w:rsidRPr="00D777E2">
        <w:rPr>
          <w:rFonts w:cs="B Nazanin" w:hint="cs"/>
          <w:sz w:val="28"/>
          <w:szCs w:val="28"/>
          <w:rtl/>
          <w:lang w:bidi="fa-IR"/>
        </w:rPr>
        <w:t xml:space="preserve">همراهی و همکاری سایر صنایع و سایر عوامل مربوطه، </w:t>
      </w:r>
      <w:r w:rsidRPr="00D777E2">
        <w:rPr>
          <w:rFonts w:cs="B Nazanin" w:hint="cs"/>
          <w:sz w:val="28"/>
          <w:szCs w:val="28"/>
          <w:rtl/>
          <w:lang w:bidi="fa-IR"/>
        </w:rPr>
        <w:t>در پروژه احداث واحد های دو و سه می باشد</w:t>
      </w:r>
      <w:r w:rsidR="00CC1EFD" w:rsidRPr="00D777E2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C1EFD" w:rsidRPr="00D777E2" w:rsidRDefault="00CC1EFD" w:rsidP="007B7085">
      <w:pPr>
        <w:pStyle w:val="ListParagraph"/>
        <w:numPr>
          <w:ilvl w:val="0"/>
          <w:numId w:val="7"/>
        </w:numPr>
        <w:tabs>
          <w:tab w:val="right" w:pos="-2554"/>
          <w:tab w:val="right" w:pos="-1136"/>
        </w:tabs>
        <w:bidi/>
        <w:spacing w:before="60" w:line="276" w:lineRule="auto"/>
        <w:ind w:left="567" w:hanging="425"/>
        <w:contextualSpacing w:val="0"/>
        <w:jc w:val="both"/>
        <w:rPr>
          <w:rFonts w:cs="B Nazanin"/>
          <w:sz w:val="28"/>
          <w:szCs w:val="28"/>
          <w:lang w:bidi="fa-IR"/>
        </w:rPr>
      </w:pPr>
      <w:r w:rsidRPr="00D777E2">
        <w:rPr>
          <w:rFonts w:cs="B Nazanin" w:hint="cs"/>
          <w:sz w:val="28"/>
          <w:szCs w:val="28"/>
          <w:rtl/>
          <w:lang w:bidi="fa-IR"/>
        </w:rPr>
        <w:t xml:space="preserve">افزایش میزان مشارکت داخلی، لزوما به معنای کاهش وابستگی به خارج </w:t>
      </w:r>
      <w:r w:rsidR="00D777E2" w:rsidRPr="00D777E2">
        <w:rPr>
          <w:rFonts w:cs="B Nazanin" w:hint="cs"/>
          <w:sz w:val="28"/>
          <w:szCs w:val="28"/>
          <w:rtl/>
          <w:lang w:bidi="fa-IR"/>
        </w:rPr>
        <w:t>نمی باشد</w:t>
      </w:r>
      <w:r w:rsidRPr="00D777E2">
        <w:rPr>
          <w:rFonts w:cs="B Nazanin" w:hint="cs"/>
          <w:sz w:val="28"/>
          <w:szCs w:val="28"/>
          <w:rtl/>
          <w:lang w:bidi="fa-IR"/>
        </w:rPr>
        <w:t xml:space="preserve">. تجربه بهره برداری واحد شماره یک نیروگاه </w:t>
      </w:r>
      <w:r w:rsidR="00D777E2" w:rsidRPr="00D777E2">
        <w:rPr>
          <w:rFonts w:cs="B Nazanin" w:hint="cs"/>
          <w:sz w:val="28"/>
          <w:szCs w:val="28"/>
          <w:rtl/>
          <w:lang w:bidi="fa-IR"/>
        </w:rPr>
        <w:t xml:space="preserve">اتمی </w:t>
      </w:r>
      <w:r w:rsidRPr="00D777E2">
        <w:rPr>
          <w:rFonts w:cs="B Nazanin" w:hint="cs"/>
          <w:sz w:val="28"/>
          <w:szCs w:val="28"/>
          <w:rtl/>
          <w:lang w:bidi="fa-IR"/>
        </w:rPr>
        <w:t>بوشهر</w:t>
      </w:r>
      <w:r w:rsidR="00D777E2" w:rsidRPr="00D777E2">
        <w:rPr>
          <w:rFonts w:cs="B Nazanin" w:hint="cs"/>
          <w:sz w:val="28"/>
          <w:szCs w:val="28"/>
          <w:rtl/>
          <w:lang w:bidi="fa-IR"/>
        </w:rPr>
        <w:t>، حاکی از آ</w:t>
      </w:r>
      <w:r w:rsidR="007B7085">
        <w:rPr>
          <w:rFonts w:cs="B Nazanin" w:hint="cs"/>
          <w:sz w:val="28"/>
          <w:szCs w:val="28"/>
          <w:rtl/>
          <w:lang w:bidi="fa-IR"/>
        </w:rPr>
        <w:t>ن</w:t>
      </w:r>
      <w:r w:rsidR="00D777E2" w:rsidRPr="00D777E2">
        <w:rPr>
          <w:rFonts w:cs="B Nazanin" w:hint="cs"/>
          <w:sz w:val="28"/>
          <w:szCs w:val="28"/>
          <w:rtl/>
          <w:lang w:bidi="fa-IR"/>
        </w:rPr>
        <w:t xml:space="preserve"> است که </w:t>
      </w:r>
      <w:r w:rsidRPr="00D777E2">
        <w:rPr>
          <w:rFonts w:cs="B Nazanin" w:hint="cs"/>
          <w:sz w:val="28"/>
          <w:szCs w:val="28"/>
          <w:rtl/>
          <w:lang w:bidi="fa-IR"/>
        </w:rPr>
        <w:t xml:space="preserve">وابستگی انحصاری به یک سازنده و پیمانکار خاص، حتی برای یک قطعه یدکی، همواره می تواند چالش آفرین باشد.   </w:t>
      </w:r>
    </w:p>
    <w:p w:rsidR="00EA3447" w:rsidRPr="001F73D9" w:rsidRDefault="00E22E19" w:rsidP="00E7238E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94CB2" w:rsidRPr="00D777E2">
        <w:rPr>
          <w:rFonts w:cs="B Nazanin" w:hint="cs"/>
          <w:sz w:val="28"/>
          <w:szCs w:val="28"/>
          <w:rtl/>
          <w:lang w:bidi="fa-IR"/>
        </w:rPr>
        <w:t>علی رغم موارد مذک</w:t>
      </w:r>
      <w:r w:rsidR="00E07C89" w:rsidRPr="00D777E2">
        <w:rPr>
          <w:rFonts w:cs="B Nazanin" w:hint="cs"/>
          <w:sz w:val="28"/>
          <w:szCs w:val="28"/>
          <w:rtl/>
          <w:lang w:bidi="fa-IR"/>
        </w:rPr>
        <w:t>ور</w:t>
      </w:r>
      <w:r w:rsidR="00394CB2" w:rsidRPr="00D777E2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044FB5" w:rsidRPr="00D777E2">
        <w:rPr>
          <w:rFonts w:cs="B Nazanin" w:hint="cs"/>
          <w:sz w:val="28"/>
          <w:szCs w:val="28"/>
          <w:rtl/>
          <w:lang w:bidi="fa-IR"/>
        </w:rPr>
        <w:t xml:space="preserve">تجارب حاصله از فرآیند بومی سازی در واحدهای جدید، </w:t>
      </w:r>
      <w:r w:rsidR="00D777E2" w:rsidRPr="00D777E2">
        <w:rPr>
          <w:rFonts w:cs="B Nazanin" w:hint="cs"/>
          <w:sz w:val="28"/>
          <w:szCs w:val="28"/>
          <w:rtl/>
          <w:lang w:bidi="fa-IR"/>
        </w:rPr>
        <w:t xml:space="preserve">بیانگر وجود </w:t>
      </w:r>
      <w:r w:rsidR="00394CB2" w:rsidRPr="00D777E2">
        <w:rPr>
          <w:rFonts w:cs="B Nazanin" w:hint="cs"/>
          <w:sz w:val="28"/>
          <w:szCs w:val="28"/>
          <w:rtl/>
          <w:lang w:bidi="fa-IR"/>
        </w:rPr>
        <w:t xml:space="preserve">چالش های </w:t>
      </w:r>
      <w:r w:rsidR="0014212B" w:rsidRPr="00D777E2">
        <w:rPr>
          <w:rFonts w:cs="B Nazanin" w:hint="cs"/>
          <w:sz w:val="28"/>
          <w:szCs w:val="28"/>
          <w:rtl/>
          <w:lang w:bidi="fa-IR"/>
        </w:rPr>
        <w:t xml:space="preserve">بسیار </w:t>
      </w:r>
      <w:r w:rsidR="00394CB2" w:rsidRPr="00D777E2">
        <w:rPr>
          <w:rFonts w:cs="B Nazanin" w:hint="cs"/>
          <w:sz w:val="28"/>
          <w:szCs w:val="28"/>
          <w:rtl/>
          <w:lang w:bidi="fa-IR"/>
        </w:rPr>
        <w:t>جدی</w:t>
      </w:r>
      <w:r w:rsidR="00C11696" w:rsidRPr="00D777E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4CB2" w:rsidRPr="00D777E2">
        <w:rPr>
          <w:rFonts w:cs="B Nazanin" w:hint="cs"/>
          <w:sz w:val="28"/>
          <w:szCs w:val="28"/>
          <w:rtl/>
          <w:lang w:bidi="fa-IR"/>
        </w:rPr>
        <w:t xml:space="preserve">در مسیر تحقق </w:t>
      </w:r>
      <w:r w:rsidR="00E7238E">
        <w:rPr>
          <w:rFonts w:cs="B Nazanin" w:hint="cs"/>
          <w:sz w:val="28"/>
          <w:szCs w:val="28"/>
          <w:rtl/>
          <w:lang w:bidi="fa-IR"/>
        </w:rPr>
        <w:t>این مطالبه بوده</w:t>
      </w:r>
      <w:r w:rsidR="00D777E2" w:rsidRPr="00D777E2">
        <w:rPr>
          <w:rFonts w:cs="B Nazanin" w:hint="cs"/>
          <w:sz w:val="28"/>
          <w:szCs w:val="28"/>
          <w:rtl/>
          <w:lang w:bidi="fa-IR"/>
        </w:rPr>
        <w:t xml:space="preserve"> که در عمل </w:t>
      </w:r>
      <w:r w:rsidR="00394CB2" w:rsidRPr="00D777E2">
        <w:rPr>
          <w:rFonts w:cs="B Nazanin" w:hint="cs"/>
          <w:sz w:val="28"/>
          <w:szCs w:val="28"/>
          <w:rtl/>
          <w:lang w:bidi="fa-IR"/>
        </w:rPr>
        <w:t>مانع دستیابی به حداکثر مشارکت صنایع داخلی می گرد</w:t>
      </w:r>
      <w:r w:rsidR="007B7085">
        <w:rPr>
          <w:rFonts w:cs="B Nazanin" w:hint="cs"/>
          <w:sz w:val="28"/>
          <w:szCs w:val="28"/>
          <w:rtl/>
          <w:lang w:bidi="fa-IR"/>
        </w:rPr>
        <w:t>ن</w:t>
      </w:r>
      <w:bookmarkStart w:id="0" w:name="_GoBack"/>
      <w:bookmarkEnd w:id="0"/>
      <w:r w:rsidR="00394CB2" w:rsidRPr="00D777E2">
        <w:rPr>
          <w:rFonts w:cs="B Nazanin" w:hint="cs"/>
          <w:sz w:val="28"/>
          <w:szCs w:val="28"/>
          <w:rtl/>
          <w:lang w:bidi="fa-IR"/>
        </w:rPr>
        <w:t>د</w:t>
      </w:r>
      <w:r w:rsidR="00044FB5" w:rsidRPr="00D777E2">
        <w:rPr>
          <w:rFonts w:cs="B Nazanin" w:hint="cs"/>
          <w:sz w:val="28"/>
          <w:szCs w:val="28"/>
          <w:rtl/>
          <w:lang w:bidi="fa-IR"/>
        </w:rPr>
        <w:t xml:space="preserve">. بدیهی است در صورت عدم رفع موانع مذکور، </w:t>
      </w:r>
      <w:r w:rsidR="00713BA2" w:rsidRPr="00D777E2">
        <w:rPr>
          <w:rFonts w:cs="B Nazanin" w:hint="cs"/>
          <w:sz w:val="28"/>
          <w:szCs w:val="28"/>
          <w:rtl/>
          <w:lang w:bidi="fa-IR"/>
        </w:rPr>
        <w:t>نه تنها ظرفیت های مندرج در قرارداد</w:t>
      </w:r>
      <w:r w:rsidR="008D1FE7" w:rsidRPr="00D777E2">
        <w:rPr>
          <w:rFonts w:cs="B Nazanin" w:hint="cs"/>
          <w:sz w:val="28"/>
          <w:szCs w:val="28"/>
          <w:rtl/>
          <w:lang w:bidi="fa-IR"/>
        </w:rPr>
        <w:t xml:space="preserve"> واحدهای دو و سه،</w:t>
      </w:r>
      <w:r w:rsidR="00713BA2" w:rsidRPr="00D777E2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713BA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بومی سازی قابل حصول نمی باشد، بلکه </w:t>
      </w:r>
      <w:r w:rsidR="00044F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چشم انداز روشنی را </w:t>
      </w:r>
      <w:r w:rsidR="00713BA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نیز </w:t>
      </w:r>
      <w:r w:rsidR="00044F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نمی توان برای تحقق افزایش سهم بومی سازی در  8000 مگاوات باقیمانده پروژه های نیروگاهی انتظار داشت. </w:t>
      </w:r>
      <w:r w:rsidR="0014212B">
        <w:rPr>
          <w:rFonts w:cs="B Nazanin" w:hint="cs"/>
          <w:color w:val="000000" w:themeColor="text1"/>
          <w:sz w:val="28"/>
          <w:szCs w:val="28"/>
          <w:rtl/>
          <w:lang w:bidi="fa-IR"/>
        </w:rPr>
        <w:t>ذیلا به برخی از این موارد اشاره می گردد:</w:t>
      </w:r>
    </w:p>
    <w:p w:rsidR="00E07C89" w:rsidRPr="00553809" w:rsidRDefault="00C11696" w:rsidP="00D777E2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538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چالش ها</w:t>
      </w:r>
      <w:r w:rsidR="003C54D9" w:rsidRPr="0055380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:rsidR="003C54D9" w:rsidRPr="00553809" w:rsidRDefault="003C54D9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بعضی از شرکت</w:t>
      </w:r>
      <w:r w:rsidR="008D1FE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ها علی رغم تولید محصولات مرغوب، یا توانایی تولید مستندات با کیفیت مد نظر را ندا</w:t>
      </w:r>
      <w:r w:rsidR="008D1FE7">
        <w:rPr>
          <w:rFonts w:cs="B Nazanin" w:hint="cs"/>
          <w:color w:val="000000" w:themeColor="text1"/>
          <w:sz w:val="28"/>
          <w:szCs w:val="28"/>
          <w:rtl/>
          <w:lang w:bidi="fa-IR"/>
        </w:rPr>
        <w:t>رند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یا با توجه به بازار فروش موجود، الزامی به ایجاد هزینه برای حصول به این الزام</w:t>
      </w:r>
      <w:r w:rsid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را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نمی بینند</w:t>
      </w:r>
      <w:r w:rsid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3C54D9" w:rsidRPr="00553809" w:rsidRDefault="003C54D9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برخی شرکت ها دارای امکانات مناسب تولید می باشند</w:t>
      </w:r>
      <w:r w:rsidR="008D1FE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لکن به منظور ارائه محصول خود به نیروگاه اتمی (صنعت هسته ای) و اعمال تغییرات در استانداردهای ساخت، با توجه به حجم و نحوه گردش مالی</w:t>
      </w:r>
      <w:r w:rsid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توجیه مناسبی جهت مشارکت ندارند</w:t>
      </w:r>
      <w:r w:rsid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3C54D9" w:rsidRPr="00553809" w:rsidRDefault="003C54D9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عدم وجود بنیه مالی برخی از شرکتهای خصوصی جهت تامین تضامین با توجه به برآورد قیمت مناقصات</w:t>
      </w:r>
    </w:p>
    <w:p w:rsidR="003C54D9" w:rsidRPr="00553809" w:rsidRDefault="003C54D9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برخی شرکتها به خصوص شرکتهای خصوصی که معاملات برون مرزی دارند</w:t>
      </w:r>
      <w:r w:rsidR="008D1FE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از مشارکت در فعالیت های نیروگاه هسته ای امتناع می کنند</w:t>
      </w:r>
      <w:r w:rsidR="00044FB5"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044FB5" w:rsidRPr="00553809" w:rsidRDefault="003C54D9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عدم وجود تجربه کافی در یکی از مراحل طراحی یا ساخت (ابزارهای مخصوص ساخت) و یا عدم وجود زیرساختهای لازم از جمله نرم‌افزار های دارای لایسنس و یا نفرات دارای صلاحیت و دارای گواهینامه‌های لازم برای ساخت و یا تست</w:t>
      </w:r>
      <w:r w:rsidR="008D1FE7">
        <w:rPr>
          <w:rFonts w:cs="B Nazanin" w:hint="cs"/>
          <w:color w:val="000000" w:themeColor="text1"/>
          <w:sz w:val="28"/>
          <w:szCs w:val="28"/>
          <w:rtl/>
          <w:lang w:bidi="fa-IR"/>
        </w:rPr>
        <w:t>؛</w:t>
      </w:r>
    </w:p>
    <w:p w:rsidR="00044FB5" w:rsidRPr="00553809" w:rsidRDefault="00044FB5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علیرغم تلاشهای کارفرما،</w:t>
      </w:r>
      <w:r w:rsidR="008D1FE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شرکت‌های ایرانی با ضوابط حضور در مناقصه، اسناد فنی و استانداردهای روسی نیروگاه‌های هسته‌ای مشکل دا</w:t>
      </w:r>
      <w:r w:rsid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رند.</w:t>
      </w:r>
    </w:p>
    <w:p w:rsidR="009046B5" w:rsidRPr="00553809" w:rsidRDefault="009046B5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ساخت تجهیزات نیروگاه اتمی برای اولین بار توسط سازندگان داخلی که مستلزم انجام فرایند نمونه‌سازی مدل، ایجاد چرخه تست و صحه گذاری محصول و تغییرات احتمالی در خط تولید می‌باشد</w:t>
      </w:r>
      <w:r w:rsid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به علت عدم وجود تقاضای مشابه در بازار، سرشکن این هزینه‌ها، قیمت تمام شده این محصولات را افزایش می‌دهد.</w:t>
      </w:r>
    </w:p>
    <w:p w:rsidR="009046B5" w:rsidRPr="00553809" w:rsidRDefault="009046B5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اخذ ضمانت‌نامه‌های ارزی به دلیل مقررات بانک مرکزی و بالا بودن قیمت قرارداد (در خواست وثیقه‌های سنگین توسط بانک‌های عامل برای ارائه ضمانت‌نامه) برای شرکت‌ها سخت و یا امکان‌پذیر نمی‌باشد.</w:t>
      </w:r>
    </w:p>
    <w:p w:rsidR="009046B5" w:rsidRPr="00553809" w:rsidRDefault="009046B5" w:rsidP="00D777E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موضوع مالیات بر ارزش افزوده که باعث کاهش رقابت‌پذیری شرکت‌های ایرانی در مناقصات و تشکیل کنسرسیوم با شرکت‌های روسی شده و در شرایط تشکیل کنسرسیوم بین سازندگان روسی و ایرانی به دلیل ارزش افزوده‌ای که حضور سازنده ایرانی به قیمت قرارداد سازنده روس تحمیل می‌کند، باعث کاهش رغبت و یا انصراف آنها از ادامه مشارکت</w:t>
      </w:r>
      <w:r w:rsidR="00713BA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می گردد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E07C89" w:rsidRPr="00713BA2" w:rsidRDefault="00662377" w:rsidP="00D777E2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زیر ساخت های مورد نیاز</w:t>
      </w:r>
      <w:r w:rsidR="00713BA2" w:rsidRPr="00713B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: </w:t>
      </w:r>
      <w:r w:rsidR="00E07C89" w:rsidRPr="00713B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9046B5" w:rsidRPr="00553809" w:rsidRDefault="009046B5" w:rsidP="00D777E2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از آنجاییکه رفع مشکلات </w:t>
      </w:r>
      <w:r w:rsidR="00F71F7E"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مذکور، غالبا مستلزم  اتخاذ 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تدابیر </w:t>
      </w:r>
      <w:r w:rsidR="00F71F7E"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دولت</w:t>
      </w:r>
      <w:r w:rsidR="00F71F7E"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می باشد</w:t>
      </w:r>
      <w:r w:rsidR="00662377">
        <w:rPr>
          <w:rFonts w:cs="B Nazanin" w:hint="cs"/>
          <w:color w:val="000000" w:themeColor="text1"/>
          <w:sz w:val="28"/>
          <w:szCs w:val="28"/>
          <w:rtl/>
          <w:lang w:bidi="fa-IR"/>
        </w:rPr>
        <w:t>، استقرار زیر ساخت های حقوقی و فنی ذیل لازم می باشد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</w:p>
    <w:p w:rsidR="0014212B" w:rsidRDefault="0014212B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پیش بینی</w:t>
      </w:r>
      <w:r w:rsidR="006623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شرط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انتقال تکنولوژی در قرارداد احداث سایر واحدهای نیروگاهی </w:t>
      </w:r>
    </w:p>
    <w:p w:rsidR="0014212B" w:rsidRPr="00553809" w:rsidRDefault="0014212B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تصویب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لایحه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حمایت از صنایع و سازندگان داخلی مشارکت  کننده در ساخت تجهیزات نیروگاههای اتمی</w:t>
      </w:r>
    </w:p>
    <w:p w:rsidR="009046B5" w:rsidRPr="00553809" w:rsidRDefault="009046B5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تشکیل کارگروه مشارکت صنایع و سازندگان داخلی با حضور نمایند</w:t>
      </w:r>
      <w:r w:rsidR="00713BA2">
        <w:rPr>
          <w:rFonts w:cs="B Nazanin" w:hint="cs"/>
          <w:color w:val="000000" w:themeColor="text1"/>
          <w:sz w:val="28"/>
          <w:szCs w:val="28"/>
          <w:rtl/>
          <w:lang w:bidi="fa-IR"/>
        </w:rPr>
        <w:t>گان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وزارتخانه‌های صمت،</w:t>
      </w:r>
      <w:r w:rsidR="0014212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نیرو،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امور اقتصادی و دار</w:t>
      </w:r>
      <w:r w:rsidR="00713BA2">
        <w:rPr>
          <w:rFonts w:cs="B Nazanin" w:hint="cs"/>
          <w:color w:val="000000" w:themeColor="text1"/>
          <w:sz w:val="28"/>
          <w:szCs w:val="28"/>
          <w:rtl/>
          <w:lang w:bidi="fa-IR"/>
        </w:rPr>
        <w:t>ایی و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بانک مرکزی، در سطح</w:t>
      </w:r>
      <w:r w:rsidR="006623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وزیر و یا نماینده تام الاختیار به منظور ایجاد بسترهای لازم و انجام هماهنگی جهت رفع موانع </w:t>
      </w:r>
    </w:p>
    <w:p w:rsidR="009046B5" w:rsidRPr="00553809" w:rsidRDefault="009046B5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ایجاد صندوق حمایت از سازندگان مشارکت کننده در ساخت تجهیزات و ارایه دهندگان خدمات در صنعت هسته‌ای  </w:t>
      </w:r>
    </w:p>
    <w:p w:rsidR="009046B5" w:rsidRPr="00553809" w:rsidRDefault="009046B5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استفاده از ظرفیت صندوق توسعه ملی برای دعوت از شرکت‌های دولتی برای حضور درمناقصات، و ایجاد ظرفیت‌های مناسب مالی.</w:t>
      </w:r>
    </w:p>
    <w:p w:rsidR="00F71F7E" w:rsidRDefault="00F71F7E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حمایت </w:t>
      </w:r>
      <w:r w:rsidR="0014212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>نهادهای ملی مورد نیاز در عرصه صنعت نیروگاه های هسته ای نظیر مرکز ملی موا</w:t>
      </w:r>
      <w:r w:rsidR="0014212B">
        <w:rPr>
          <w:rFonts w:cs="B Nazanin" w:hint="cs"/>
          <w:color w:val="000000" w:themeColor="text1"/>
          <w:sz w:val="28"/>
          <w:szCs w:val="28"/>
          <w:rtl/>
          <w:lang w:bidi="fa-IR"/>
        </w:rPr>
        <w:t>د، مرکز</w:t>
      </w:r>
      <w:r w:rsidRPr="0055380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ارائه گواهینامه و ... جهت ارتقای آنها و دستیابی به استانداردهای لازم </w:t>
      </w:r>
      <w:r w:rsidR="00662377">
        <w:rPr>
          <w:rFonts w:cs="B Nazanin" w:hint="cs"/>
          <w:color w:val="000000" w:themeColor="text1"/>
          <w:sz w:val="28"/>
          <w:szCs w:val="28"/>
          <w:rtl/>
          <w:lang w:bidi="fa-IR"/>
        </w:rPr>
        <w:t>به منظور ارائه خدمات به مشارکت کنندگان در صنعت نیروگاه های هسته ای</w:t>
      </w:r>
    </w:p>
    <w:p w:rsidR="00CC1EFD" w:rsidRPr="00CC1EFD" w:rsidRDefault="00CC1EFD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D777E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اشاره به موضوع </w:t>
      </w:r>
      <w:r w:rsidRPr="00D777E2">
        <w:rPr>
          <w:rFonts w:cs="B Nazanin"/>
          <w:color w:val="000000" w:themeColor="text1"/>
          <w:sz w:val="28"/>
          <w:szCs w:val="28"/>
          <w:lang w:bidi="fa-IR"/>
        </w:rPr>
        <w:t>N stamp</w:t>
      </w:r>
    </w:p>
    <w:p w:rsidR="00CC1EFD" w:rsidRPr="00553809" w:rsidRDefault="00CC1EFD" w:rsidP="00D777E2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D777E2">
        <w:rPr>
          <w:rFonts w:cs="B Nazanin" w:hint="cs"/>
          <w:color w:val="000000" w:themeColor="text1"/>
          <w:sz w:val="28"/>
          <w:szCs w:val="28"/>
          <w:rtl/>
          <w:lang w:bidi="fa-IR"/>
        </w:rPr>
        <w:t>اشاره به ضرورت اخذ گواهینامه انطبلق محصول برای یکسری تجهیزات</w:t>
      </w:r>
    </w:p>
    <w:p w:rsidR="00F71F7E" w:rsidRPr="00553809" w:rsidRDefault="00F71F7E" w:rsidP="00D777E2">
      <w:pPr>
        <w:bidi/>
        <w:spacing w:line="276" w:lineRule="auto"/>
        <w:ind w:left="72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9046B5" w:rsidRDefault="009046B5" w:rsidP="00D777E2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07C89" w:rsidRDefault="00E07C89" w:rsidP="00D777E2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07C89" w:rsidRDefault="00E07C89" w:rsidP="00D777E2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51892" w:rsidRPr="00740FD3" w:rsidRDefault="00E51892" w:rsidP="00D777E2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sectPr w:rsidR="00E51892" w:rsidRPr="00740F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F1" w:rsidRDefault="008E00F1" w:rsidP="006E0CB7">
      <w:pPr>
        <w:spacing w:after="0" w:line="240" w:lineRule="auto"/>
      </w:pPr>
      <w:r>
        <w:separator/>
      </w:r>
    </w:p>
  </w:endnote>
  <w:endnote w:type="continuationSeparator" w:id="0">
    <w:p w:rsidR="008E00F1" w:rsidRDefault="008E00F1" w:rsidP="006E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0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CB7" w:rsidRDefault="006E0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0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0CB7" w:rsidRDefault="006E0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F1" w:rsidRDefault="008E00F1" w:rsidP="006E0CB7">
      <w:pPr>
        <w:spacing w:after="0" w:line="240" w:lineRule="auto"/>
      </w:pPr>
      <w:r>
        <w:separator/>
      </w:r>
    </w:p>
  </w:footnote>
  <w:footnote w:type="continuationSeparator" w:id="0">
    <w:p w:rsidR="008E00F1" w:rsidRDefault="008E00F1" w:rsidP="006E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AE2"/>
    <w:multiLevelType w:val="hybridMultilevel"/>
    <w:tmpl w:val="AE822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18F1"/>
    <w:multiLevelType w:val="hybridMultilevel"/>
    <w:tmpl w:val="B2DADBE2"/>
    <w:lvl w:ilvl="0" w:tplc="7EC84B5E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6240"/>
    <w:multiLevelType w:val="hybridMultilevel"/>
    <w:tmpl w:val="1EB8F31A"/>
    <w:lvl w:ilvl="0" w:tplc="0409000D">
      <w:start w:val="1"/>
      <w:numFmt w:val="bullet"/>
      <w:lvlText w:val=""/>
      <w:lvlJc w:val="left"/>
      <w:pPr>
        <w:ind w:left="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1D754397"/>
    <w:multiLevelType w:val="hybridMultilevel"/>
    <w:tmpl w:val="FE68826E"/>
    <w:lvl w:ilvl="0" w:tplc="7EC84B5E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C51B4D"/>
    <w:multiLevelType w:val="hybridMultilevel"/>
    <w:tmpl w:val="2152A6D2"/>
    <w:lvl w:ilvl="0" w:tplc="9632900A">
      <w:start w:val="1"/>
      <w:numFmt w:val="decimal"/>
      <w:lvlText w:val="%1-"/>
      <w:lvlJc w:val="center"/>
      <w:pPr>
        <w:ind w:left="1143" w:hanging="360"/>
      </w:pPr>
      <w:rPr>
        <w:rFonts w:ascii="Times New Roman" w:hAnsi="Times New Roman" w:cs="B Roya" w:hint="default"/>
        <w:bCs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2AA36644"/>
    <w:multiLevelType w:val="hybridMultilevel"/>
    <w:tmpl w:val="696CAFF6"/>
    <w:lvl w:ilvl="0" w:tplc="9C5C2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278E3"/>
    <w:multiLevelType w:val="hybridMultilevel"/>
    <w:tmpl w:val="D996F21A"/>
    <w:lvl w:ilvl="0" w:tplc="02DCFEFE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0D2"/>
    <w:multiLevelType w:val="hybridMultilevel"/>
    <w:tmpl w:val="0196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457AC"/>
    <w:multiLevelType w:val="hybridMultilevel"/>
    <w:tmpl w:val="F49A4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2DD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0B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A1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2E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CF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61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6C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EE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92"/>
    <w:rsid w:val="00044FB5"/>
    <w:rsid w:val="0014212B"/>
    <w:rsid w:val="00197708"/>
    <w:rsid w:val="001A1297"/>
    <w:rsid w:val="001F73D9"/>
    <w:rsid w:val="002B0C6C"/>
    <w:rsid w:val="002B6AF4"/>
    <w:rsid w:val="002C1A78"/>
    <w:rsid w:val="00394CB2"/>
    <w:rsid w:val="003C4C91"/>
    <w:rsid w:val="003C54D9"/>
    <w:rsid w:val="0049216E"/>
    <w:rsid w:val="004A466B"/>
    <w:rsid w:val="004B4DF2"/>
    <w:rsid w:val="004C3D84"/>
    <w:rsid w:val="00500BAD"/>
    <w:rsid w:val="0053698E"/>
    <w:rsid w:val="00553809"/>
    <w:rsid w:val="005C56B3"/>
    <w:rsid w:val="005D1A64"/>
    <w:rsid w:val="005D3FB3"/>
    <w:rsid w:val="005E484B"/>
    <w:rsid w:val="0064220D"/>
    <w:rsid w:val="00662377"/>
    <w:rsid w:val="0069567D"/>
    <w:rsid w:val="006E0CB7"/>
    <w:rsid w:val="00713BA2"/>
    <w:rsid w:val="00740FD3"/>
    <w:rsid w:val="007B7085"/>
    <w:rsid w:val="008272DF"/>
    <w:rsid w:val="00851A9D"/>
    <w:rsid w:val="008A46C1"/>
    <w:rsid w:val="008B6AE2"/>
    <w:rsid w:val="008D1FE7"/>
    <w:rsid w:val="008E00F1"/>
    <w:rsid w:val="009046B5"/>
    <w:rsid w:val="009E4D36"/>
    <w:rsid w:val="00A63585"/>
    <w:rsid w:val="00A969B6"/>
    <w:rsid w:val="00B0480A"/>
    <w:rsid w:val="00B40E40"/>
    <w:rsid w:val="00B91F6F"/>
    <w:rsid w:val="00C070F1"/>
    <w:rsid w:val="00C11696"/>
    <w:rsid w:val="00C12C83"/>
    <w:rsid w:val="00C30F1C"/>
    <w:rsid w:val="00C931F8"/>
    <w:rsid w:val="00CC1EE8"/>
    <w:rsid w:val="00CC1EFD"/>
    <w:rsid w:val="00D637CD"/>
    <w:rsid w:val="00D777E2"/>
    <w:rsid w:val="00E07C89"/>
    <w:rsid w:val="00E22E19"/>
    <w:rsid w:val="00E51892"/>
    <w:rsid w:val="00E7238E"/>
    <w:rsid w:val="00EA3447"/>
    <w:rsid w:val="00EB51FD"/>
    <w:rsid w:val="00F517FF"/>
    <w:rsid w:val="00F573A2"/>
    <w:rsid w:val="00F71F7E"/>
    <w:rsid w:val="00F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0AE7"/>
  <w15:docId w15:val="{FFB70B79-EA93-4C6D-8BE0-D00E9940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B7"/>
  </w:style>
  <w:style w:type="paragraph" w:styleId="Footer">
    <w:name w:val="footer"/>
    <w:basedOn w:val="Normal"/>
    <w:link w:val="FooterChar"/>
    <w:uiPriority w:val="99"/>
    <w:unhideWhenUsed/>
    <w:rsid w:val="006E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B7"/>
  </w:style>
  <w:style w:type="paragraph" w:styleId="FootnoteText">
    <w:name w:val="footnote text"/>
    <w:basedOn w:val="Normal"/>
    <w:link w:val="FootnoteTextChar"/>
    <w:semiHidden/>
    <w:rsid w:val="00CC1EF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1EF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C1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C866-CFA0-432F-A138-85BB9E42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Deylami , Ebrahim</dc:creator>
  <cp:lastModifiedBy>IT</cp:lastModifiedBy>
  <cp:revision>8</cp:revision>
  <dcterms:created xsi:type="dcterms:W3CDTF">2022-01-20T07:36:00Z</dcterms:created>
  <dcterms:modified xsi:type="dcterms:W3CDTF">2022-01-20T08:24:00Z</dcterms:modified>
</cp:coreProperties>
</file>