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6479D5" w:rsidP="006479D5">
      <w:pPr>
        <w:jc w:val="both"/>
        <w:rPr>
          <w:rFonts w:cs="Nazanin" w:hint="cs"/>
          <w:sz w:val="28"/>
          <w:szCs w:val="28"/>
          <w:rtl/>
        </w:rPr>
      </w:pPr>
      <w:r w:rsidRPr="00634A5A">
        <w:rPr>
          <w:rFonts w:cs="Nazanin" w:hint="cs"/>
          <w:sz w:val="28"/>
          <w:szCs w:val="28"/>
          <w:rtl/>
        </w:rPr>
        <w:t xml:space="preserve">نيروگاه اتمي بوشهر، در راستاي </w:t>
      </w:r>
      <w:r>
        <w:rPr>
          <w:rFonts w:cs="Nazanin" w:hint="cs"/>
          <w:sz w:val="28"/>
          <w:szCs w:val="28"/>
          <w:rtl/>
        </w:rPr>
        <w:t xml:space="preserve">پيگيري اهداف خود در زمينه </w:t>
      </w:r>
      <w:r w:rsidRPr="00634A5A">
        <w:rPr>
          <w:rFonts w:cs="Nazanin" w:hint="cs"/>
          <w:sz w:val="28"/>
          <w:szCs w:val="28"/>
          <w:rtl/>
        </w:rPr>
        <w:t>حفظ و</w:t>
      </w:r>
      <w:r>
        <w:rPr>
          <w:rFonts w:cs="Nazanin" w:hint="cs"/>
          <w:sz w:val="28"/>
          <w:szCs w:val="28"/>
          <w:rtl/>
        </w:rPr>
        <w:t xml:space="preserve"> </w:t>
      </w:r>
      <w:r w:rsidRPr="00634A5A">
        <w:rPr>
          <w:rFonts w:cs="Nazanin" w:hint="cs"/>
          <w:sz w:val="28"/>
          <w:szCs w:val="28"/>
          <w:rtl/>
        </w:rPr>
        <w:t xml:space="preserve">افزايش </w:t>
      </w:r>
      <w:r>
        <w:rPr>
          <w:rFonts w:cs="Nazanin" w:hint="cs"/>
          <w:sz w:val="28"/>
          <w:szCs w:val="28"/>
          <w:rtl/>
        </w:rPr>
        <w:t xml:space="preserve">مستمر </w:t>
      </w:r>
      <w:r w:rsidRPr="00634A5A">
        <w:rPr>
          <w:rFonts w:cs="Nazanin" w:hint="cs"/>
          <w:sz w:val="28"/>
          <w:szCs w:val="28"/>
          <w:rtl/>
        </w:rPr>
        <w:t>سطح ايمني نيروگاه و بهبود شاخص</w:t>
      </w:r>
      <w:r>
        <w:rPr>
          <w:rFonts w:cs="Calibri" w:hint="cs"/>
          <w:sz w:val="28"/>
          <w:szCs w:val="28"/>
          <w:cs/>
        </w:rPr>
        <w:t>‎</w:t>
      </w:r>
      <w:r w:rsidRPr="00634A5A">
        <w:rPr>
          <w:rFonts w:cs="Nazanin" w:hint="cs"/>
          <w:sz w:val="28"/>
          <w:szCs w:val="28"/>
          <w:rtl/>
        </w:rPr>
        <w:t>هاي عملكردي آن عضو وانو-مركز مسكو مي</w:t>
      </w:r>
      <w:r>
        <w:rPr>
          <w:rFonts w:cs="Calibri" w:hint="cs"/>
          <w:sz w:val="28"/>
          <w:szCs w:val="28"/>
          <w:cs/>
        </w:rPr>
        <w:t>‎</w:t>
      </w:r>
      <w:r w:rsidRPr="00634A5A">
        <w:rPr>
          <w:rFonts w:cs="Nazanin" w:hint="cs"/>
          <w:sz w:val="28"/>
          <w:szCs w:val="28"/>
          <w:rtl/>
        </w:rPr>
        <w:t>باشد. در اين مركز 29 نيروگاه اتمي عضويت دارند. نيروگاه اتمي بوشهر در كليه برنامه</w:t>
      </w:r>
      <w:r>
        <w:rPr>
          <w:rFonts w:cs="Calibri" w:hint="cs"/>
          <w:sz w:val="28"/>
          <w:szCs w:val="28"/>
          <w:cs/>
        </w:rPr>
        <w:t>‎</w:t>
      </w:r>
      <w:r w:rsidRPr="00634A5A">
        <w:rPr>
          <w:rFonts w:cs="Nazanin" w:hint="cs"/>
          <w:sz w:val="28"/>
          <w:szCs w:val="28"/>
          <w:rtl/>
        </w:rPr>
        <w:t>هاي تعريف شده در وانو-مركز مسكو مشاركت فعال داشته و بصورت پيوسته سطح و دامنه اين ارتباطات را افزايش مي</w:t>
      </w:r>
      <w:r>
        <w:rPr>
          <w:rFonts w:cs="Calibri" w:hint="cs"/>
          <w:sz w:val="28"/>
          <w:szCs w:val="28"/>
          <w:cs/>
        </w:rPr>
        <w:t>‎</w:t>
      </w:r>
      <w:r w:rsidRPr="00634A5A">
        <w:rPr>
          <w:rFonts w:cs="Nazanin" w:hint="cs"/>
          <w:sz w:val="28"/>
          <w:szCs w:val="28"/>
          <w:rtl/>
        </w:rPr>
        <w:t>دهد. در رابطه با مهمترين برنامه وانو با نيروگاه</w:t>
      </w:r>
      <w:r>
        <w:rPr>
          <w:rFonts w:cs="Calibri" w:hint="cs"/>
          <w:sz w:val="28"/>
          <w:szCs w:val="28"/>
          <w:cs/>
        </w:rPr>
        <w:t>‎</w:t>
      </w:r>
      <w:r w:rsidRPr="00634A5A">
        <w:rPr>
          <w:rFonts w:cs="Nazanin" w:hint="cs"/>
          <w:sz w:val="28"/>
          <w:szCs w:val="28"/>
          <w:rtl/>
        </w:rPr>
        <w:t xml:space="preserve">هاي اتمي كه برنامه ارزيابي همتايي وانو مي باشد، نيروگاه تاكنون دو برنامه ارزيابي همتايي و دو برنامه پيگيري ارزيابي همتايي وانو را به انجام رسانيده است. </w:t>
      </w:r>
    </w:p>
    <w:p w:rsidR="006479D5" w:rsidRDefault="006479D5" w:rsidP="006479D5">
      <w:pPr>
        <w:jc w:val="both"/>
        <w:rPr>
          <w:rFonts w:cs="Nazanin" w:hint="cs"/>
          <w:sz w:val="28"/>
          <w:szCs w:val="28"/>
          <w:rtl/>
        </w:rPr>
      </w:pPr>
      <w:r w:rsidRPr="00634A5A">
        <w:rPr>
          <w:rFonts w:cs="Nazanin" w:hint="cs"/>
          <w:sz w:val="28"/>
          <w:szCs w:val="28"/>
          <w:rtl/>
        </w:rPr>
        <w:t xml:space="preserve">در آخرين برنامه ارزيابي همتايي وانو كه در سال 2015 انجام شده، 22 كارشناس از 6 كشور به مدت 17 روز، نيروگاه را در </w:t>
      </w:r>
      <w:r>
        <w:rPr>
          <w:rFonts w:cs="Nazanin" w:hint="cs"/>
          <w:sz w:val="28"/>
          <w:szCs w:val="28"/>
          <w:rtl/>
        </w:rPr>
        <w:t>11</w:t>
      </w:r>
      <w:r w:rsidRPr="00634A5A">
        <w:rPr>
          <w:rFonts w:cs="Nazanin" w:hint="cs"/>
          <w:sz w:val="28"/>
          <w:szCs w:val="28"/>
          <w:rtl/>
        </w:rPr>
        <w:t xml:space="preserve"> حوزه مورد ارزيابي قرار دادند كه در نتيجه آن، 3 </w:t>
      </w:r>
      <w:r w:rsidRPr="00634A5A">
        <w:rPr>
          <w:rFonts w:cs="Nazanin"/>
          <w:sz w:val="28"/>
          <w:szCs w:val="28"/>
        </w:rPr>
        <w:t>Good Practice</w:t>
      </w:r>
      <w:r w:rsidRPr="00634A5A">
        <w:rPr>
          <w:rFonts w:cs="Nazanin" w:hint="cs"/>
          <w:sz w:val="28"/>
          <w:szCs w:val="28"/>
          <w:rtl/>
        </w:rPr>
        <w:t xml:space="preserve">  و 14 حوزه نيازمند بهبود شناسايي گرديد. براي بهبود حوزه</w:t>
      </w:r>
      <w:r>
        <w:rPr>
          <w:rFonts w:cs="Calibri" w:hint="cs"/>
          <w:sz w:val="28"/>
          <w:szCs w:val="28"/>
          <w:cs/>
        </w:rPr>
        <w:t>‎</w:t>
      </w:r>
      <w:r w:rsidRPr="00634A5A">
        <w:rPr>
          <w:rFonts w:cs="Nazanin" w:hint="cs"/>
          <w:sz w:val="28"/>
          <w:szCs w:val="28"/>
          <w:rtl/>
        </w:rPr>
        <w:t>هاي نيازمند بهبود، 310 اقدام اصلاحي در نيروگاه تعريف گرديد</w:t>
      </w:r>
      <w:r>
        <w:rPr>
          <w:rFonts w:cs="Nazanin" w:hint="cs"/>
          <w:sz w:val="28"/>
          <w:szCs w:val="28"/>
          <w:rtl/>
        </w:rPr>
        <w:t xml:space="preserve">. </w:t>
      </w:r>
    </w:p>
    <w:p w:rsidR="006479D5" w:rsidRDefault="006479D5" w:rsidP="006479D5">
      <w:pPr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بر</w:t>
      </w:r>
      <w:r>
        <w:rPr>
          <w:rFonts w:cs="Nazanin" w:hint="cs"/>
          <w:smallCaps/>
          <w:sz w:val="28"/>
          <w:szCs w:val="28"/>
          <w:rtl/>
        </w:rPr>
        <w:t xml:space="preserve">نامه پيگيري ارزيابي وانو از 13 لغايت 17 آبان ماه سال جاري در نيروگاه اتمي بوشهر انجام </w:t>
      </w:r>
      <w:r>
        <w:rPr>
          <w:rFonts w:cs="Nazanin" w:hint="cs"/>
          <w:smallCaps/>
          <w:sz w:val="28"/>
          <w:szCs w:val="28"/>
          <w:rtl/>
        </w:rPr>
        <w:t>گرديد</w:t>
      </w:r>
      <w:r>
        <w:rPr>
          <w:rFonts w:cs="Nazanin" w:hint="cs"/>
          <w:smallCaps/>
          <w:sz w:val="28"/>
          <w:szCs w:val="28"/>
          <w:rtl/>
        </w:rPr>
        <w:t>. تعداد كارشناسان</w:t>
      </w:r>
      <w:r>
        <w:rPr>
          <w:rFonts w:cs="Nazanin" w:hint="cs"/>
          <w:smallCaps/>
          <w:sz w:val="28"/>
          <w:szCs w:val="28"/>
          <w:rtl/>
        </w:rPr>
        <w:t xml:space="preserve"> وانو</w:t>
      </w:r>
      <w:r>
        <w:rPr>
          <w:rFonts w:cs="Nazanin" w:hint="cs"/>
          <w:smallCaps/>
          <w:sz w:val="28"/>
          <w:szCs w:val="28"/>
          <w:rtl/>
        </w:rPr>
        <w:t xml:space="preserve"> كه </w:t>
      </w:r>
      <w:r>
        <w:rPr>
          <w:rFonts w:cs="Nazanin" w:hint="cs"/>
          <w:smallCaps/>
          <w:sz w:val="28"/>
          <w:szCs w:val="28"/>
          <w:rtl/>
        </w:rPr>
        <w:t xml:space="preserve">در اين برنامه </w:t>
      </w:r>
      <w:r>
        <w:rPr>
          <w:rFonts w:cs="Nazanin" w:hint="cs"/>
          <w:smallCaps/>
          <w:sz w:val="28"/>
          <w:szCs w:val="28"/>
          <w:rtl/>
        </w:rPr>
        <w:t xml:space="preserve">حضور </w:t>
      </w:r>
      <w:r>
        <w:rPr>
          <w:rFonts w:cs="Nazanin" w:hint="cs"/>
          <w:smallCaps/>
          <w:sz w:val="28"/>
          <w:szCs w:val="28"/>
          <w:rtl/>
        </w:rPr>
        <w:t>داشتند</w:t>
      </w:r>
      <w:r>
        <w:rPr>
          <w:rFonts w:cs="Nazanin" w:hint="cs"/>
          <w:smallCaps/>
          <w:sz w:val="28"/>
          <w:szCs w:val="28"/>
          <w:rtl/>
        </w:rPr>
        <w:t xml:space="preserve"> 6 نفر </w:t>
      </w:r>
      <w:r>
        <w:rPr>
          <w:rFonts w:cs="Nazanin" w:hint="cs"/>
          <w:smallCaps/>
          <w:sz w:val="28"/>
          <w:szCs w:val="28"/>
          <w:rtl/>
        </w:rPr>
        <w:t>بود</w:t>
      </w:r>
      <w:r>
        <w:rPr>
          <w:rFonts w:cs="Nazanin" w:hint="cs"/>
          <w:smallCaps/>
          <w:sz w:val="28"/>
          <w:szCs w:val="28"/>
          <w:rtl/>
        </w:rPr>
        <w:t xml:space="preserve">. قبل از شروع برنامه، بسته </w:t>
      </w:r>
      <w:r>
        <w:rPr>
          <w:rFonts w:cs="Nazanin" w:hint="cs"/>
          <w:smallCaps/>
          <w:sz w:val="28"/>
          <w:szCs w:val="28"/>
          <w:rtl/>
        </w:rPr>
        <w:t xml:space="preserve">اطلاعاتي وانو </w:t>
      </w:r>
      <w:r>
        <w:rPr>
          <w:rFonts w:cs="Nazanin" w:hint="cs"/>
          <w:smallCaps/>
          <w:sz w:val="28"/>
          <w:szCs w:val="28"/>
          <w:rtl/>
        </w:rPr>
        <w:t xml:space="preserve">در 11 سرفصل و 103 صفحه آماده و ارسال </w:t>
      </w:r>
      <w:r>
        <w:rPr>
          <w:rFonts w:cs="Nazanin" w:hint="cs"/>
          <w:smallCaps/>
          <w:sz w:val="28"/>
          <w:szCs w:val="28"/>
          <w:rtl/>
        </w:rPr>
        <w:t>شد</w:t>
      </w:r>
      <w:r>
        <w:rPr>
          <w:rFonts w:cs="Nazanin" w:hint="cs"/>
          <w:smallCaps/>
          <w:sz w:val="28"/>
          <w:szCs w:val="28"/>
          <w:rtl/>
        </w:rPr>
        <w:t>.</w:t>
      </w:r>
      <w:r w:rsidRPr="00634A5A">
        <w:rPr>
          <w:rFonts w:cs="Nazanin" w:hint="cs"/>
          <w:sz w:val="28"/>
          <w:szCs w:val="28"/>
          <w:rtl/>
        </w:rPr>
        <w:t xml:space="preserve"> پس از انجام اين اقدامات اصلاحي و برگزاري برنامه پيگيري ارزيابي وانو، نتايج زير حا</w:t>
      </w:r>
      <w:r>
        <w:rPr>
          <w:rFonts w:cs="Nazanin" w:hint="cs"/>
          <w:sz w:val="28"/>
          <w:szCs w:val="28"/>
          <w:rtl/>
        </w:rPr>
        <w:t>ص</w:t>
      </w:r>
      <w:r w:rsidRPr="00634A5A">
        <w:rPr>
          <w:rFonts w:cs="Nazanin" w:hint="cs"/>
          <w:sz w:val="28"/>
          <w:szCs w:val="28"/>
          <w:rtl/>
        </w:rPr>
        <w:t>ل گرديد.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518"/>
        <w:gridCol w:w="4961"/>
        <w:gridCol w:w="2082"/>
      </w:tblGrid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18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b/>
                <w:bCs/>
                <w:sz w:val="24"/>
                <w:szCs w:val="24"/>
              </w:rPr>
              <w:t>Number of AFIs</w:t>
            </w:r>
          </w:p>
        </w:tc>
      </w:tr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1</w:t>
            </w:r>
          </w:p>
        </w:tc>
        <w:tc>
          <w:tcPr>
            <w:tcW w:w="151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A</w:t>
            </w:r>
          </w:p>
        </w:tc>
        <w:tc>
          <w:tcPr>
            <w:tcW w:w="496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Satisfactory progress has been made</w:t>
            </w:r>
          </w:p>
        </w:tc>
        <w:tc>
          <w:tcPr>
            <w:tcW w:w="2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4</w:t>
            </w:r>
          </w:p>
        </w:tc>
      </w:tr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2</w:t>
            </w:r>
          </w:p>
        </w:tc>
        <w:tc>
          <w:tcPr>
            <w:tcW w:w="151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B</w:t>
            </w:r>
          </w:p>
        </w:tc>
        <w:tc>
          <w:tcPr>
            <w:tcW w:w="496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Progress is being made and should continue</w:t>
            </w:r>
          </w:p>
        </w:tc>
        <w:tc>
          <w:tcPr>
            <w:tcW w:w="2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7</w:t>
            </w:r>
          </w:p>
        </w:tc>
      </w:tr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C</w:t>
            </w:r>
          </w:p>
        </w:tc>
        <w:tc>
          <w:tcPr>
            <w:tcW w:w="496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Enhanced management attention is required</w:t>
            </w:r>
          </w:p>
        </w:tc>
        <w:tc>
          <w:tcPr>
            <w:tcW w:w="2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1</w:t>
            </w:r>
          </w:p>
        </w:tc>
      </w:tr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4</w:t>
            </w:r>
          </w:p>
        </w:tc>
        <w:tc>
          <w:tcPr>
            <w:tcW w:w="151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D</w:t>
            </w:r>
          </w:p>
        </w:tc>
        <w:tc>
          <w:tcPr>
            <w:tcW w:w="496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Little or no change in the status of the AFI</w:t>
            </w:r>
          </w:p>
        </w:tc>
        <w:tc>
          <w:tcPr>
            <w:tcW w:w="2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0</w:t>
            </w:r>
          </w:p>
        </w:tc>
      </w:tr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  <w:rtl/>
              </w:rPr>
            </w:pPr>
            <w:r w:rsidRPr="007C2B0E">
              <w:rPr>
                <w:rFonts w:cs="Nazanin"/>
                <w:sz w:val="24"/>
                <w:szCs w:val="24"/>
              </w:rPr>
              <w:t>5</w:t>
            </w:r>
          </w:p>
        </w:tc>
        <w:tc>
          <w:tcPr>
            <w:tcW w:w="151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Did not reviewed</w:t>
            </w:r>
          </w:p>
        </w:tc>
        <w:tc>
          <w:tcPr>
            <w:tcW w:w="2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sz w:val="24"/>
                <w:szCs w:val="24"/>
              </w:rPr>
              <w:t>2</w:t>
            </w:r>
          </w:p>
        </w:tc>
      </w:tr>
      <w:tr w:rsidR="006479D5" w:rsidRPr="007C2B0E" w:rsidTr="00E65C0B">
        <w:tc>
          <w:tcPr>
            <w:tcW w:w="75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96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both"/>
              <w:rPr>
                <w:rFonts w:cs="Nazani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6479D5" w:rsidRPr="007C2B0E" w:rsidRDefault="006479D5" w:rsidP="00E65C0B">
            <w:pPr>
              <w:bidi w:val="0"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7C2B0E">
              <w:rPr>
                <w:rFonts w:cs="Nazanin"/>
                <w:b/>
                <w:bCs/>
                <w:sz w:val="24"/>
                <w:szCs w:val="24"/>
              </w:rPr>
              <w:t>14</w:t>
            </w:r>
          </w:p>
        </w:tc>
      </w:tr>
    </w:tbl>
    <w:p w:rsidR="006479D5" w:rsidRDefault="006479D5" w:rsidP="006479D5">
      <w:pPr>
        <w:jc w:val="both"/>
        <w:rPr>
          <w:rFonts w:cs="Nazanin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65"/>
        <w:gridCol w:w="1981"/>
        <w:gridCol w:w="1658"/>
        <w:gridCol w:w="1919"/>
        <w:gridCol w:w="1919"/>
      </w:tblGrid>
      <w:tr w:rsidR="006479D5" w:rsidRPr="006479D5" w:rsidTr="006479D5">
        <w:tc>
          <w:tcPr>
            <w:tcW w:w="955" w:type="pct"/>
            <w:shd w:val="clear" w:color="auto" w:fill="F2F2F2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حوزه ارزيابي</w:t>
            </w:r>
          </w:p>
        </w:tc>
        <w:tc>
          <w:tcPr>
            <w:tcW w:w="1072" w:type="pct"/>
            <w:shd w:val="clear" w:color="auto" w:fill="F2F2F2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نام حوزه نيازمند بهبود</w:t>
            </w:r>
          </w:p>
        </w:tc>
        <w:tc>
          <w:tcPr>
            <w:tcW w:w="897" w:type="pct"/>
            <w:shd w:val="clear" w:color="auto" w:fill="F2F2F2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سطح كسب شده</w:t>
            </w:r>
          </w:p>
        </w:tc>
        <w:tc>
          <w:tcPr>
            <w:tcW w:w="1038" w:type="pct"/>
            <w:shd w:val="clear" w:color="auto" w:fill="F2F2F2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تعداد اقدامات اصلاحي تعريف شده</w:t>
            </w:r>
          </w:p>
        </w:tc>
        <w:tc>
          <w:tcPr>
            <w:tcW w:w="1038" w:type="pct"/>
            <w:shd w:val="clear" w:color="auto" w:fill="F2F2F2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تعداد اقدامات اصلاحي انجام شده</w:t>
            </w:r>
          </w:p>
        </w:tc>
      </w:tr>
      <w:tr w:rsidR="006479D5" w:rsidRPr="006479D5" w:rsidTr="006479D5">
        <w:tc>
          <w:tcPr>
            <w:tcW w:w="955" w:type="pc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مديريت</w:t>
            </w:r>
          </w:p>
        </w:tc>
        <w:tc>
          <w:tcPr>
            <w:tcW w:w="1072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LF.1-1</w:t>
            </w:r>
          </w:p>
        </w:tc>
        <w:tc>
          <w:tcPr>
            <w:tcW w:w="897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24</w:t>
            </w:r>
          </w:p>
        </w:tc>
      </w:tr>
      <w:tr w:rsidR="006479D5" w:rsidRPr="006479D5" w:rsidTr="006479D5">
        <w:trPr>
          <w:trHeight w:val="212"/>
        </w:trPr>
        <w:tc>
          <w:tcPr>
            <w:tcW w:w="955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بهره‌برداري</w:t>
            </w: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OP.1-1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ارزيابي نشد</w:t>
            </w:r>
          </w:p>
        </w:tc>
        <w:tc>
          <w:tcPr>
            <w:tcW w:w="1038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131</w:t>
            </w:r>
          </w:p>
        </w:tc>
        <w:tc>
          <w:tcPr>
            <w:tcW w:w="1038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96</w:t>
            </w:r>
          </w:p>
        </w:tc>
      </w:tr>
      <w:tr w:rsidR="006479D5" w:rsidRPr="006479D5" w:rsidTr="006479D5">
        <w:trPr>
          <w:trHeight w:val="211"/>
        </w:trPr>
        <w:tc>
          <w:tcPr>
            <w:tcW w:w="955" w:type="pct"/>
            <w:vMerge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OP.2-1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A</w:t>
            </w: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</w:tr>
      <w:tr w:rsidR="006479D5" w:rsidRPr="006479D5" w:rsidTr="006479D5">
        <w:trPr>
          <w:trHeight w:val="211"/>
        </w:trPr>
        <w:tc>
          <w:tcPr>
            <w:tcW w:w="955" w:type="pct"/>
            <w:vMerge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OF.1-1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</w:tr>
      <w:tr w:rsidR="006479D5" w:rsidRPr="006479D5" w:rsidTr="006479D5">
        <w:tc>
          <w:tcPr>
            <w:tcW w:w="955" w:type="pc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تعميرات </w:t>
            </w:r>
          </w:p>
        </w:tc>
        <w:tc>
          <w:tcPr>
            <w:tcW w:w="1072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MA.2-1</w:t>
            </w:r>
            <w:bookmarkStart w:id="0" w:name="_GoBack"/>
            <w:bookmarkEnd w:id="0"/>
          </w:p>
        </w:tc>
        <w:tc>
          <w:tcPr>
            <w:tcW w:w="897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A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31</w:t>
            </w:r>
          </w:p>
        </w:tc>
      </w:tr>
      <w:tr w:rsidR="006479D5" w:rsidRPr="006479D5" w:rsidTr="006479D5">
        <w:trPr>
          <w:trHeight w:val="197"/>
        </w:trPr>
        <w:tc>
          <w:tcPr>
            <w:tcW w:w="955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فني و مهندسي</w:t>
            </w: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EN.1-1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A</w:t>
            </w:r>
          </w:p>
        </w:tc>
        <w:tc>
          <w:tcPr>
            <w:tcW w:w="1038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038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23</w:t>
            </w:r>
          </w:p>
        </w:tc>
      </w:tr>
      <w:tr w:rsidR="006479D5" w:rsidRPr="006479D5" w:rsidTr="006479D5">
        <w:trPr>
          <w:trHeight w:val="197"/>
        </w:trPr>
        <w:tc>
          <w:tcPr>
            <w:tcW w:w="955" w:type="pct"/>
            <w:vMerge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CM.3-1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</w:tr>
      <w:tr w:rsidR="006479D5" w:rsidRPr="006479D5" w:rsidTr="006479D5">
        <w:tc>
          <w:tcPr>
            <w:tcW w:w="955" w:type="pc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شيمي</w:t>
            </w:r>
          </w:p>
        </w:tc>
        <w:tc>
          <w:tcPr>
            <w:tcW w:w="1072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CY.1-1</w:t>
            </w:r>
          </w:p>
        </w:tc>
        <w:tc>
          <w:tcPr>
            <w:tcW w:w="897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16</w:t>
            </w:r>
          </w:p>
        </w:tc>
      </w:tr>
      <w:tr w:rsidR="006479D5" w:rsidRPr="006479D5" w:rsidTr="006479D5">
        <w:tc>
          <w:tcPr>
            <w:tcW w:w="955" w:type="pc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برنامه ريزي اضطراري</w:t>
            </w: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EP.2-1</w:t>
            </w:r>
          </w:p>
        </w:tc>
        <w:tc>
          <w:tcPr>
            <w:tcW w:w="897" w:type="pct"/>
            <w:shd w:val="clear" w:color="auto" w:fill="D9D9D9"/>
            <w:vAlign w:val="center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C</w:t>
            </w:r>
          </w:p>
        </w:tc>
        <w:tc>
          <w:tcPr>
            <w:tcW w:w="1038" w:type="pc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038" w:type="pc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3</w:t>
            </w:r>
          </w:p>
        </w:tc>
      </w:tr>
      <w:tr w:rsidR="006479D5" w:rsidRPr="006479D5" w:rsidTr="006479D5">
        <w:tc>
          <w:tcPr>
            <w:tcW w:w="955" w:type="pc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بهبود عملكرد </w:t>
            </w:r>
          </w:p>
        </w:tc>
        <w:tc>
          <w:tcPr>
            <w:tcW w:w="1072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/>
                <w:sz w:val="24"/>
                <w:szCs w:val="24"/>
              </w:rPr>
              <w:t>PI.2-1</w:t>
            </w:r>
          </w:p>
        </w:tc>
        <w:tc>
          <w:tcPr>
            <w:tcW w:w="897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038" w:type="pct"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7</w:t>
            </w:r>
          </w:p>
        </w:tc>
      </w:tr>
      <w:tr w:rsidR="006479D5" w:rsidRPr="006479D5" w:rsidTr="006479D5">
        <w:trPr>
          <w:trHeight w:val="120"/>
        </w:trPr>
        <w:tc>
          <w:tcPr>
            <w:tcW w:w="955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ايمني پرتوي</w:t>
            </w: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RP.3-1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038" w:type="pct"/>
            <w:vMerge w:val="restart"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24</w:t>
            </w:r>
          </w:p>
        </w:tc>
      </w:tr>
      <w:tr w:rsidR="006479D5" w:rsidRPr="006479D5" w:rsidTr="006479D5">
        <w:trPr>
          <w:trHeight w:val="120"/>
        </w:trPr>
        <w:tc>
          <w:tcPr>
            <w:tcW w:w="955" w:type="pct"/>
            <w:vMerge/>
            <w:shd w:val="clear" w:color="auto" w:fill="D9D9D9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RP.4-1</w:t>
            </w:r>
          </w:p>
        </w:tc>
        <w:tc>
          <w:tcPr>
            <w:tcW w:w="897" w:type="pct"/>
            <w:shd w:val="clear" w:color="auto" w:fill="D9D9D9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A</w:t>
            </w: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38" w:type="pct"/>
            <w:vMerge/>
            <w:shd w:val="clear" w:color="auto" w:fill="D9D9D9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</w:tr>
      <w:tr w:rsidR="006479D5" w:rsidRPr="006479D5" w:rsidTr="006479D5">
        <w:trPr>
          <w:trHeight w:val="120"/>
        </w:trPr>
        <w:tc>
          <w:tcPr>
            <w:tcW w:w="955" w:type="pct"/>
            <w:vMerge w:val="restar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منابع انساني و آموزش</w:t>
            </w:r>
          </w:p>
        </w:tc>
        <w:tc>
          <w:tcPr>
            <w:tcW w:w="1072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TR.1-1</w:t>
            </w:r>
          </w:p>
        </w:tc>
        <w:tc>
          <w:tcPr>
            <w:tcW w:w="897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ارزيابي نشد</w:t>
            </w:r>
          </w:p>
        </w:tc>
        <w:tc>
          <w:tcPr>
            <w:tcW w:w="1038" w:type="pct"/>
            <w:vMerge w:val="restar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038" w:type="pct"/>
            <w:vMerge w:val="restart"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  <w:r w:rsidRPr="006479D5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9</w:t>
            </w:r>
          </w:p>
        </w:tc>
      </w:tr>
      <w:tr w:rsidR="006479D5" w:rsidRPr="006479D5" w:rsidTr="006479D5">
        <w:trPr>
          <w:trHeight w:val="120"/>
        </w:trPr>
        <w:tc>
          <w:tcPr>
            <w:tcW w:w="955" w:type="pct"/>
            <w:vMerge/>
            <w:shd w:val="clear" w:color="auto" w:fill="auto"/>
            <w:vAlign w:val="center"/>
          </w:tcPr>
          <w:p w:rsidR="006479D5" w:rsidRPr="006479D5" w:rsidRDefault="006479D5" w:rsidP="006479D5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HU.1-1</w:t>
            </w:r>
          </w:p>
        </w:tc>
        <w:tc>
          <w:tcPr>
            <w:tcW w:w="897" w:type="pct"/>
            <w:shd w:val="clear" w:color="auto" w:fill="auto"/>
          </w:tcPr>
          <w:p w:rsidR="006479D5" w:rsidRPr="006479D5" w:rsidRDefault="006479D5" w:rsidP="006479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</w:rPr>
            </w:pPr>
            <w:r w:rsidRPr="006479D5">
              <w:rPr>
                <w:rFonts w:ascii="Arial" w:eastAsia="Times New Roman" w:hAnsi="Arial" w:cs="B Mitra"/>
                <w:sz w:val="24"/>
                <w:szCs w:val="24"/>
              </w:rPr>
              <w:t>B</w:t>
            </w:r>
          </w:p>
        </w:tc>
        <w:tc>
          <w:tcPr>
            <w:tcW w:w="1038" w:type="pct"/>
            <w:vMerge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  <w:tc>
          <w:tcPr>
            <w:tcW w:w="1038" w:type="pct"/>
            <w:vMerge/>
            <w:shd w:val="clear" w:color="auto" w:fill="auto"/>
          </w:tcPr>
          <w:p w:rsidR="006479D5" w:rsidRPr="006479D5" w:rsidRDefault="006479D5" w:rsidP="006479D5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4"/>
                <w:szCs w:val="24"/>
                <w:rtl/>
              </w:rPr>
            </w:pPr>
          </w:p>
        </w:tc>
      </w:tr>
    </w:tbl>
    <w:p w:rsidR="008A20AB" w:rsidRDefault="006479D5"/>
    <w:sectPr w:rsidR="008A20AB" w:rsidSect="00BA4A3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47"/>
    <w:rsid w:val="006479D5"/>
    <w:rsid w:val="00BA4A3C"/>
    <w:rsid w:val="00C04C48"/>
    <w:rsid w:val="00C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D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D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Khezri, Kazem</dc:creator>
  <cp:keywords/>
  <dc:description/>
  <cp:lastModifiedBy>Khezri, Kazem</cp:lastModifiedBy>
  <cp:revision>2</cp:revision>
  <dcterms:created xsi:type="dcterms:W3CDTF">2017-12-19T11:27:00Z</dcterms:created>
  <dcterms:modified xsi:type="dcterms:W3CDTF">2017-12-19T11:31:00Z</dcterms:modified>
</cp:coreProperties>
</file>