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F2" w:rsidRPr="00D12204" w:rsidRDefault="00D10AF2" w:rsidP="00D10AF2">
      <w:pPr>
        <w:spacing w:line="360" w:lineRule="auto"/>
        <w:jc w:val="both"/>
        <w:rPr>
          <w:rFonts w:asciiTheme="majorBidi" w:hAnsiTheme="majorBidi" w:cstheme="majorBidi"/>
          <w:b/>
          <w:sz w:val="28"/>
          <w:szCs w:val="28"/>
          <w:u w:val="single"/>
          <w:lang w:val="en-GB"/>
        </w:rPr>
      </w:pPr>
      <w:r w:rsidRPr="00D12204">
        <w:rPr>
          <w:rFonts w:asciiTheme="majorBidi" w:hAnsiTheme="majorBidi" w:cstheme="majorBidi"/>
          <w:b/>
          <w:sz w:val="28"/>
          <w:szCs w:val="28"/>
          <w:u w:val="single"/>
          <w:lang w:val="en-GB"/>
        </w:rPr>
        <w:t>Annex 3 to the Contract</w:t>
      </w:r>
    </w:p>
    <w:p w:rsidR="00D10AF2" w:rsidRPr="00774ACC" w:rsidRDefault="00D10AF2" w:rsidP="00D10AF2">
      <w:pPr>
        <w:bidi/>
        <w:spacing w:line="360" w:lineRule="auto"/>
        <w:jc w:val="center"/>
        <w:rPr>
          <w:rFonts w:asciiTheme="majorBidi" w:hAnsiTheme="majorBidi" w:cstheme="majorBidi"/>
          <w:b/>
          <w:bCs/>
          <w:sz w:val="28"/>
          <w:szCs w:val="28"/>
          <w:u w:val="single"/>
        </w:rPr>
      </w:pPr>
      <w:r w:rsidRPr="00774ACC">
        <w:rPr>
          <w:rFonts w:asciiTheme="majorBidi" w:hAnsiTheme="majorBidi" w:cstheme="majorBidi"/>
          <w:b/>
          <w:bCs/>
          <w:sz w:val="28"/>
          <w:szCs w:val="28"/>
          <w:u w:val="single"/>
        </w:rPr>
        <w:t>List of the required Technical Documents</w:t>
      </w:r>
    </w:p>
    <w:p w:rsidR="00D10AF2" w:rsidRPr="00774ACC" w:rsidRDefault="00D10AF2" w:rsidP="00D10AF2">
      <w:pPr>
        <w:spacing w:line="360" w:lineRule="auto"/>
        <w:jc w:val="center"/>
        <w:rPr>
          <w:rFonts w:asciiTheme="majorBidi" w:hAnsiTheme="majorBidi" w:cstheme="majorBidi"/>
          <w:b/>
          <w:bCs/>
          <w:sz w:val="28"/>
          <w:szCs w:val="28"/>
          <w:u w:val="single"/>
        </w:rPr>
      </w:pP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 xml:space="preserve">Part List </w:t>
      </w: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Packing list</w:t>
      </w:r>
    </w:p>
    <w:p w:rsidR="00D10AF2"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t>Quality Control Plan (QCP) and/or ma</w:t>
      </w:r>
      <w:r>
        <w:rPr>
          <w:rFonts w:asciiTheme="majorBidi" w:hAnsiTheme="majorBidi" w:cstheme="majorBidi"/>
          <w:sz w:val="28"/>
          <w:szCs w:val="28"/>
        </w:rPr>
        <w:t>nufacturing</w:t>
      </w:r>
      <w:r w:rsidRPr="00774ACC">
        <w:rPr>
          <w:rFonts w:asciiTheme="majorBidi" w:hAnsiTheme="majorBidi" w:cstheme="majorBidi"/>
          <w:sz w:val="28"/>
          <w:szCs w:val="28"/>
        </w:rPr>
        <w:t xml:space="preserve"> sequence plan (MSP) and it’s relevant documents</w:t>
      </w:r>
    </w:p>
    <w:p w:rsidR="00D10AF2" w:rsidRPr="00774ACC" w:rsidRDefault="00D10AF2" w:rsidP="00D10AF2">
      <w:pPr>
        <w:numPr>
          <w:ilvl w:val="0"/>
          <w:numId w:val="1"/>
        </w:numPr>
        <w:spacing w:line="360" w:lineRule="auto"/>
        <w:ind w:left="1418" w:hanging="698"/>
        <w:jc w:val="lowKashida"/>
        <w:rPr>
          <w:rFonts w:asciiTheme="majorBidi" w:hAnsiTheme="majorBidi" w:cstheme="majorBidi"/>
          <w:sz w:val="28"/>
          <w:szCs w:val="28"/>
        </w:rPr>
      </w:pPr>
      <w:r>
        <w:rPr>
          <w:rFonts w:asciiTheme="majorBidi" w:hAnsiTheme="majorBidi" w:cstheme="majorBidi"/>
          <w:sz w:val="28"/>
          <w:szCs w:val="28"/>
        </w:rPr>
        <w:t>Mandatory updates of part of documents according to item 105 of technical offer of KSB</w:t>
      </w:r>
    </w:p>
    <w:p w:rsidR="00D10AF2" w:rsidRPr="00774ACC"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t>Time schedule (TS)</w:t>
      </w:r>
    </w:p>
    <w:p w:rsidR="00D10AF2" w:rsidRPr="00774ACC"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t>Material specification, for the items which are not included in QCP/MSP 2.1, materials certificate will be issued (if applicable)</w:t>
      </w:r>
    </w:p>
    <w:p w:rsidR="00D10AF2" w:rsidRPr="00774ACC" w:rsidRDefault="00D10AF2" w:rsidP="00D10AF2">
      <w:pPr>
        <w:numPr>
          <w:ilvl w:val="0"/>
          <w:numId w:val="1"/>
        </w:numPr>
        <w:spacing w:line="360" w:lineRule="auto"/>
        <w:ind w:left="1418" w:hanging="698"/>
        <w:rPr>
          <w:rFonts w:asciiTheme="majorBidi" w:hAnsiTheme="majorBidi" w:cstheme="majorBidi"/>
          <w:color w:val="000000" w:themeColor="text1"/>
          <w:sz w:val="28"/>
          <w:szCs w:val="28"/>
        </w:rPr>
      </w:pPr>
      <w:r w:rsidRPr="00774ACC">
        <w:rPr>
          <w:rFonts w:asciiTheme="majorBidi" w:hAnsiTheme="majorBidi" w:cstheme="majorBidi"/>
          <w:color w:val="000000" w:themeColor="text1"/>
          <w:sz w:val="28"/>
          <w:szCs w:val="28"/>
        </w:rPr>
        <w:t>Destructive Testing plans and reports for Base &amp; weld Metal (Tension, hardness, intergranular corrosion resistance, impact and bending Tests),</w:t>
      </w:r>
      <w:r w:rsidRPr="00774ACC">
        <w:rPr>
          <w:rFonts w:asciiTheme="majorBidi" w:hAnsiTheme="majorBidi" w:cstheme="majorBidi"/>
          <w:sz w:val="28"/>
          <w:szCs w:val="28"/>
        </w:rPr>
        <w:t xml:space="preserve"> (if applicable)</w:t>
      </w: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Nondestructive Testing plans and reports for Base &amp; weld Metal (UT, MT, PT and RT), (if applicable)</w:t>
      </w: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Material Certificate and Test report (chemical &amp; identify)</w:t>
      </w:r>
      <w:r w:rsidR="00A3150C">
        <w:rPr>
          <w:rFonts w:asciiTheme="majorBidi" w:hAnsiTheme="majorBidi" w:cstheme="majorBidi"/>
          <w:sz w:val="28"/>
          <w:szCs w:val="28"/>
        </w:rPr>
        <w:t xml:space="preserve"> </w:t>
      </w:r>
      <w:r w:rsidRPr="00774ACC">
        <w:rPr>
          <w:rFonts w:asciiTheme="majorBidi" w:hAnsiTheme="majorBidi" w:cstheme="majorBidi"/>
          <w:sz w:val="28"/>
          <w:szCs w:val="28"/>
        </w:rPr>
        <w:t>- (if applicable)</w:t>
      </w: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Calculation An</w:t>
      </w:r>
      <w:r w:rsidR="009C6AA4">
        <w:rPr>
          <w:rFonts w:asciiTheme="majorBidi" w:hAnsiTheme="majorBidi" w:cstheme="majorBidi"/>
          <w:sz w:val="28"/>
          <w:szCs w:val="28"/>
        </w:rPr>
        <w:t xml:space="preserve">alysis for pressure boundaries (if applicable) </w:t>
      </w: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Assembly &amp; sectional drawing</w:t>
      </w: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Part Drawing with dimensions (if the dimensions is not mentioned in another document)</w:t>
      </w:r>
    </w:p>
    <w:p w:rsidR="00D10AF2" w:rsidRPr="00774ACC" w:rsidRDefault="00D10AF2" w:rsidP="00D10AF2">
      <w:pPr>
        <w:numPr>
          <w:ilvl w:val="0"/>
          <w:numId w:val="1"/>
        </w:numPr>
        <w:spacing w:line="360" w:lineRule="auto"/>
        <w:ind w:left="1418" w:hanging="698"/>
        <w:rPr>
          <w:rFonts w:asciiTheme="majorBidi" w:hAnsiTheme="majorBidi" w:cstheme="majorBidi"/>
          <w:sz w:val="28"/>
          <w:szCs w:val="28"/>
        </w:rPr>
      </w:pPr>
      <w:r w:rsidRPr="00774ACC">
        <w:rPr>
          <w:rFonts w:asciiTheme="majorBidi" w:hAnsiTheme="majorBidi" w:cstheme="majorBidi"/>
          <w:sz w:val="28"/>
          <w:szCs w:val="28"/>
        </w:rPr>
        <w:t>Welding specification (WPS,PQR,WQT) (if applicable)</w:t>
      </w:r>
    </w:p>
    <w:p w:rsidR="00D10AF2" w:rsidRPr="00774ACC"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t xml:space="preserve">Pre-shipment inspection report(s) </w:t>
      </w:r>
    </w:p>
    <w:p w:rsidR="00D10AF2" w:rsidRPr="00774ACC"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t>nonconformance report an</w:t>
      </w:r>
      <w:bookmarkStart w:id="0" w:name="_GoBack"/>
      <w:bookmarkEnd w:id="0"/>
      <w:r w:rsidRPr="00774ACC">
        <w:rPr>
          <w:rFonts w:asciiTheme="majorBidi" w:hAnsiTheme="majorBidi" w:cstheme="majorBidi"/>
          <w:sz w:val="28"/>
          <w:szCs w:val="28"/>
        </w:rPr>
        <w:t>d corrective actions (if applicable)</w:t>
      </w:r>
    </w:p>
    <w:p w:rsidR="00D10AF2" w:rsidRPr="00774ACC" w:rsidRDefault="00A3150C" w:rsidP="00A3150C">
      <w:pPr>
        <w:numPr>
          <w:ilvl w:val="0"/>
          <w:numId w:val="1"/>
        </w:numPr>
        <w:spacing w:line="360" w:lineRule="auto"/>
        <w:ind w:left="1418" w:hanging="698"/>
        <w:rPr>
          <w:rFonts w:asciiTheme="majorBidi" w:hAnsiTheme="majorBidi" w:cstheme="majorBidi"/>
          <w:sz w:val="28"/>
          <w:szCs w:val="28"/>
        </w:rPr>
      </w:pPr>
      <w:r>
        <w:rPr>
          <w:rFonts w:asciiTheme="majorBidi" w:hAnsiTheme="majorBidi" w:cstheme="majorBidi"/>
          <w:sz w:val="28"/>
          <w:szCs w:val="28"/>
        </w:rPr>
        <w:t xml:space="preserve">Operation &amp; </w:t>
      </w:r>
      <w:r w:rsidR="00D10AF2" w:rsidRPr="00774ACC">
        <w:rPr>
          <w:rFonts w:asciiTheme="majorBidi" w:hAnsiTheme="majorBidi" w:cstheme="majorBidi"/>
          <w:sz w:val="28"/>
          <w:szCs w:val="28"/>
        </w:rPr>
        <w:t>Maintenance</w:t>
      </w:r>
      <w:r>
        <w:rPr>
          <w:rFonts w:asciiTheme="majorBidi" w:hAnsiTheme="majorBidi" w:cstheme="majorBidi"/>
          <w:sz w:val="28"/>
          <w:szCs w:val="28"/>
        </w:rPr>
        <w:t xml:space="preserve"> </w:t>
      </w:r>
      <w:r w:rsidR="00D10AF2" w:rsidRPr="00774ACC">
        <w:rPr>
          <w:rFonts w:asciiTheme="majorBidi" w:hAnsiTheme="majorBidi" w:cstheme="majorBidi"/>
          <w:sz w:val="28"/>
          <w:szCs w:val="28"/>
        </w:rPr>
        <w:t>Manual (based on approved offer</w:t>
      </w:r>
      <w:r w:rsidR="00D10AF2">
        <w:rPr>
          <w:rFonts w:asciiTheme="majorBidi" w:hAnsiTheme="majorBidi" w:cstheme="majorBidi"/>
          <w:sz w:val="28"/>
          <w:szCs w:val="28"/>
        </w:rPr>
        <w:t>s-rev.02</w:t>
      </w:r>
      <w:r w:rsidR="00D10AF2" w:rsidRPr="00774ACC">
        <w:rPr>
          <w:rFonts w:asciiTheme="majorBidi" w:hAnsiTheme="majorBidi" w:cstheme="majorBidi"/>
          <w:sz w:val="28"/>
          <w:szCs w:val="28"/>
        </w:rPr>
        <w:t xml:space="preserve"> of KSB)</w:t>
      </w:r>
    </w:p>
    <w:p w:rsidR="00D10AF2" w:rsidRPr="00774ACC"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t>Painting specification (if applicable)</w:t>
      </w:r>
    </w:p>
    <w:p w:rsidR="00D10AF2" w:rsidRPr="00774ACC"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t>Packing, Marking &amp; Shipping Procedure</w:t>
      </w:r>
    </w:p>
    <w:p w:rsidR="00D10AF2" w:rsidRDefault="00D10AF2" w:rsidP="00D10AF2">
      <w:pPr>
        <w:numPr>
          <w:ilvl w:val="0"/>
          <w:numId w:val="1"/>
        </w:numPr>
        <w:spacing w:line="360" w:lineRule="auto"/>
        <w:ind w:left="1418" w:hanging="698"/>
        <w:jc w:val="lowKashida"/>
        <w:rPr>
          <w:rFonts w:asciiTheme="majorBidi" w:hAnsiTheme="majorBidi" w:cstheme="majorBidi"/>
          <w:sz w:val="28"/>
          <w:szCs w:val="28"/>
        </w:rPr>
      </w:pPr>
      <w:r w:rsidRPr="00774ACC">
        <w:rPr>
          <w:rFonts w:asciiTheme="majorBidi" w:hAnsiTheme="majorBidi" w:cstheme="majorBidi"/>
          <w:sz w:val="28"/>
          <w:szCs w:val="28"/>
        </w:rPr>
        <w:lastRenderedPageBreak/>
        <w:t>Final Book (including technical specification information, materials and etc.)</w:t>
      </w:r>
    </w:p>
    <w:p w:rsidR="00D10AF2" w:rsidRPr="00774ACC" w:rsidRDefault="00D10AF2" w:rsidP="00D10AF2">
      <w:pPr>
        <w:spacing w:line="360" w:lineRule="auto"/>
        <w:rPr>
          <w:rFonts w:asciiTheme="majorBidi" w:hAnsiTheme="majorBidi" w:cstheme="majorBidi"/>
          <w:sz w:val="28"/>
          <w:szCs w:val="28"/>
        </w:rPr>
      </w:pPr>
    </w:p>
    <w:p w:rsidR="00D10AF2" w:rsidRPr="00774ACC" w:rsidRDefault="00D10AF2" w:rsidP="00D10AF2">
      <w:pPr>
        <w:spacing w:line="360" w:lineRule="auto"/>
        <w:rPr>
          <w:rFonts w:asciiTheme="majorBidi" w:hAnsiTheme="majorBidi" w:cstheme="majorBidi"/>
          <w:sz w:val="28"/>
          <w:szCs w:val="28"/>
        </w:rPr>
      </w:pPr>
      <w:r w:rsidRPr="00774ACC">
        <w:rPr>
          <w:rFonts w:asciiTheme="majorBidi" w:hAnsiTheme="majorBidi" w:cstheme="majorBidi"/>
          <w:sz w:val="28"/>
          <w:szCs w:val="28"/>
        </w:rPr>
        <w:t>Note 1: all documents shall be prepared in the unified system of design documentation format as mentioned in the standard list.</w:t>
      </w:r>
    </w:p>
    <w:p w:rsidR="00D10AF2" w:rsidRPr="00774ACC" w:rsidRDefault="00D10AF2" w:rsidP="00D10AF2">
      <w:pPr>
        <w:spacing w:line="360" w:lineRule="auto"/>
        <w:rPr>
          <w:rFonts w:asciiTheme="majorBidi" w:hAnsiTheme="majorBidi" w:cstheme="majorBidi"/>
          <w:sz w:val="28"/>
          <w:szCs w:val="28"/>
        </w:rPr>
      </w:pPr>
    </w:p>
    <w:p w:rsidR="00D10AF2" w:rsidRPr="00D12204" w:rsidRDefault="00D10AF2" w:rsidP="00D10AF2">
      <w:pPr>
        <w:spacing w:line="360" w:lineRule="auto"/>
        <w:ind w:left="567"/>
        <w:jc w:val="both"/>
        <w:rPr>
          <w:rFonts w:asciiTheme="majorBidi" w:hAnsiTheme="majorBidi" w:cstheme="majorBidi"/>
          <w:sz w:val="28"/>
          <w:szCs w:val="28"/>
        </w:rPr>
      </w:pPr>
    </w:p>
    <w:p w:rsidR="00DB6C48" w:rsidRPr="00DB6C48" w:rsidRDefault="00DB6C48" w:rsidP="00DB6C48">
      <w:pPr>
        <w:pStyle w:val="Style2"/>
        <w:widowControl/>
        <w:spacing w:line="360" w:lineRule="auto"/>
        <w:jc w:val="both"/>
        <w:rPr>
          <w:rStyle w:val="FontStyle11"/>
          <w:rFonts w:asciiTheme="majorBidi" w:hAnsiTheme="majorBidi" w:cstheme="majorBidi"/>
          <w:b/>
          <w:bCs/>
          <w:lang w:val="en-US" w:eastAsia="en-US"/>
        </w:rPr>
      </w:pPr>
      <w:r w:rsidRPr="00DB6C48">
        <w:rPr>
          <w:rStyle w:val="FontStyle11"/>
          <w:rFonts w:asciiTheme="majorBidi" w:hAnsiTheme="majorBidi" w:cstheme="majorBidi"/>
          <w:b/>
          <w:bCs/>
          <w:lang w:val="en-US" w:eastAsia="en-US"/>
        </w:rPr>
        <w:t xml:space="preserve">    The Purchaser                                                                                    </w:t>
      </w:r>
      <w:proofErr w:type="gramStart"/>
      <w:r w:rsidRPr="00DB6C48">
        <w:rPr>
          <w:rStyle w:val="FontStyle11"/>
          <w:rFonts w:asciiTheme="majorBidi" w:hAnsiTheme="majorBidi" w:cstheme="majorBidi"/>
          <w:b/>
          <w:bCs/>
          <w:lang w:val="en-US" w:eastAsia="en-US"/>
        </w:rPr>
        <w:t>The</w:t>
      </w:r>
      <w:proofErr w:type="gramEnd"/>
      <w:r w:rsidRPr="00DB6C48">
        <w:rPr>
          <w:rStyle w:val="FontStyle11"/>
          <w:rFonts w:asciiTheme="majorBidi" w:hAnsiTheme="majorBidi" w:cstheme="majorBidi"/>
          <w:b/>
          <w:bCs/>
          <w:lang w:val="en-US" w:eastAsia="en-US"/>
        </w:rPr>
        <w:t xml:space="preserve"> Supplier </w:t>
      </w:r>
    </w:p>
    <w:p w:rsidR="00D10AF2" w:rsidRPr="00D12204" w:rsidRDefault="00D10AF2" w:rsidP="00D10AF2">
      <w:pPr>
        <w:spacing w:line="360" w:lineRule="auto"/>
        <w:jc w:val="both"/>
        <w:rPr>
          <w:rFonts w:asciiTheme="majorBidi" w:hAnsiTheme="majorBidi" w:cstheme="majorBidi"/>
          <w:b/>
          <w:sz w:val="28"/>
          <w:szCs w:val="28"/>
          <w:u w:val="single"/>
          <w:lang w:val="en-GB"/>
        </w:rPr>
      </w:pPr>
      <w:r w:rsidRPr="00D12204">
        <w:rPr>
          <w:rFonts w:asciiTheme="majorBidi" w:hAnsiTheme="majorBidi" w:cstheme="majorBidi"/>
          <w:b/>
          <w:sz w:val="28"/>
          <w:szCs w:val="28"/>
          <w:u w:val="single"/>
          <w:lang w:val="en-GB"/>
        </w:rPr>
        <w:br w:type="page"/>
      </w:r>
    </w:p>
    <w:p w:rsidR="00D10AF2" w:rsidRPr="00D12204" w:rsidRDefault="00D10AF2" w:rsidP="00D10AF2">
      <w:pPr>
        <w:spacing w:line="360" w:lineRule="auto"/>
        <w:jc w:val="both"/>
        <w:rPr>
          <w:rFonts w:asciiTheme="majorBidi" w:hAnsiTheme="majorBidi" w:cstheme="majorBidi"/>
          <w:sz w:val="28"/>
          <w:szCs w:val="28"/>
          <w:lang w:val="en-GB"/>
        </w:rPr>
      </w:pPr>
      <w:r w:rsidRPr="00D12204">
        <w:rPr>
          <w:rFonts w:asciiTheme="majorBidi" w:hAnsiTheme="majorBidi" w:cstheme="majorBidi"/>
          <w:b/>
          <w:sz w:val="28"/>
          <w:szCs w:val="28"/>
          <w:u w:val="single"/>
          <w:lang w:val="en-GB"/>
        </w:rPr>
        <w:lastRenderedPageBreak/>
        <w:t xml:space="preserve">Annex 4- </w:t>
      </w:r>
      <w:r w:rsidRPr="00D12204">
        <w:rPr>
          <w:rFonts w:asciiTheme="majorBidi" w:hAnsiTheme="majorBidi" w:cstheme="majorBidi"/>
          <w:sz w:val="28"/>
          <w:szCs w:val="28"/>
          <w:u w:val="single"/>
          <w:lang w:val="en-GB"/>
        </w:rPr>
        <w:t xml:space="preserve">Time Schedule </w:t>
      </w:r>
    </w:p>
    <w:p w:rsidR="00D10AF2" w:rsidRPr="00D12204" w:rsidRDefault="00D10AF2" w:rsidP="00D10AF2">
      <w:pPr>
        <w:spacing w:line="360" w:lineRule="auto"/>
        <w:ind w:left="567"/>
        <w:jc w:val="both"/>
        <w:rPr>
          <w:rFonts w:asciiTheme="majorBidi" w:hAnsiTheme="majorBidi" w:cstheme="majorBidi"/>
          <w:sz w:val="28"/>
          <w:szCs w:val="28"/>
          <w:lang w:val="en-GB"/>
        </w:rPr>
      </w:pPr>
    </w:p>
    <w:p w:rsidR="00D10AF2" w:rsidRPr="00D12204" w:rsidRDefault="00D10AF2" w:rsidP="00D10AF2">
      <w:pPr>
        <w:spacing w:line="360" w:lineRule="auto"/>
        <w:rPr>
          <w:rFonts w:asciiTheme="majorBidi" w:hAnsiTheme="majorBidi" w:cstheme="majorBidi"/>
          <w:sz w:val="28"/>
          <w:szCs w:val="28"/>
          <w:lang w:val="en-GB"/>
        </w:rPr>
      </w:pPr>
      <w:r w:rsidRPr="00D12204">
        <w:rPr>
          <w:rFonts w:asciiTheme="majorBidi" w:hAnsiTheme="majorBidi" w:cstheme="majorBidi"/>
          <w:sz w:val="28"/>
          <w:szCs w:val="28"/>
          <w:lang w:val="en-GB"/>
        </w:rPr>
        <w:t xml:space="preserve">        </w:t>
      </w:r>
      <w:r w:rsidRPr="00774ACC">
        <w:rPr>
          <w:rFonts w:asciiTheme="majorBidi" w:hAnsiTheme="majorBidi" w:cstheme="majorBidi"/>
          <w:sz w:val="28"/>
          <w:szCs w:val="28"/>
        </w:rPr>
        <w:t>The duration of the Contract for delivery of the Spare Parts is 15 months and shall be started from the effectiveness date of the Contract. The detailed time schedule shall be provided by the Supplier after two weeks of the effectiveness date for consideration to the Purchaser.</w:t>
      </w: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B6C48" w:rsidRPr="00DB6C48" w:rsidRDefault="00DB6C48" w:rsidP="00DB6C48">
      <w:pPr>
        <w:pStyle w:val="Style2"/>
        <w:widowControl/>
        <w:spacing w:line="360" w:lineRule="auto"/>
        <w:jc w:val="both"/>
        <w:rPr>
          <w:rStyle w:val="FontStyle11"/>
          <w:rFonts w:asciiTheme="majorBidi" w:hAnsiTheme="majorBidi" w:cstheme="majorBidi"/>
          <w:b/>
          <w:bCs/>
          <w:lang w:val="en-US" w:eastAsia="en-US"/>
        </w:rPr>
      </w:pPr>
      <w:r w:rsidRPr="00DB6C48">
        <w:rPr>
          <w:rStyle w:val="FontStyle11"/>
          <w:rFonts w:asciiTheme="majorBidi" w:hAnsiTheme="majorBidi" w:cstheme="majorBidi"/>
          <w:b/>
          <w:bCs/>
          <w:lang w:val="en-US" w:eastAsia="en-US"/>
        </w:rPr>
        <w:t xml:space="preserve">    The Purchaser                                                                                    </w:t>
      </w:r>
      <w:proofErr w:type="gramStart"/>
      <w:r w:rsidRPr="00DB6C48">
        <w:rPr>
          <w:rStyle w:val="FontStyle11"/>
          <w:rFonts w:asciiTheme="majorBidi" w:hAnsiTheme="majorBidi" w:cstheme="majorBidi"/>
          <w:b/>
          <w:bCs/>
          <w:lang w:val="en-US" w:eastAsia="en-US"/>
        </w:rPr>
        <w:t>The</w:t>
      </w:r>
      <w:proofErr w:type="gramEnd"/>
      <w:r w:rsidRPr="00DB6C48">
        <w:rPr>
          <w:rStyle w:val="FontStyle11"/>
          <w:rFonts w:asciiTheme="majorBidi" w:hAnsiTheme="majorBidi" w:cstheme="majorBidi"/>
          <w:b/>
          <w:bCs/>
          <w:lang w:val="en-US" w:eastAsia="en-US"/>
        </w:rPr>
        <w:t xml:space="preserve"> Supplier </w:t>
      </w: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pStyle w:val="Style4"/>
        <w:widowControl/>
        <w:spacing w:line="360" w:lineRule="auto"/>
        <w:rPr>
          <w:rStyle w:val="FontStyle13"/>
          <w:rFonts w:asciiTheme="majorBidi" w:hAnsiTheme="majorBidi" w:cstheme="majorBidi"/>
          <w:lang w:val="en-US" w:eastAsia="en-US"/>
        </w:rPr>
      </w:pPr>
      <w:r w:rsidRPr="00D12204">
        <w:rPr>
          <w:rStyle w:val="FontStyle13"/>
          <w:rFonts w:asciiTheme="majorBidi" w:hAnsiTheme="majorBidi" w:cstheme="majorBidi"/>
          <w:lang w:val="en-US" w:eastAsia="en-US"/>
        </w:rPr>
        <w:t>Annex 5 to the Contract</w:t>
      </w:r>
    </w:p>
    <w:p w:rsidR="00D10AF2" w:rsidRPr="00D12204" w:rsidRDefault="00D10AF2" w:rsidP="00D10AF2">
      <w:pPr>
        <w:pStyle w:val="Style4"/>
        <w:widowControl/>
        <w:spacing w:line="360" w:lineRule="auto"/>
        <w:rPr>
          <w:rStyle w:val="FontStyle13"/>
          <w:rFonts w:asciiTheme="majorBidi" w:hAnsiTheme="majorBidi" w:cstheme="majorBidi"/>
          <w:lang w:val="en-US" w:eastAsia="en-US"/>
        </w:rPr>
      </w:pPr>
    </w:p>
    <w:p w:rsidR="00D10AF2" w:rsidRPr="00D12204" w:rsidRDefault="00D10AF2" w:rsidP="00D10AF2">
      <w:pPr>
        <w:pStyle w:val="Style4"/>
        <w:widowControl/>
        <w:spacing w:line="360" w:lineRule="auto"/>
        <w:jc w:val="center"/>
        <w:outlineLvl w:val="0"/>
        <w:rPr>
          <w:rStyle w:val="FontStyle13"/>
          <w:rFonts w:asciiTheme="majorBidi" w:hAnsiTheme="majorBidi" w:cstheme="majorBidi"/>
          <w:sz w:val="28"/>
          <w:szCs w:val="28"/>
          <w:lang w:val="en-US" w:eastAsia="en-US"/>
        </w:rPr>
      </w:pPr>
      <w:r w:rsidRPr="00D12204">
        <w:rPr>
          <w:rStyle w:val="FontStyle13"/>
          <w:rFonts w:asciiTheme="majorBidi" w:hAnsiTheme="majorBidi" w:cstheme="majorBidi"/>
          <w:sz w:val="28"/>
          <w:szCs w:val="28"/>
          <w:lang w:val="en-US" w:eastAsia="en-US"/>
        </w:rPr>
        <w:t>Quality Assurance</w:t>
      </w:r>
    </w:p>
    <w:p w:rsidR="00D10AF2" w:rsidRPr="00774ACC" w:rsidRDefault="00D10AF2" w:rsidP="00D10AF2">
      <w:pPr>
        <w:pStyle w:val="Style5"/>
        <w:widowControl/>
        <w:spacing w:line="360" w:lineRule="auto"/>
        <w:rPr>
          <w:rStyle w:val="FontStyle14"/>
          <w:rFonts w:asciiTheme="majorBidi" w:hAnsiTheme="majorBidi" w:cstheme="majorBidi"/>
          <w:lang w:val="en-US" w:eastAsia="en-US"/>
        </w:rPr>
      </w:pPr>
    </w:p>
    <w:p w:rsidR="00D10AF2" w:rsidRPr="00774ACC" w:rsidRDefault="00D10AF2" w:rsidP="00D10AF2">
      <w:pPr>
        <w:pStyle w:val="Style5"/>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 xml:space="preserve">The Contractor's activities related to the Quality assurance and control of the manufacture and delivery of the spare parts under this Contract shall be in line (as minimum requirements) with the IAEA Codes and requirements. If possible, comply with IAEA safety requirements </w:t>
      </w:r>
      <w:proofErr w:type="gramStart"/>
      <w:r w:rsidRPr="00774ACC">
        <w:rPr>
          <w:rFonts w:asciiTheme="majorBidi" w:eastAsia="Calibri" w:hAnsiTheme="majorBidi" w:cstheme="majorBidi"/>
          <w:sz w:val="28"/>
          <w:szCs w:val="28"/>
          <w:lang w:val="en-US" w:bidi="fa-IR"/>
        </w:rPr>
        <w:t>No</w:t>
      </w:r>
      <w:proofErr w:type="gramEnd"/>
      <w:r w:rsidRPr="00774ACC">
        <w:rPr>
          <w:rFonts w:asciiTheme="majorBidi" w:eastAsia="Calibri" w:hAnsiTheme="majorBidi" w:cstheme="majorBidi"/>
          <w:sz w:val="28"/>
          <w:szCs w:val="28"/>
          <w:lang w:val="en-US" w:bidi="fa-IR"/>
        </w:rPr>
        <w:t>. GS-R-3 "The management system for facilities and activities" (2016).</w:t>
      </w:r>
    </w:p>
    <w:p w:rsidR="00D10AF2" w:rsidRPr="00774ACC" w:rsidRDefault="00D10AF2" w:rsidP="00D10AF2">
      <w:pPr>
        <w:pStyle w:val="Style5"/>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The Supplier shall manufacture and deliver the spare parts manufactured with observance of the quality control measures, and respective tests carried out pursuant to the technical requirements established in the design documentation, technical conditions and other regulatory documentation for the identical equipment delivered to BNPP Unit 1.</w:t>
      </w:r>
    </w:p>
    <w:p w:rsidR="00D10AF2" w:rsidRPr="00774ACC" w:rsidRDefault="00D10AF2" w:rsidP="00D10AF2">
      <w:pPr>
        <w:pStyle w:val="Style5"/>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In accordance with approved QCP/MSP, the representative of the Purchaser will supervise the control points as per the QCP/MSP of the spare parts, if required, and in case of positive results, related documents and reports will be approved by representative of the Purchaser.</w:t>
      </w:r>
    </w:p>
    <w:p w:rsidR="00D10AF2" w:rsidRPr="00774ACC" w:rsidRDefault="00D10AF2" w:rsidP="00D10AF2">
      <w:pPr>
        <w:pStyle w:val="Style1"/>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 xml:space="preserve">If necessary, the Purchaser may appoint his authorized representative to take part in control points as per the QCP/MSP of manufacture/supply for spare parts with the further submission of the acceptance protocols to the Purchaser by the authorized representative. In such case, the Purchaser shall submit the authorization letter to the Supplier within the shortest possible time. </w:t>
      </w:r>
    </w:p>
    <w:p w:rsidR="00D10AF2" w:rsidRPr="00774ACC" w:rsidRDefault="00D10AF2" w:rsidP="00D10AF2">
      <w:pPr>
        <w:pStyle w:val="Style2"/>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 xml:space="preserve">The Spare parts shall be manufactured by the Supplier on the basis of safety requirements and technical procedures related to the spare parts and design drawings. Certificates related to the raw materials shall be checked by the Supplier during acceptance inspection at the Supplier’s plant. Related protocol </w:t>
      </w:r>
      <w:r w:rsidRPr="00774ACC">
        <w:rPr>
          <w:rFonts w:asciiTheme="majorBidi" w:eastAsia="Calibri" w:hAnsiTheme="majorBidi" w:cstheme="majorBidi"/>
          <w:sz w:val="28"/>
          <w:szCs w:val="28"/>
          <w:lang w:val="en-US" w:bidi="fa-IR"/>
        </w:rPr>
        <w:lastRenderedPageBreak/>
        <w:t>shall be issued and submitted to the Purchaser together with the technical documents.</w:t>
      </w:r>
    </w:p>
    <w:p w:rsidR="00D10AF2" w:rsidRPr="00774ACC" w:rsidRDefault="00D10AF2" w:rsidP="00D10AF2">
      <w:pPr>
        <w:pStyle w:val="Style5"/>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Any changes in the technical specifications of the manufacturing of the spare parts should be made with the Purchaser’s agreement. The Purchaser is fully free to access the technical documents.</w:t>
      </w:r>
    </w:p>
    <w:p w:rsidR="00D10AF2" w:rsidRPr="00774ACC" w:rsidRDefault="00D10AF2" w:rsidP="00D10AF2">
      <w:pPr>
        <w:pStyle w:val="Style1"/>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 xml:space="preserve">The Supplier Shall inform the Purchaser about the date of acceptance and witness control points as per the approved QCP/MSP of Supply for spare parts for presence of its representative(s) not later than 40 calendar days for hold points and 20 calendar days for the witness points. The Purchaser will introduce information about its representatives to the Supplier in written form not later than 10 calendar days before the date of acceptance and witness control points. </w:t>
      </w:r>
    </w:p>
    <w:p w:rsidR="00D10AF2" w:rsidRPr="00774ACC" w:rsidRDefault="00D10AF2" w:rsidP="00D10AF2">
      <w:pPr>
        <w:pStyle w:val="Style1"/>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 xml:space="preserve">Acceptance by the Purchaser should not release the Supplier from responsibility to provide complied Spare Parts for the relevant pumps nor should it prevent subsequent rejection in accordance with the Contract. </w:t>
      </w:r>
    </w:p>
    <w:p w:rsidR="00D10AF2" w:rsidRPr="00774ACC" w:rsidRDefault="00D10AF2" w:rsidP="00D10AF2">
      <w:pPr>
        <w:pStyle w:val="Style2"/>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Pursuant to the procedures applied for the manufacture and supply of equipment for BNPP Unit 1, should any non-conformity be identified (other than design changes), Non-conformance Reports shall be formalized. After removing the non-conformances, the related reports shall be submitted to the Purchaser with the accompanying documents of the spare parts by the Supplier.</w:t>
      </w:r>
    </w:p>
    <w:p w:rsidR="00D10AF2" w:rsidRPr="00774ACC" w:rsidRDefault="00D10AF2" w:rsidP="00D10AF2">
      <w:pPr>
        <w:pStyle w:val="Style2"/>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If an item or a set of items will still have any deviation from the design and/or normative documentation requirements even after the non-conformance removal actions conducted pursuant to the valid standards or industrial documentation, they shall not be supplied and must be rejected.</w:t>
      </w:r>
    </w:p>
    <w:p w:rsidR="00D10AF2" w:rsidRPr="00774ACC" w:rsidRDefault="00D10AF2" w:rsidP="00D10AF2">
      <w:pPr>
        <w:pStyle w:val="Style2"/>
        <w:widowControl/>
        <w:numPr>
          <w:ilvl w:val="0"/>
          <w:numId w:val="2"/>
        </w:numPr>
        <w:spacing w:line="360" w:lineRule="auto"/>
        <w:ind w:left="0" w:firstLine="0"/>
        <w:jc w:val="both"/>
        <w:rPr>
          <w:rFonts w:asciiTheme="majorBidi" w:eastAsia="Calibri" w:hAnsiTheme="majorBidi" w:cstheme="majorBidi"/>
          <w:sz w:val="28"/>
          <w:szCs w:val="28"/>
          <w:lang w:val="en-GB" w:bidi="fa-IR"/>
        </w:rPr>
      </w:pPr>
      <w:r w:rsidRPr="00774ACC">
        <w:rPr>
          <w:rFonts w:asciiTheme="majorBidi" w:eastAsia="Calibri" w:hAnsiTheme="majorBidi" w:cstheme="majorBidi"/>
          <w:sz w:val="28"/>
          <w:szCs w:val="28"/>
          <w:lang w:val="en-US" w:bidi="fa-IR"/>
        </w:rPr>
        <w:t xml:space="preserve">Each item or original packing of single-type items (bunch, pouch, box) shall have a marking in English languages with the indication of the item name, type, specification position number, drawing number of the item or unit, standard No. and AKZ codes of equipment for which the spare part was manufactured, if it is applicable and a spare part cannot be used for single-type equipment having different AKZ codes. If it is applicable and a spare part can’t be used for single-type equipment possible to apply the marking on the item itself, the marking </w:t>
      </w:r>
      <w:r w:rsidRPr="00774ACC">
        <w:rPr>
          <w:rFonts w:asciiTheme="majorBidi" w:eastAsia="Calibri" w:hAnsiTheme="majorBidi" w:cstheme="majorBidi"/>
          <w:sz w:val="28"/>
          <w:szCs w:val="28"/>
          <w:lang w:val="en-US" w:bidi="fa-IR"/>
        </w:rPr>
        <w:lastRenderedPageBreak/>
        <w:t>shall be having different AKZ (</w:t>
      </w:r>
      <w:proofErr w:type="spellStart"/>
      <w:r w:rsidRPr="00774ACC">
        <w:rPr>
          <w:rFonts w:asciiTheme="majorBidi" w:eastAsia="Calibri" w:hAnsiTheme="majorBidi" w:cstheme="majorBidi"/>
          <w:sz w:val="28"/>
          <w:szCs w:val="28"/>
          <w:lang w:val="en-US" w:bidi="fa-IR"/>
        </w:rPr>
        <w:t>Anlagenkennzeichen</w:t>
      </w:r>
      <w:proofErr w:type="spellEnd"/>
      <w:r w:rsidRPr="00774ACC">
        <w:rPr>
          <w:rFonts w:asciiTheme="majorBidi" w:eastAsia="Calibri" w:hAnsiTheme="majorBidi" w:cstheme="majorBidi"/>
          <w:sz w:val="28"/>
          <w:szCs w:val="28"/>
          <w:lang w:val="en-US" w:bidi="fa-IR"/>
        </w:rPr>
        <w:t xml:space="preserve"> in German) codes. Where it is not possible to apply the marking on the item itself, the marking shall be done on the metallic label by punching or on the laminated cardboard label with indelible paint. </w:t>
      </w:r>
      <w:r w:rsidRPr="00774ACC">
        <w:rPr>
          <w:rFonts w:asciiTheme="majorBidi" w:eastAsia="Calibri" w:hAnsiTheme="majorBidi" w:cstheme="majorBidi"/>
          <w:sz w:val="28"/>
          <w:szCs w:val="28"/>
          <w:lang w:val="en-GB" w:bidi="fa-IR"/>
        </w:rPr>
        <w:t>The specified marking shall be also provided in the packing. It is not admissible to put different parts, items into one packing (bunch).</w:t>
      </w:r>
    </w:p>
    <w:p w:rsidR="00D10AF2" w:rsidRPr="00774ACC" w:rsidRDefault="00D10AF2" w:rsidP="00D10AF2">
      <w:pPr>
        <w:pStyle w:val="Style2"/>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During the Quality control measures conducted by the Purchaser, the Supplier shall provide any quality record for the materials, components, special processes, functional and other tests. The said records shall be kept by the Supplier in conditions excluding damage and shall be provided to the Principal upon his written request during spare parts operation period.</w:t>
      </w:r>
    </w:p>
    <w:p w:rsidR="00D10AF2" w:rsidRPr="00774ACC" w:rsidRDefault="00D10AF2" w:rsidP="00D10AF2">
      <w:pPr>
        <w:pStyle w:val="Style2"/>
        <w:widowControl/>
        <w:numPr>
          <w:ilvl w:val="0"/>
          <w:numId w:val="2"/>
        </w:numPr>
        <w:spacing w:line="360" w:lineRule="auto"/>
        <w:ind w:left="0" w:firstLine="0"/>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bidi="fa-IR"/>
        </w:rPr>
        <w:t>The incoming control of the delivered spare parts on the BNPP-1 site shall be performed by the Parties according to the procedure of the spare parts acceptance on the BNPP-1 site.</w:t>
      </w:r>
    </w:p>
    <w:p w:rsidR="00D10AF2" w:rsidRPr="00774ACC" w:rsidRDefault="00D10AF2" w:rsidP="00D10AF2">
      <w:pPr>
        <w:pStyle w:val="Style2"/>
        <w:widowControl/>
        <w:tabs>
          <w:tab w:val="left" w:pos="720"/>
        </w:tabs>
        <w:spacing w:line="360" w:lineRule="auto"/>
        <w:jc w:val="both"/>
        <w:rPr>
          <w:rFonts w:asciiTheme="majorBidi" w:eastAsia="Calibri" w:hAnsiTheme="majorBidi" w:cstheme="majorBidi"/>
          <w:sz w:val="28"/>
          <w:szCs w:val="28"/>
          <w:lang w:val="en-US" w:bidi="fa-IR"/>
        </w:rPr>
      </w:pPr>
      <w:r w:rsidRPr="00774ACC">
        <w:rPr>
          <w:rFonts w:asciiTheme="majorBidi" w:eastAsia="Calibri" w:hAnsiTheme="majorBidi" w:cstheme="majorBidi"/>
          <w:sz w:val="28"/>
          <w:szCs w:val="28"/>
          <w:lang w:val="en-US"/>
        </w:rPr>
        <w:t xml:space="preserve">14. </w:t>
      </w:r>
      <w:r w:rsidRPr="00774ACC">
        <w:rPr>
          <w:rFonts w:asciiTheme="majorBidi" w:eastAsia="Calibri" w:hAnsiTheme="majorBidi" w:cstheme="majorBidi"/>
          <w:sz w:val="28"/>
          <w:szCs w:val="28"/>
          <w:lang w:val="en-US" w:bidi="fa-IR"/>
        </w:rPr>
        <w:t>In the cases which the Supplier submits the documents related to spare parts timely and the Purchaser delays in approval of the mentioned documents, the delays in delivery of the related Spare Parts will be justified as long as the Purchaser delays.</w:t>
      </w:r>
    </w:p>
    <w:p w:rsidR="00D10AF2" w:rsidRPr="00D12204" w:rsidRDefault="00D10AF2" w:rsidP="00D10AF2">
      <w:pPr>
        <w:pStyle w:val="Style2"/>
        <w:widowControl/>
        <w:tabs>
          <w:tab w:val="left" w:pos="720"/>
        </w:tabs>
        <w:spacing w:line="360" w:lineRule="auto"/>
        <w:jc w:val="both"/>
        <w:rPr>
          <w:rFonts w:asciiTheme="majorBidi" w:eastAsia="Calibri" w:hAnsiTheme="majorBidi" w:cstheme="majorBidi"/>
          <w:sz w:val="28"/>
          <w:szCs w:val="28"/>
          <w:lang w:val="en-US" w:bidi="fa-IR"/>
        </w:rPr>
      </w:pPr>
    </w:p>
    <w:p w:rsidR="00D10AF2" w:rsidRPr="00D12204" w:rsidRDefault="00D10AF2" w:rsidP="00D10AF2">
      <w:pPr>
        <w:pStyle w:val="Style2"/>
        <w:widowControl/>
        <w:bidi/>
        <w:spacing w:line="360" w:lineRule="auto"/>
        <w:jc w:val="both"/>
        <w:rPr>
          <w:rStyle w:val="FontStyle11"/>
          <w:rFonts w:asciiTheme="majorBidi" w:hAnsiTheme="majorBidi" w:cstheme="majorBidi"/>
          <w:lang w:val="en-US" w:eastAsia="en-US"/>
        </w:rPr>
      </w:pPr>
    </w:p>
    <w:p w:rsidR="00D10AF2" w:rsidRPr="00D12204" w:rsidRDefault="00D10AF2" w:rsidP="00D10AF2">
      <w:pPr>
        <w:pStyle w:val="Style2"/>
        <w:widowControl/>
        <w:spacing w:line="360" w:lineRule="auto"/>
        <w:jc w:val="both"/>
        <w:rPr>
          <w:rStyle w:val="FontStyle11"/>
          <w:rFonts w:asciiTheme="majorBidi" w:hAnsiTheme="majorBidi" w:cstheme="majorBidi"/>
          <w:lang w:val="en-US" w:eastAsia="en-US"/>
        </w:rPr>
      </w:pPr>
    </w:p>
    <w:p w:rsidR="00D10AF2" w:rsidRPr="00DB6C48" w:rsidRDefault="00DB6C48" w:rsidP="00DB6C48">
      <w:pPr>
        <w:pStyle w:val="Style2"/>
        <w:widowControl/>
        <w:spacing w:line="360" w:lineRule="auto"/>
        <w:jc w:val="both"/>
        <w:rPr>
          <w:rStyle w:val="FontStyle11"/>
          <w:rFonts w:asciiTheme="majorBidi" w:hAnsiTheme="majorBidi" w:cstheme="majorBidi"/>
          <w:b/>
          <w:bCs/>
          <w:lang w:val="en-US" w:eastAsia="en-US"/>
        </w:rPr>
      </w:pPr>
      <w:r w:rsidRPr="00DB6C48">
        <w:rPr>
          <w:rStyle w:val="FontStyle11"/>
          <w:rFonts w:asciiTheme="majorBidi" w:hAnsiTheme="majorBidi" w:cstheme="majorBidi"/>
          <w:b/>
          <w:bCs/>
          <w:lang w:val="en-US" w:eastAsia="en-US"/>
        </w:rPr>
        <w:t xml:space="preserve">    The Purchaser                                                                                    </w:t>
      </w:r>
      <w:proofErr w:type="gramStart"/>
      <w:r w:rsidRPr="00DB6C48">
        <w:rPr>
          <w:rStyle w:val="FontStyle11"/>
          <w:rFonts w:asciiTheme="majorBidi" w:hAnsiTheme="majorBidi" w:cstheme="majorBidi"/>
          <w:b/>
          <w:bCs/>
          <w:lang w:val="en-US" w:eastAsia="en-US"/>
        </w:rPr>
        <w:t>The</w:t>
      </w:r>
      <w:proofErr w:type="gramEnd"/>
      <w:r w:rsidRPr="00DB6C48">
        <w:rPr>
          <w:rStyle w:val="FontStyle11"/>
          <w:rFonts w:asciiTheme="majorBidi" w:hAnsiTheme="majorBidi" w:cstheme="majorBidi"/>
          <w:b/>
          <w:bCs/>
          <w:lang w:val="en-US" w:eastAsia="en-US"/>
        </w:rPr>
        <w:t xml:space="preserve"> Supplier </w:t>
      </w:r>
    </w:p>
    <w:p w:rsidR="00D10AF2" w:rsidRPr="00D12204" w:rsidRDefault="00D10AF2" w:rsidP="00D10AF2">
      <w:pPr>
        <w:spacing w:line="360" w:lineRule="auto"/>
        <w:rPr>
          <w:rFonts w:asciiTheme="majorBidi" w:hAnsiTheme="majorBidi" w:cstheme="majorBidi"/>
          <w:lang w:val="en-US"/>
        </w:rPr>
      </w:pPr>
    </w:p>
    <w:p w:rsidR="00D10AF2" w:rsidRPr="00D12204" w:rsidRDefault="00D10AF2" w:rsidP="00D10AF2">
      <w:pPr>
        <w:spacing w:line="360" w:lineRule="auto"/>
        <w:jc w:val="both"/>
        <w:rPr>
          <w:rFonts w:asciiTheme="majorBidi" w:hAnsiTheme="majorBidi" w:cstheme="majorBidi"/>
          <w:sz w:val="28"/>
          <w:szCs w:val="28"/>
          <w:lang w:val="en-US"/>
        </w:rPr>
      </w:pPr>
    </w:p>
    <w:p w:rsidR="00D10AF2" w:rsidRPr="00D12204" w:rsidRDefault="00D10AF2" w:rsidP="00D10AF2">
      <w:pPr>
        <w:spacing w:line="360" w:lineRule="auto"/>
        <w:jc w:val="both"/>
        <w:rPr>
          <w:rFonts w:asciiTheme="majorBidi" w:hAnsiTheme="majorBidi" w:cstheme="majorBidi"/>
          <w:sz w:val="28"/>
          <w:szCs w:val="28"/>
          <w:lang w:val="en-GB"/>
        </w:rPr>
      </w:pPr>
    </w:p>
    <w:p w:rsidR="00D10AF2" w:rsidRPr="00D12204" w:rsidRDefault="00D10AF2" w:rsidP="00D10AF2">
      <w:pPr>
        <w:spacing w:line="360" w:lineRule="auto"/>
        <w:rPr>
          <w:rFonts w:asciiTheme="majorBidi" w:hAnsiTheme="majorBidi" w:cstheme="majorBidi"/>
          <w:sz w:val="28"/>
          <w:szCs w:val="28"/>
          <w:lang w:val="en-US"/>
        </w:rPr>
      </w:pPr>
    </w:p>
    <w:p w:rsidR="00BF75BC" w:rsidRPr="00D10AF2" w:rsidRDefault="00BF75BC" w:rsidP="00D10AF2">
      <w:pPr>
        <w:spacing w:line="360" w:lineRule="auto"/>
        <w:rPr>
          <w:lang w:val="en-US"/>
        </w:rPr>
      </w:pPr>
    </w:p>
    <w:sectPr w:rsidR="00BF75BC" w:rsidRPr="00D10AF2" w:rsidSect="00774ACC">
      <w:footerReference w:type="first" r:id="rId8"/>
      <w:pgSz w:w="11907" w:h="16840" w:code="9"/>
      <w:pgMar w:top="1247" w:right="1418" w:bottom="1247" w:left="1361"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35" w:rsidRDefault="005F6F35" w:rsidP="00DB6C48">
      <w:r>
        <w:separator/>
      </w:r>
    </w:p>
  </w:endnote>
  <w:endnote w:type="continuationSeparator" w:id="0">
    <w:p w:rsidR="005F6F35" w:rsidRDefault="005F6F35" w:rsidP="00DB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61A" w:rsidRPr="0047620D" w:rsidRDefault="00DB6C48" w:rsidP="00135799">
    <w:pPr>
      <w:pStyle w:val="Footer"/>
      <w:rPr>
        <w:lang w:val="en-US"/>
      </w:rPr>
    </w:pPr>
    <w:r w:rsidRPr="0047620D">
      <w:rPr>
        <w:noProof/>
        <w:sz w:val="16"/>
        <w:lang w:val="en-US"/>
      </w:rPr>
      <w:t xml:space="preserve">Supply </w:t>
    </w:r>
    <w:r>
      <w:rPr>
        <w:noProof/>
        <w:sz w:val="16"/>
        <w:lang w:val="en-US"/>
      </w:rPr>
      <w:t>Contract between NPPD and KSB</w:t>
    </w:r>
    <w:r w:rsidRPr="0047620D">
      <w:rPr>
        <w:noProof/>
        <w:sz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35" w:rsidRDefault="005F6F35" w:rsidP="00DB6C48">
      <w:r>
        <w:separator/>
      </w:r>
    </w:p>
  </w:footnote>
  <w:footnote w:type="continuationSeparator" w:id="0">
    <w:p w:rsidR="005F6F35" w:rsidRDefault="005F6F35" w:rsidP="00DB6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492"/>
    <w:multiLevelType w:val="hybridMultilevel"/>
    <w:tmpl w:val="BFF8FD34"/>
    <w:lvl w:ilvl="0" w:tplc="0419000F">
      <w:start w:val="1"/>
      <w:numFmt w:val="decimal"/>
      <w:lvlText w:val="%1."/>
      <w:lvlJc w:val="left"/>
      <w:pPr>
        <w:tabs>
          <w:tab w:val="num" w:pos="720"/>
        </w:tabs>
        <w:ind w:left="720" w:hanging="360"/>
      </w:pPr>
    </w:lvl>
    <w:lvl w:ilvl="1" w:tplc="683AF222">
      <w:start w:val="1"/>
      <w:numFmt w:val="bullet"/>
      <w:pStyle w:val="1"/>
      <w:lvlText w:val=""/>
      <w:lvlJc w:val="left"/>
      <w:pPr>
        <w:tabs>
          <w:tab w:val="num" w:pos="1477"/>
        </w:tabs>
        <w:ind w:left="1477" w:hanging="397"/>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C306C2"/>
    <w:multiLevelType w:val="hybridMultilevel"/>
    <w:tmpl w:val="A6F6D668"/>
    <w:lvl w:ilvl="0" w:tplc="79288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F2"/>
    <w:rsid w:val="005F6F35"/>
    <w:rsid w:val="009C6AA4"/>
    <w:rsid w:val="00A3150C"/>
    <w:rsid w:val="00BF75BC"/>
    <w:rsid w:val="00D10AF2"/>
    <w:rsid w:val="00DB6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F2"/>
    <w:pPr>
      <w:spacing w:after="0" w:line="240" w:lineRule="auto"/>
    </w:pPr>
    <w:rPr>
      <w:rFonts w:ascii="Arial" w:eastAsia="Times New Roman" w:hAnsi="Arial" w:cs="Times New Roman"/>
      <w:snapToGrid w:val="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0AF2"/>
    <w:pPr>
      <w:tabs>
        <w:tab w:val="center" w:pos="4536"/>
        <w:tab w:val="right" w:pos="9072"/>
      </w:tabs>
    </w:pPr>
  </w:style>
  <w:style w:type="character" w:customStyle="1" w:styleId="FooterChar">
    <w:name w:val="Footer Char"/>
    <w:basedOn w:val="DefaultParagraphFont"/>
    <w:link w:val="Footer"/>
    <w:uiPriority w:val="99"/>
    <w:rsid w:val="00D10AF2"/>
    <w:rPr>
      <w:rFonts w:ascii="Arial" w:eastAsia="Times New Roman" w:hAnsi="Arial" w:cs="Times New Roman"/>
      <w:snapToGrid w:val="0"/>
      <w:szCs w:val="20"/>
      <w:lang w:val="de-DE" w:eastAsia="de-DE"/>
    </w:rPr>
  </w:style>
  <w:style w:type="paragraph" w:customStyle="1" w:styleId="10">
    <w:name w:val="Стандарт1"/>
    <w:basedOn w:val="Normal"/>
    <w:rsid w:val="00D10AF2"/>
    <w:pPr>
      <w:tabs>
        <w:tab w:val="left" w:pos="1418"/>
      </w:tabs>
      <w:spacing w:before="120" w:after="120"/>
      <w:ind w:left="1418" w:hanging="1418"/>
      <w:jc w:val="both"/>
    </w:pPr>
    <w:rPr>
      <w:rFonts w:ascii="Times New Roman" w:eastAsia="SimSun" w:hAnsi="Times New Roman"/>
      <w:snapToGrid/>
      <w:sz w:val="26"/>
      <w:szCs w:val="24"/>
      <w:lang w:val="en-US" w:eastAsia="ru-RU"/>
    </w:rPr>
  </w:style>
  <w:style w:type="paragraph" w:customStyle="1" w:styleId="Style1">
    <w:name w:val="Style1"/>
    <w:basedOn w:val="Normal"/>
    <w:rsid w:val="00D10AF2"/>
    <w:pPr>
      <w:widowControl w:val="0"/>
      <w:autoSpaceDE w:val="0"/>
      <w:autoSpaceDN w:val="0"/>
      <w:adjustRightInd w:val="0"/>
    </w:pPr>
    <w:rPr>
      <w:rFonts w:ascii="Times New Roman" w:hAnsi="Times New Roman"/>
      <w:snapToGrid/>
      <w:sz w:val="24"/>
      <w:szCs w:val="24"/>
      <w:lang w:val="ru-RU" w:eastAsia="ru-RU"/>
    </w:rPr>
  </w:style>
  <w:style w:type="paragraph" w:customStyle="1" w:styleId="Style2">
    <w:name w:val="Style2"/>
    <w:basedOn w:val="Normal"/>
    <w:rsid w:val="00D10AF2"/>
    <w:pPr>
      <w:widowControl w:val="0"/>
      <w:autoSpaceDE w:val="0"/>
      <w:autoSpaceDN w:val="0"/>
      <w:adjustRightInd w:val="0"/>
    </w:pPr>
    <w:rPr>
      <w:rFonts w:ascii="Times New Roman" w:hAnsi="Times New Roman"/>
      <w:snapToGrid/>
      <w:sz w:val="24"/>
      <w:szCs w:val="24"/>
      <w:lang w:val="ru-RU" w:eastAsia="ru-RU"/>
    </w:rPr>
  </w:style>
  <w:style w:type="paragraph" w:customStyle="1" w:styleId="Style4">
    <w:name w:val="Style4"/>
    <w:basedOn w:val="Normal"/>
    <w:rsid w:val="00D10AF2"/>
    <w:pPr>
      <w:widowControl w:val="0"/>
      <w:autoSpaceDE w:val="0"/>
      <w:autoSpaceDN w:val="0"/>
      <w:adjustRightInd w:val="0"/>
    </w:pPr>
    <w:rPr>
      <w:rFonts w:ascii="Times New Roman" w:hAnsi="Times New Roman"/>
      <w:snapToGrid/>
      <w:sz w:val="24"/>
      <w:szCs w:val="24"/>
      <w:lang w:val="ru-RU" w:eastAsia="ru-RU"/>
    </w:rPr>
  </w:style>
  <w:style w:type="paragraph" w:customStyle="1" w:styleId="Style5">
    <w:name w:val="Style5"/>
    <w:basedOn w:val="Normal"/>
    <w:rsid w:val="00D10AF2"/>
    <w:pPr>
      <w:widowControl w:val="0"/>
      <w:autoSpaceDE w:val="0"/>
      <w:autoSpaceDN w:val="0"/>
      <w:adjustRightInd w:val="0"/>
    </w:pPr>
    <w:rPr>
      <w:rFonts w:ascii="Times New Roman" w:hAnsi="Times New Roman"/>
      <w:snapToGrid/>
      <w:sz w:val="24"/>
      <w:szCs w:val="24"/>
      <w:lang w:val="ru-RU" w:eastAsia="ru-RU"/>
    </w:rPr>
  </w:style>
  <w:style w:type="character" w:customStyle="1" w:styleId="FontStyle11">
    <w:name w:val="Font Style11"/>
    <w:rsid w:val="00D10AF2"/>
    <w:rPr>
      <w:rFonts w:ascii="Times New Roman" w:hAnsi="Times New Roman" w:cs="Times New Roman"/>
      <w:sz w:val="22"/>
      <w:szCs w:val="22"/>
    </w:rPr>
  </w:style>
  <w:style w:type="character" w:customStyle="1" w:styleId="FontStyle13">
    <w:name w:val="Font Style13"/>
    <w:rsid w:val="00D10AF2"/>
    <w:rPr>
      <w:rFonts w:ascii="Times New Roman" w:hAnsi="Times New Roman" w:cs="Times New Roman"/>
      <w:b/>
      <w:bCs/>
      <w:spacing w:val="10"/>
      <w:sz w:val="24"/>
      <w:szCs w:val="24"/>
    </w:rPr>
  </w:style>
  <w:style w:type="character" w:customStyle="1" w:styleId="FontStyle14">
    <w:name w:val="Font Style14"/>
    <w:rsid w:val="00D10AF2"/>
    <w:rPr>
      <w:rFonts w:ascii="Times New Roman" w:hAnsi="Times New Roman" w:cs="Times New Roman"/>
      <w:sz w:val="22"/>
      <w:szCs w:val="22"/>
    </w:rPr>
  </w:style>
  <w:style w:type="paragraph" w:customStyle="1" w:styleId="1">
    <w:name w:val="Маркированный 1"/>
    <w:basedOn w:val="Normal"/>
    <w:rsid w:val="00D10AF2"/>
    <w:pPr>
      <w:widowControl w:val="0"/>
      <w:numPr>
        <w:ilvl w:val="1"/>
        <w:numId w:val="2"/>
      </w:numPr>
      <w:autoSpaceDE w:val="0"/>
      <w:autoSpaceDN w:val="0"/>
      <w:adjustRightInd w:val="0"/>
    </w:pPr>
    <w:rPr>
      <w:rFonts w:ascii="Times New Roman" w:hAnsi="Times New Roman"/>
      <w:snapToGrid/>
      <w:sz w:val="24"/>
      <w:szCs w:val="24"/>
      <w:lang w:val="ru-RU" w:eastAsia="ru-RU"/>
    </w:rPr>
  </w:style>
  <w:style w:type="paragraph" w:styleId="Header">
    <w:name w:val="header"/>
    <w:basedOn w:val="Normal"/>
    <w:link w:val="HeaderChar"/>
    <w:uiPriority w:val="99"/>
    <w:unhideWhenUsed/>
    <w:rsid w:val="00DB6C48"/>
    <w:pPr>
      <w:tabs>
        <w:tab w:val="center" w:pos="4513"/>
        <w:tab w:val="right" w:pos="9026"/>
      </w:tabs>
    </w:pPr>
  </w:style>
  <w:style w:type="character" w:customStyle="1" w:styleId="HeaderChar">
    <w:name w:val="Header Char"/>
    <w:basedOn w:val="DefaultParagraphFont"/>
    <w:link w:val="Header"/>
    <w:uiPriority w:val="99"/>
    <w:rsid w:val="00DB6C48"/>
    <w:rPr>
      <w:rFonts w:ascii="Arial" w:eastAsia="Times New Roman" w:hAnsi="Arial" w:cs="Times New Roman"/>
      <w:snapToGrid w:val="0"/>
      <w:szCs w:val="20"/>
      <w:lang w:val="de-DE" w:eastAsia="de-DE"/>
    </w:rPr>
  </w:style>
  <w:style w:type="paragraph" w:styleId="BalloonText">
    <w:name w:val="Balloon Text"/>
    <w:basedOn w:val="Normal"/>
    <w:link w:val="BalloonTextChar"/>
    <w:uiPriority w:val="99"/>
    <w:semiHidden/>
    <w:unhideWhenUsed/>
    <w:rsid w:val="00DB6C48"/>
    <w:rPr>
      <w:rFonts w:ascii="Tahoma" w:hAnsi="Tahoma" w:cs="Tahoma"/>
      <w:sz w:val="16"/>
      <w:szCs w:val="16"/>
    </w:rPr>
  </w:style>
  <w:style w:type="character" w:customStyle="1" w:styleId="BalloonTextChar">
    <w:name w:val="Balloon Text Char"/>
    <w:basedOn w:val="DefaultParagraphFont"/>
    <w:link w:val="BalloonText"/>
    <w:uiPriority w:val="99"/>
    <w:semiHidden/>
    <w:rsid w:val="00DB6C48"/>
    <w:rPr>
      <w:rFonts w:ascii="Tahoma" w:eastAsia="Times New Roman" w:hAnsi="Tahoma" w:cs="Tahoma"/>
      <w:snapToGrid w:val="0"/>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AF2"/>
    <w:pPr>
      <w:spacing w:after="0" w:line="240" w:lineRule="auto"/>
    </w:pPr>
    <w:rPr>
      <w:rFonts w:ascii="Arial" w:eastAsia="Times New Roman" w:hAnsi="Arial" w:cs="Times New Roman"/>
      <w:snapToGrid w:val="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0AF2"/>
    <w:pPr>
      <w:tabs>
        <w:tab w:val="center" w:pos="4536"/>
        <w:tab w:val="right" w:pos="9072"/>
      </w:tabs>
    </w:pPr>
  </w:style>
  <w:style w:type="character" w:customStyle="1" w:styleId="FooterChar">
    <w:name w:val="Footer Char"/>
    <w:basedOn w:val="DefaultParagraphFont"/>
    <w:link w:val="Footer"/>
    <w:uiPriority w:val="99"/>
    <w:rsid w:val="00D10AF2"/>
    <w:rPr>
      <w:rFonts w:ascii="Arial" w:eastAsia="Times New Roman" w:hAnsi="Arial" w:cs="Times New Roman"/>
      <w:snapToGrid w:val="0"/>
      <w:szCs w:val="20"/>
      <w:lang w:val="de-DE" w:eastAsia="de-DE"/>
    </w:rPr>
  </w:style>
  <w:style w:type="paragraph" w:customStyle="1" w:styleId="10">
    <w:name w:val="Стандарт1"/>
    <w:basedOn w:val="Normal"/>
    <w:rsid w:val="00D10AF2"/>
    <w:pPr>
      <w:tabs>
        <w:tab w:val="left" w:pos="1418"/>
      </w:tabs>
      <w:spacing w:before="120" w:after="120"/>
      <w:ind w:left="1418" w:hanging="1418"/>
      <w:jc w:val="both"/>
    </w:pPr>
    <w:rPr>
      <w:rFonts w:ascii="Times New Roman" w:eastAsia="SimSun" w:hAnsi="Times New Roman"/>
      <w:snapToGrid/>
      <w:sz w:val="26"/>
      <w:szCs w:val="24"/>
      <w:lang w:val="en-US" w:eastAsia="ru-RU"/>
    </w:rPr>
  </w:style>
  <w:style w:type="paragraph" w:customStyle="1" w:styleId="Style1">
    <w:name w:val="Style1"/>
    <w:basedOn w:val="Normal"/>
    <w:rsid w:val="00D10AF2"/>
    <w:pPr>
      <w:widowControl w:val="0"/>
      <w:autoSpaceDE w:val="0"/>
      <w:autoSpaceDN w:val="0"/>
      <w:adjustRightInd w:val="0"/>
    </w:pPr>
    <w:rPr>
      <w:rFonts w:ascii="Times New Roman" w:hAnsi="Times New Roman"/>
      <w:snapToGrid/>
      <w:sz w:val="24"/>
      <w:szCs w:val="24"/>
      <w:lang w:val="ru-RU" w:eastAsia="ru-RU"/>
    </w:rPr>
  </w:style>
  <w:style w:type="paragraph" w:customStyle="1" w:styleId="Style2">
    <w:name w:val="Style2"/>
    <w:basedOn w:val="Normal"/>
    <w:rsid w:val="00D10AF2"/>
    <w:pPr>
      <w:widowControl w:val="0"/>
      <w:autoSpaceDE w:val="0"/>
      <w:autoSpaceDN w:val="0"/>
      <w:adjustRightInd w:val="0"/>
    </w:pPr>
    <w:rPr>
      <w:rFonts w:ascii="Times New Roman" w:hAnsi="Times New Roman"/>
      <w:snapToGrid/>
      <w:sz w:val="24"/>
      <w:szCs w:val="24"/>
      <w:lang w:val="ru-RU" w:eastAsia="ru-RU"/>
    </w:rPr>
  </w:style>
  <w:style w:type="paragraph" w:customStyle="1" w:styleId="Style4">
    <w:name w:val="Style4"/>
    <w:basedOn w:val="Normal"/>
    <w:rsid w:val="00D10AF2"/>
    <w:pPr>
      <w:widowControl w:val="0"/>
      <w:autoSpaceDE w:val="0"/>
      <w:autoSpaceDN w:val="0"/>
      <w:adjustRightInd w:val="0"/>
    </w:pPr>
    <w:rPr>
      <w:rFonts w:ascii="Times New Roman" w:hAnsi="Times New Roman"/>
      <w:snapToGrid/>
      <w:sz w:val="24"/>
      <w:szCs w:val="24"/>
      <w:lang w:val="ru-RU" w:eastAsia="ru-RU"/>
    </w:rPr>
  </w:style>
  <w:style w:type="paragraph" w:customStyle="1" w:styleId="Style5">
    <w:name w:val="Style5"/>
    <w:basedOn w:val="Normal"/>
    <w:rsid w:val="00D10AF2"/>
    <w:pPr>
      <w:widowControl w:val="0"/>
      <w:autoSpaceDE w:val="0"/>
      <w:autoSpaceDN w:val="0"/>
      <w:adjustRightInd w:val="0"/>
    </w:pPr>
    <w:rPr>
      <w:rFonts w:ascii="Times New Roman" w:hAnsi="Times New Roman"/>
      <w:snapToGrid/>
      <w:sz w:val="24"/>
      <w:szCs w:val="24"/>
      <w:lang w:val="ru-RU" w:eastAsia="ru-RU"/>
    </w:rPr>
  </w:style>
  <w:style w:type="character" w:customStyle="1" w:styleId="FontStyle11">
    <w:name w:val="Font Style11"/>
    <w:rsid w:val="00D10AF2"/>
    <w:rPr>
      <w:rFonts w:ascii="Times New Roman" w:hAnsi="Times New Roman" w:cs="Times New Roman"/>
      <w:sz w:val="22"/>
      <w:szCs w:val="22"/>
    </w:rPr>
  </w:style>
  <w:style w:type="character" w:customStyle="1" w:styleId="FontStyle13">
    <w:name w:val="Font Style13"/>
    <w:rsid w:val="00D10AF2"/>
    <w:rPr>
      <w:rFonts w:ascii="Times New Roman" w:hAnsi="Times New Roman" w:cs="Times New Roman"/>
      <w:b/>
      <w:bCs/>
      <w:spacing w:val="10"/>
      <w:sz w:val="24"/>
      <w:szCs w:val="24"/>
    </w:rPr>
  </w:style>
  <w:style w:type="character" w:customStyle="1" w:styleId="FontStyle14">
    <w:name w:val="Font Style14"/>
    <w:rsid w:val="00D10AF2"/>
    <w:rPr>
      <w:rFonts w:ascii="Times New Roman" w:hAnsi="Times New Roman" w:cs="Times New Roman"/>
      <w:sz w:val="22"/>
      <w:szCs w:val="22"/>
    </w:rPr>
  </w:style>
  <w:style w:type="paragraph" w:customStyle="1" w:styleId="1">
    <w:name w:val="Маркированный 1"/>
    <w:basedOn w:val="Normal"/>
    <w:rsid w:val="00D10AF2"/>
    <w:pPr>
      <w:widowControl w:val="0"/>
      <w:numPr>
        <w:ilvl w:val="1"/>
        <w:numId w:val="2"/>
      </w:numPr>
      <w:autoSpaceDE w:val="0"/>
      <w:autoSpaceDN w:val="0"/>
      <w:adjustRightInd w:val="0"/>
    </w:pPr>
    <w:rPr>
      <w:rFonts w:ascii="Times New Roman" w:hAnsi="Times New Roman"/>
      <w:snapToGrid/>
      <w:sz w:val="24"/>
      <w:szCs w:val="24"/>
      <w:lang w:val="ru-RU" w:eastAsia="ru-RU"/>
    </w:rPr>
  </w:style>
  <w:style w:type="paragraph" w:styleId="Header">
    <w:name w:val="header"/>
    <w:basedOn w:val="Normal"/>
    <w:link w:val="HeaderChar"/>
    <w:uiPriority w:val="99"/>
    <w:unhideWhenUsed/>
    <w:rsid w:val="00DB6C48"/>
    <w:pPr>
      <w:tabs>
        <w:tab w:val="center" w:pos="4513"/>
        <w:tab w:val="right" w:pos="9026"/>
      </w:tabs>
    </w:pPr>
  </w:style>
  <w:style w:type="character" w:customStyle="1" w:styleId="HeaderChar">
    <w:name w:val="Header Char"/>
    <w:basedOn w:val="DefaultParagraphFont"/>
    <w:link w:val="Header"/>
    <w:uiPriority w:val="99"/>
    <w:rsid w:val="00DB6C48"/>
    <w:rPr>
      <w:rFonts w:ascii="Arial" w:eastAsia="Times New Roman" w:hAnsi="Arial" w:cs="Times New Roman"/>
      <w:snapToGrid w:val="0"/>
      <w:szCs w:val="20"/>
      <w:lang w:val="de-DE" w:eastAsia="de-DE"/>
    </w:rPr>
  </w:style>
  <w:style w:type="paragraph" w:styleId="BalloonText">
    <w:name w:val="Balloon Text"/>
    <w:basedOn w:val="Normal"/>
    <w:link w:val="BalloonTextChar"/>
    <w:uiPriority w:val="99"/>
    <w:semiHidden/>
    <w:unhideWhenUsed/>
    <w:rsid w:val="00DB6C48"/>
    <w:rPr>
      <w:rFonts w:ascii="Tahoma" w:hAnsi="Tahoma" w:cs="Tahoma"/>
      <w:sz w:val="16"/>
      <w:szCs w:val="16"/>
    </w:rPr>
  </w:style>
  <w:style w:type="character" w:customStyle="1" w:styleId="BalloonTextChar">
    <w:name w:val="Balloon Text Char"/>
    <w:basedOn w:val="DefaultParagraphFont"/>
    <w:link w:val="BalloonText"/>
    <w:uiPriority w:val="99"/>
    <w:semiHidden/>
    <w:rsid w:val="00DB6C48"/>
    <w:rPr>
      <w:rFonts w:ascii="Tahoma" w:eastAsia="Times New Roman" w:hAnsi="Tahoma" w:cs="Tahoma"/>
      <w:snapToGrid w:val="0"/>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AEOI0</dc:creator>
  <cp:lastModifiedBy>AEOI0</cp:lastModifiedBy>
  <cp:revision>4</cp:revision>
  <cp:lastPrinted>2018-05-09T15:17:00Z</cp:lastPrinted>
  <dcterms:created xsi:type="dcterms:W3CDTF">2018-05-09T14:30:00Z</dcterms:created>
  <dcterms:modified xsi:type="dcterms:W3CDTF">2018-05-09T15:35:00Z</dcterms:modified>
</cp:coreProperties>
</file>