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CE01A9" w14:textId="6728BDDD" w:rsidR="4664BCB3" w:rsidRDefault="4664BCB3" w:rsidP="4664BCB3">
      <w:pPr>
        <w:pStyle w:val="Title"/>
        <w:jc w:val="center"/>
      </w:pPr>
    </w:p>
    <w:p w14:paraId="54B9F422" w14:textId="7E8320CA" w:rsidR="00B23C71" w:rsidRPr="000C28B9" w:rsidRDefault="00B23C71" w:rsidP="00B23C71">
      <w:pPr>
        <w:pStyle w:val="Title"/>
        <w:jc w:val="center"/>
      </w:pPr>
      <w:r w:rsidRPr="000C28B9">
        <w:t>Institutional Strength in Depth in the Nuclear Industry to Sustain Operational Excellence</w:t>
      </w:r>
    </w:p>
    <w:p w14:paraId="1B5A934E" w14:textId="0700CD56" w:rsidR="00B23C71" w:rsidRPr="000C28B9" w:rsidRDefault="00B23C71">
      <w:pPr>
        <w:spacing w:after="160" w:line="259" w:lineRule="auto"/>
      </w:pPr>
      <w:r w:rsidRPr="000C28B9">
        <w:br w:type="page"/>
      </w:r>
    </w:p>
    <w:p w14:paraId="51F96C59" w14:textId="77777777" w:rsidR="00B23C71" w:rsidRPr="000C28B9" w:rsidRDefault="00B23C71" w:rsidP="00B23C71">
      <w:pPr>
        <w:pStyle w:val="Foreword"/>
      </w:pPr>
      <w:r w:rsidRPr="000C28B9">
        <w:lastRenderedPageBreak/>
        <w:t>Foreword</w:t>
      </w:r>
    </w:p>
    <w:p w14:paraId="5A2E36D9" w14:textId="77777777" w:rsidR="001D4CDF" w:rsidRPr="00A91006" w:rsidRDefault="001D4CDF" w:rsidP="001D4CDF">
      <w:pPr>
        <w:tabs>
          <w:tab w:val="left" w:pos="567"/>
        </w:tabs>
        <w:snapToGrid w:val="0"/>
        <w:spacing w:after="0"/>
        <w:ind w:firstLine="567"/>
        <w:rPr>
          <w:szCs w:val="24"/>
        </w:rPr>
      </w:pPr>
      <w:r>
        <w:rPr>
          <w:szCs w:val="24"/>
        </w:rPr>
        <w:t>The</w:t>
      </w:r>
      <w:r w:rsidRPr="00A91006">
        <w:rPr>
          <w:szCs w:val="24"/>
        </w:rPr>
        <w:t xml:space="preserve"> IAEA statutory objectives </w:t>
      </w:r>
      <w:r>
        <w:rPr>
          <w:szCs w:val="24"/>
        </w:rPr>
        <w:t>seek</w:t>
      </w:r>
      <w:r w:rsidRPr="00A91006">
        <w:rPr>
          <w:szCs w:val="24"/>
        </w:rPr>
        <w:t xml:space="preserve"> to “accelerate and enlarge the contribution of atomic energy to peace, health and prosperity throughout the world”. One way this objective is achieved is through the publication of a range of technical series. Two of these </w:t>
      </w:r>
      <w:r>
        <w:rPr>
          <w:szCs w:val="24"/>
        </w:rPr>
        <w:t>series include</w:t>
      </w:r>
      <w:r w:rsidRPr="00A91006">
        <w:rPr>
          <w:szCs w:val="24"/>
        </w:rPr>
        <w:t xml:space="preserve"> the IAEA Nuclear Energy Series and the IAEA Safety Standards Series.</w:t>
      </w:r>
    </w:p>
    <w:p w14:paraId="39FAFFAB" w14:textId="77777777" w:rsidR="001D4CDF" w:rsidRPr="00A91006" w:rsidRDefault="001D4CDF" w:rsidP="003D0592">
      <w:pPr>
        <w:tabs>
          <w:tab w:val="left" w:pos="567"/>
        </w:tabs>
        <w:snapToGrid w:val="0"/>
        <w:spacing w:after="0"/>
        <w:ind w:firstLine="567"/>
        <w:rPr>
          <w:szCs w:val="24"/>
        </w:rPr>
      </w:pPr>
      <w:r w:rsidRPr="00A91006">
        <w:rPr>
          <w:szCs w:val="24"/>
        </w:rPr>
        <w:t xml:space="preserve">According to Article III, A.6, of the IAEA Statute, safety standards establish “standards of safety for protection of health and minimization of danger to life and property.” The safety standards include the Safety Fundamentals, Safety Requirements and Safety Guides. These standards are written primarily in a regulatory style </w:t>
      </w:r>
      <w:r w:rsidRPr="003E7EB4">
        <w:rPr>
          <w:szCs w:val="24"/>
        </w:rPr>
        <w:t>and are binding on the IAEA for its own programmes</w:t>
      </w:r>
      <w:r w:rsidRPr="00A91006">
        <w:rPr>
          <w:szCs w:val="24"/>
        </w:rPr>
        <w:t>. The principal users are Member State regulatory bodies and other national authorities.</w:t>
      </w:r>
    </w:p>
    <w:p w14:paraId="6D2F1EFB" w14:textId="77777777" w:rsidR="001D4CDF" w:rsidRPr="00A91006" w:rsidRDefault="001D4CDF" w:rsidP="001D4CDF">
      <w:pPr>
        <w:tabs>
          <w:tab w:val="left" w:pos="567"/>
        </w:tabs>
        <w:snapToGrid w:val="0"/>
        <w:spacing w:after="0"/>
        <w:ind w:firstLine="567"/>
        <w:rPr>
          <w:szCs w:val="24"/>
        </w:rPr>
      </w:pPr>
      <w:r w:rsidRPr="00A91006">
        <w:rPr>
          <w:szCs w:val="24"/>
        </w:rPr>
        <w:t>The IAEA Nuclear Energy Series complements the IAEA Safety Standards Series</w:t>
      </w:r>
      <w:r>
        <w:rPr>
          <w:szCs w:val="24"/>
        </w:rPr>
        <w:t>, where t</w:t>
      </w:r>
      <w:r w:rsidRPr="00A91006">
        <w:rPr>
          <w:szCs w:val="24"/>
        </w:rPr>
        <w:t xml:space="preserve">he IAEA Nuclear Energy Series comprises reports designed to encourage and assist </w:t>
      </w:r>
      <w:r>
        <w:rPr>
          <w:szCs w:val="24"/>
        </w:rPr>
        <w:t>research and development (</w:t>
      </w:r>
      <w:r w:rsidRPr="00737009">
        <w:rPr>
          <w:szCs w:val="24"/>
        </w:rPr>
        <w:t>R&amp;D</w:t>
      </w:r>
      <w:r>
        <w:rPr>
          <w:szCs w:val="24"/>
        </w:rPr>
        <w:t>)</w:t>
      </w:r>
      <w:r w:rsidRPr="00A91006">
        <w:rPr>
          <w:szCs w:val="24"/>
        </w:rPr>
        <w:t xml:space="preserve"> on and practical application of nuclear energy for peaceful uses. This includes practical examples to be used by owners and operators of utilities, implementing organizations, academia and government officials in Member States, among others. </w:t>
      </w:r>
      <w:r>
        <w:rPr>
          <w:szCs w:val="24"/>
        </w:rPr>
        <w:t>Relevant i</w:t>
      </w:r>
      <w:r w:rsidRPr="00A91006">
        <w:rPr>
          <w:szCs w:val="24"/>
        </w:rPr>
        <w:t xml:space="preserve">nformation is presented in guides, reports on technology status and advances, and best practices for peaceful uses of nuclear energy based on inputs from international experts. </w:t>
      </w:r>
    </w:p>
    <w:p w14:paraId="09A09374" w14:textId="28062DD6" w:rsidR="000F0E5C" w:rsidRPr="000F0E5C" w:rsidRDefault="000F0E5C" w:rsidP="000F0E5C">
      <w:pPr>
        <w:tabs>
          <w:tab w:val="left" w:pos="567"/>
        </w:tabs>
        <w:snapToGrid w:val="0"/>
        <w:spacing w:after="0"/>
        <w:ind w:firstLine="567"/>
        <w:rPr>
          <w:color w:val="000000" w:themeColor="text1"/>
        </w:rPr>
      </w:pPr>
      <w:r w:rsidRPr="000F0E5C">
        <w:rPr>
          <w:color w:val="000000" w:themeColor="text1"/>
        </w:rPr>
        <w:t>This publication discusses Institutional Strength in Depth (</w:t>
      </w:r>
      <w:proofErr w:type="spellStart"/>
      <w:r w:rsidRPr="000F0E5C">
        <w:rPr>
          <w:color w:val="000000" w:themeColor="text1"/>
        </w:rPr>
        <w:t>ISiD</w:t>
      </w:r>
      <w:proofErr w:type="spellEnd"/>
      <w:r w:rsidRPr="000F0E5C">
        <w:rPr>
          <w:color w:val="000000" w:themeColor="text1"/>
        </w:rPr>
        <w:t xml:space="preserve">), a construct first introduced after the Fukushima Daiichi Accident. Following the accident, a tremendous amount of effort was exerted to further enhance the safety of nuclear power plants, particularly in the technical and engineering areas. Additionally, it was also recognized that a more comprehensive approach to operational excellence was needed, one that could further minimize the risk to people, the environment and the nuclear operating organization by offering both a robust safety system and resilient capabilities. </w:t>
      </w:r>
      <w:proofErr w:type="spellStart"/>
      <w:r w:rsidRPr="000F0E5C">
        <w:rPr>
          <w:color w:val="000000" w:themeColor="text1"/>
        </w:rPr>
        <w:t>ISiD</w:t>
      </w:r>
      <w:proofErr w:type="spellEnd"/>
      <w:r w:rsidRPr="000F0E5C">
        <w:rPr>
          <w:color w:val="000000" w:themeColor="text1"/>
        </w:rPr>
        <w:t xml:space="preserve"> acknowledges the importance and complexity of managing the interrelationships existing in the management system of nuclear operating organizations and its external interfaces with regulator and other stakeholders.</w:t>
      </w:r>
    </w:p>
    <w:p w14:paraId="70457D5D" w14:textId="56176849" w:rsidR="000F0E5C" w:rsidRPr="000F0E5C" w:rsidRDefault="000F0E5C" w:rsidP="000F0E5C">
      <w:pPr>
        <w:tabs>
          <w:tab w:val="left" w:pos="567"/>
        </w:tabs>
        <w:snapToGrid w:val="0"/>
        <w:spacing w:after="0"/>
        <w:ind w:firstLine="567"/>
        <w:rPr>
          <w:color w:val="000000" w:themeColor="text1"/>
        </w:rPr>
      </w:pPr>
      <w:r w:rsidRPr="000F0E5C">
        <w:rPr>
          <w:color w:val="000000" w:themeColor="text1"/>
        </w:rPr>
        <w:t xml:space="preserve">Written for the owner/operating organizations of nuclear power plants (NPPs), this publication is intended to provide the nuclear industry with guidance that supports the development of </w:t>
      </w:r>
      <w:proofErr w:type="spellStart"/>
      <w:r w:rsidRPr="000F0E5C">
        <w:rPr>
          <w:color w:val="000000" w:themeColor="text1"/>
        </w:rPr>
        <w:t>ISiD</w:t>
      </w:r>
      <w:proofErr w:type="spellEnd"/>
      <w:r w:rsidRPr="000F0E5C">
        <w:rPr>
          <w:color w:val="000000" w:themeColor="text1"/>
        </w:rPr>
        <w:t xml:space="preserve">. It is meant to support the strategic actions that better ensure nuclear safety and continuous achievement of performance excellence. The publication discusses the key attributes that contribute to strength in each respective area in the industry and describes the ‘what and how’ of </w:t>
      </w:r>
      <w:proofErr w:type="spellStart"/>
      <w:r w:rsidRPr="000F0E5C">
        <w:rPr>
          <w:color w:val="000000" w:themeColor="text1"/>
        </w:rPr>
        <w:t>ISiD’s</w:t>
      </w:r>
      <w:proofErr w:type="spellEnd"/>
      <w:r w:rsidRPr="000F0E5C">
        <w:rPr>
          <w:color w:val="000000" w:themeColor="text1"/>
        </w:rPr>
        <w:t xml:space="preserve"> development through the systemic interface of all organizations involved in the nuclear business.</w:t>
      </w:r>
    </w:p>
    <w:p w14:paraId="72AFE76B" w14:textId="77777777" w:rsidR="00CE462C" w:rsidRDefault="000F0E5C" w:rsidP="000F0E5C">
      <w:pPr>
        <w:tabs>
          <w:tab w:val="left" w:pos="567"/>
        </w:tabs>
        <w:snapToGrid w:val="0"/>
        <w:spacing w:after="0"/>
        <w:ind w:firstLine="567"/>
        <w:rPr>
          <w:color w:val="000000" w:themeColor="text1"/>
        </w:rPr>
      </w:pPr>
      <w:r w:rsidRPr="000F0E5C">
        <w:rPr>
          <w:color w:val="000000" w:themeColor="text1"/>
        </w:rPr>
        <w:t xml:space="preserve">The IAEA officer responsible for this publication was A. Kawano and L. </w:t>
      </w:r>
      <w:proofErr w:type="spellStart"/>
      <w:r w:rsidRPr="000F0E5C">
        <w:rPr>
          <w:color w:val="000000" w:themeColor="text1"/>
        </w:rPr>
        <w:t>Lande</w:t>
      </w:r>
      <w:proofErr w:type="spellEnd"/>
      <w:r w:rsidRPr="000F0E5C">
        <w:rPr>
          <w:color w:val="000000" w:themeColor="text1"/>
        </w:rPr>
        <w:t xml:space="preserve"> of the Nuclear Power Division of the Department of Nuclear Energy.</w:t>
      </w:r>
    </w:p>
    <w:p w14:paraId="44D2151D" w14:textId="5B089102" w:rsidR="00B23C71" w:rsidRDefault="00B23C71" w:rsidP="000F0E5C">
      <w:pPr>
        <w:tabs>
          <w:tab w:val="left" w:pos="567"/>
        </w:tabs>
        <w:snapToGrid w:val="0"/>
        <w:spacing w:after="0"/>
        <w:ind w:firstLine="567"/>
      </w:pPr>
      <w:r w:rsidRPr="000C28B9">
        <w:br w:type="page"/>
      </w:r>
    </w:p>
    <w:p w14:paraId="2FC9D3BE" w14:textId="77777777" w:rsidR="001E7557" w:rsidRPr="000C28B9" w:rsidRDefault="001E7557">
      <w:pPr>
        <w:spacing w:after="160" w:line="259" w:lineRule="auto"/>
      </w:pPr>
    </w:p>
    <w:sdt>
      <w:sdtPr>
        <w:rPr>
          <w:rFonts w:ascii="Times New Roman" w:eastAsia="Times New Roman" w:hAnsi="Times New Roman" w:cs="Times New Roman"/>
          <w:b/>
          <w:bCs/>
          <w:caps/>
          <w:color w:val="auto"/>
          <w:sz w:val="24"/>
          <w:szCs w:val="20"/>
          <w:lang w:val="en-GB" w:eastAsia="ja-JP"/>
        </w:rPr>
        <w:id w:val="1107927799"/>
        <w:docPartObj>
          <w:docPartGallery w:val="Table of Contents"/>
          <w:docPartUnique/>
        </w:docPartObj>
      </w:sdtPr>
      <w:sdtEndPr>
        <w:rPr>
          <w:rFonts w:ascii="MS PGothic" w:eastAsia="MS PGothic" w:hAnsi="MS PGothic" w:cs="MS PGothic"/>
          <w:b w:val="0"/>
          <w:bCs w:val="0"/>
          <w:caps w:val="0"/>
          <w:noProof/>
          <w:szCs w:val="24"/>
          <w:lang w:val="en-US"/>
        </w:rPr>
      </w:sdtEndPr>
      <w:sdtContent>
        <w:p w14:paraId="4DEDFCFE" w14:textId="6C5C03A6" w:rsidR="00B23C71" w:rsidRPr="000C28B9" w:rsidRDefault="00B23C71" w:rsidP="00B23C71">
          <w:pPr>
            <w:pStyle w:val="TOCHeading"/>
            <w:jc w:val="center"/>
            <w:rPr>
              <w:rFonts w:ascii="Times New Roman" w:eastAsia="Times New Roman" w:hAnsi="Times New Roman" w:cs="Times New Roman"/>
              <w:b/>
              <w:caps/>
              <w:color w:val="auto"/>
              <w:sz w:val="24"/>
              <w:szCs w:val="20"/>
            </w:rPr>
          </w:pPr>
          <w:r w:rsidRPr="000C28B9">
            <w:rPr>
              <w:rFonts w:ascii="Times New Roman" w:eastAsia="Times New Roman" w:hAnsi="Times New Roman" w:cs="Times New Roman"/>
              <w:b/>
              <w:caps/>
              <w:color w:val="auto"/>
              <w:sz w:val="24"/>
              <w:szCs w:val="20"/>
            </w:rPr>
            <w:t>Contents</w:t>
          </w:r>
        </w:p>
        <w:p w14:paraId="24349B63" w14:textId="36EC06D5" w:rsidR="009F53EF" w:rsidRDefault="00B23C71">
          <w:pPr>
            <w:pStyle w:val="TOC1"/>
            <w:rPr>
              <w:rFonts w:asciiTheme="minorHAnsi" w:eastAsiaTheme="minorEastAsia" w:hAnsiTheme="minorHAnsi" w:cstheme="minorBidi"/>
              <w:bCs w:val="0"/>
              <w:iCs w:val="0"/>
              <w:caps w:val="0"/>
              <w:sz w:val="22"/>
              <w:szCs w:val="22"/>
              <w:lang w:eastAsia="ja-JP"/>
            </w:rPr>
          </w:pPr>
          <w:r w:rsidRPr="000C28B9">
            <w:fldChar w:fldCharType="begin"/>
          </w:r>
          <w:r w:rsidRPr="000C28B9">
            <w:instrText xml:space="preserve"> TOC \o "1-3" \h \z \u </w:instrText>
          </w:r>
          <w:r w:rsidRPr="000C28B9">
            <w:fldChar w:fldCharType="separate"/>
          </w:r>
          <w:hyperlink w:anchor="_Toc87627651" w:history="1">
            <w:r w:rsidR="009F53EF" w:rsidRPr="00660E09">
              <w:rPr>
                <w:rStyle w:val="Hyperlink"/>
              </w:rPr>
              <w:t>1.</w:t>
            </w:r>
            <w:r w:rsidR="009F53EF">
              <w:rPr>
                <w:rFonts w:asciiTheme="minorHAnsi" w:eastAsiaTheme="minorEastAsia" w:hAnsiTheme="minorHAnsi" w:cstheme="minorBidi"/>
                <w:bCs w:val="0"/>
                <w:iCs w:val="0"/>
                <w:caps w:val="0"/>
                <w:sz w:val="22"/>
                <w:szCs w:val="22"/>
                <w:lang w:eastAsia="ja-JP"/>
              </w:rPr>
              <w:tab/>
            </w:r>
            <w:r w:rsidR="009F53EF" w:rsidRPr="00660E09">
              <w:rPr>
                <w:rStyle w:val="Hyperlink"/>
              </w:rPr>
              <w:t>Introduction</w:t>
            </w:r>
            <w:r w:rsidR="009F53EF">
              <w:rPr>
                <w:webHidden/>
              </w:rPr>
              <w:tab/>
            </w:r>
            <w:r w:rsidR="009F53EF">
              <w:rPr>
                <w:webHidden/>
              </w:rPr>
              <w:fldChar w:fldCharType="begin"/>
            </w:r>
            <w:r w:rsidR="009F53EF">
              <w:rPr>
                <w:webHidden/>
              </w:rPr>
              <w:instrText xml:space="preserve"> PAGEREF _Toc87627651 \h </w:instrText>
            </w:r>
            <w:r w:rsidR="009F53EF">
              <w:rPr>
                <w:webHidden/>
              </w:rPr>
            </w:r>
            <w:r w:rsidR="009F53EF">
              <w:rPr>
                <w:webHidden/>
              </w:rPr>
              <w:fldChar w:fldCharType="separate"/>
            </w:r>
            <w:r w:rsidR="009F53EF">
              <w:rPr>
                <w:webHidden/>
              </w:rPr>
              <w:t>5</w:t>
            </w:r>
            <w:r w:rsidR="009F53EF">
              <w:rPr>
                <w:webHidden/>
              </w:rPr>
              <w:fldChar w:fldCharType="end"/>
            </w:r>
          </w:hyperlink>
        </w:p>
        <w:p w14:paraId="1139E688" w14:textId="06365BFA" w:rsidR="009F53EF" w:rsidRDefault="00AC768F">
          <w:pPr>
            <w:pStyle w:val="TOC2"/>
            <w:rPr>
              <w:rFonts w:asciiTheme="minorHAnsi" w:eastAsiaTheme="minorEastAsia" w:hAnsiTheme="minorHAnsi" w:cstheme="minorBidi"/>
              <w:bCs w:val="0"/>
              <w:caps w:val="0"/>
              <w:sz w:val="22"/>
              <w:szCs w:val="22"/>
              <w:lang w:eastAsia="ja-JP"/>
            </w:rPr>
          </w:pPr>
          <w:hyperlink w:anchor="_Toc87627652" w:history="1">
            <w:r w:rsidR="009F53EF" w:rsidRPr="00660E09">
              <w:rPr>
                <w:rStyle w:val="Hyperlink"/>
              </w:rPr>
              <w:t>1.1.</w:t>
            </w:r>
            <w:r w:rsidR="009F53EF">
              <w:rPr>
                <w:rFonts w:asciiTheme="minorHAnsi" w:eastAsiaTheme="minorEastAsia" w:hAnsiTheme="minorHAnsi" w:cstheme="minorBidi"/>
                <w:bCs w:val="0"/>
                <w:caps w:val="0"/>
                <w:sz w:val="22"/>
                <w:szCs w:val="22"/>
                <w:lang w:eastAsia="ja-JP"/>
              </w:rPr>
              <w:tab/>
            </w:r>
            <w:r w:rsidR="009F53EF" w:rsidRPr="00660E09">
              <w:rPr>
                <w:rStyle w:val="Hyperlink"/>
              </w:rPr>
              <w:t>Background</w:t>
            </w:r>
            <w:r w:rsidR="009F53EF">
              <w:rPr>
                <w:webHidden/>
              </w:rPr>
              <w:tab/>
            </w:r>
            <w:r w:rsidR="009F53EF">
              <w:rPr>
                <w:webHidden/>
              </w:rPr>
              <w:fldChar w:fldCharType="begin"/>
            </w:r>
            <w:r w:rsidR="009F53EF">
              <w:rPr>
                <w:webHidden/>
              </w:rPr>
              <w:instrText xml:space="preserve"> PAGEREF _Toc87627652 \h </w:instrText>
            </w:r>
            <w:r w:rsidR="009F53EF">
              <w:rPr>
                <w:webHidden/>
              </w:rPr>
            </w:r>
            <w:r w:rsidR="009F53EF">
              <w:rPr>
                <w:webHidden/>
              </w:rPr>
              <w:fldChar w:fldCharType="separate"/>
            </w:r>
            <w:r w:rsidR="009F53EF">
              <w:rPr>
                <w:webHidden/>
              </w:rPr>
              <w:t>5</w:t>
            </w:r>
            <w:r w:rsidR="009F53EF">
              <w:rPr>
                <w:webHidden/>
              </w:rPr>
              <w:fldChar w:fldCharType="end"/>
            </w:r>
          </w:hyperlink>
        </w:p>
        <w:p w14:paraId="754DA068" w14:textId="29C62BDD" w:rsidR="009F53EF" w:rsidRDefault="00AC768F">
          <w:pPr>
            <w:pStyle w:val="TOC2"/>
            <w:rPr>
              <w:rFonts w:asciiTheme="minorHAnsi" w:eastAsiaTheme="minorEastAsia" w:hAnsiTheme="minorHAnsi" w:cstheme="minorBidi"/>
              <w:bCs w:val="0"/>
              <w:caps w:val="0"/>
              <w:sz w:val="22"/>
              <w:szCs w:val="22"/>
              <w:lang w:eastAsia="ja-JP"/>
            </w:rPr>
          </w:pPr>
          <w:hyperlink w:anchor="_Toc87627653" w:history="1">
            <w:r w:rsidR="009F53EF" w:rsidRPr="00660E09">
              <w:rPr>
                <w:rStyle w:val="Hyperlink"/>
              </w:rPr>
              <w:t>1.2.</w:t>
            </w:r>
            <w:r w:rsidR="009F53EF">
              <w:rPr>
                <w:rFonts w:asciiTheme="minorHAnsi" w:eastAsiaTheme="minorEastAsia" w:hAnsiTheme="minorHAnsi" w:cstheme="minorBidi"/>
                <w:bCs w:val="0"/>
                <w:caps w:val="0"/>
                <w:sz w:val="22"/>
                <w:szCs w:val="22"/>
                <w:lang w:eastAsia="ja-JP"/>
              </w:rPr>
              <w:tab/>
            </w:r>
            <w:r w:rsidR="009F53EF" w:rsidRPr="00660E09">
              <w:rPr>
                <w:rStyle w:val="Hyperlink"/>
              </w:rPr>
              <w:t>Objectives</w:t>
            </w:r>
            <w:r w:rsidR="009F53EF">
              <w:rPr>
                <w:webHidden/>
              </w:rPr>
              <w:tab/>
            </w:r>
            <w:r w:rsidR="009F53EF">
              <w:rPr>
                <w:webHidden/>
              </w:rPr>
              <w:fldChar w:fldCharType="begin"/>
            </w:r>
            <w:r w:rsidR="009F53EF">
              <w:rPr>
                <w:webHidden/>
              </w:rPr>
              <w:instrText xml:space="preserve"> PAGEREF _Toc87627653 \h </w:instrText>
            </w:r>
            <w:r w:rsidR="009F53EF">
              <w:rPr>
                <w:webHidden/>
              </w:rPr>
            </w:r>
            <w:r w:rsidR="009F53EF">
              <w:rPr>
                <w:webHidden/>
              </w:rPr>
              <w:fldChar w:fldCharType="separate"/>
            </w:r>
            <w:r w:rsidR="009F53EF">
              <w:rPr>
                <w:webHidden/>
              </w:rPr>
              <w:t>5</w:t>
            </w:r>
            <w:r w:rsidR="009F53EF">
              <w:rPr>
                <w:webHidden/>
              </w:rPr>
              <w:fldChar w:fldCharType="end"/>
            </w:r>
          </w:hyperlink>
        </w:p>
        <w:p w14:paraId="3E0FAE0B" w14:textId="7693C0FC" w:rsidR="009F53EF" w:rsidRDefault="00AC768F">
          <w:pPr>
            <w:pStyle w:val="TOC2"/>
            <w:rPr>
              <w:rFonts w:asciiTheme="minorHAnsi" w:eastAsiaTheme="minorEastAsia" w:hAnsiTheme="minorHAnsi" w:cstheme="minorBidi"/>
              <w:bCs w:val="0"/>
              <w:caps w:val="0"/>
              <w:sz w:val="22"/>
              <w:szCs w:val="22"/>
              <w:lang w:eastAsia="ja-JP"/>
            </w:rPr>
          </w:pPr>
          <w:hyperlink w:anchor="_Toc87627654" w:history="1">
            <w:r w:rsidR="009F53EF" w:rsidRPr="00660E09">
              <w:rPr>
                <w:rStyle w:val="Hyperlink"/>
              </w:rPr>
              <w:t>1.3.</w:t>
            </w:r>
            <w:r w:rsidR="009F53EF">
              <w:rPr>
                <w:rFonts w:asciiTheme="minorHAnsi" w:eastAsiaTheme="minorEastAsia" w:hAnsiTheme="minorHAnsi" w:cstheme="minorBidi"/>
                <w:bCs w:val="0"/>
                <w:caps w:val="0"/>
                <w:sz w:val="22"/>
                <w:szCs w:val="22"/>
                <w:lang w:eastAsia="ja-JP"/>
              </w:rPr>
              <w:tab/>
            </w:r>
            <w:r w:rsidR="009F53EF" w:rsidRPr="00660E09">
              <w:rPr>
                <w:rStyle w:val="Hyperlink"/>
              </w:rPr>
              <w:t>Scope</w:t>
            </w:r>
            <w:r w:rsidR="009F53EF">
              <w:rPr>
                <w:webHidden/>
              </w:rPr>
              <w:tab/>
            </w:r>
            <w:r w:rsidR="009F53EF">
              <w:rPr>
                <w:webHidden/>
              </w:rPr>
              <w:fldChar w:fldCharType="begin"/>
            </w:r>
            <w:r w:rsidR="009F53EF">
              <w:rPr>
                <w:webHidden/>
              </w:rPr>
              <w:instrText xml:space="preserve"> PAGEREF _Toc87627654 \h </w:instrText>
            </w:r>
            <w:r w:rsidR="009F53EF">
              <w:rPr>
                <w:webHidden/>
              </w:rPr>
            </w:r>
            <w:r w:rsidR="009F53EF">
              <w:rPr>
                <w:webHidden/>
              </w:rPr>
              <w:fldChar w:fldCharType="separate"/>
            </w:r>
            <w:r w:rsidR="009F53EF">
              <w:rPr>
                <w:webHidden/>
              </w:rPr>
              <w:t>5</w:t>
            </w:r>
            <w:r w:rsidR="009F53EF">
              <w:rPr>
                <w:webHidden/>
              </w:rPr>
              <w:fldChar w:fldCharType="end"/>
            </w:r>
          </w:hyperlink>
        </w:p>
        <w:p w14:paraId="7A94A400" w14:textId="1FB0408D" w:rsidR="009F53EF" w:rsidRDefault="00AC768F">
          <w:pPr>
            <w:pStyle w:val="TOC2"/>
            <w:rPr>
              <w:rFonts w:asciiTheme="minorHAnsi" w:eastAsiaTheme="minorEastAsia" w:hAnsiTheme="minorHAnsi" w:cstheme="minorBidi"/>
              <w:bCs w:val="0"/>
              <w:caps w:val="0"/>
              <w:sz w:val="22"/>
              <w:szCs w:val="22"/>
              <w:lang w:eastAsia="ja-JP"/>
            </w:rPr>
          </w:pPr>
          <w:hyperlink w:anchor="_Toc87627655" w:history="1">
            <w:r w:rsidR="009F53EF" w:rsidRPr="00660E09">
              <w:rPr>
                <w:rStyle w:val="Hyperlink"/>
              </w:rPr>
              <w:t>1.4.</w:t>
            </w:r>
            <w:r w:rsidR="009F53EF">
              <w:rPr>
                <w:rFonts w:asciiTheme="minorHAnsi" w:eastAsiaTheme="minorEastAsia" w:hAnsiTheme="minorHAnsi" w:cstheme="minorBidi"/>
                <w:bCs w:val="0"/>
                <w:caps w:val="0"/>
                <w:sz w:val="22"/>
                <w:szCs w:val="22"/>
                <w:lang w:eastAsia="ja-JP"/>
              </w:rPr>
              <w:tab/>
            </w:r>
            <w:r w:rsidR="009F53EF" w:rsidRPr="00660E09">
              <w:rPr>
                <w:rStyle w:val="Hyperlink"/>
              </w:rPr>
              <w:t>Users</w:t>
            </w:r>
            <w:r w:rsidR="009F53EF">
              <w:rPr>
                <w:webHidden/>
              </w:rPr>
              <w:tab/>
            </w:r>
            <w:r w:rsidR="009F53EF">
              <w:rPr>
                <w:webHidden/>
              </w:rPr>
              <w:fldChar w:fldCharType="begin"/>
            </w:r>
            <w:r w:rsidR="009F53EF">
              <w:rPr>
                <w:webHidden/>
              </w:rPr>
              <w:instrText xml:space="preserve"> PAGEREF _Toc87627655 \h </w:instrText>
            </w:r>
            <w:r w:rsidR="009F53EF">
              <w:rPr>
                <w:webHidden/>
              </w:rPr>
            </w:r>
            <w:r w:rsidR="009F53EF">
              <w:rPr>
                <w:webHidden/>
              </w:rPr>
              <w:fldChar w:fldCharType="separate"/>
            </w:r>
            <w:r w:rsidR="009F53EF">
              <w:rPr>
                <w:webHidden/>
              </w:rPr>
              <w:t>6</w:t>
            </w:r>
            <w:r w:rsidR="009F53EF">
              <w:rPr>
                <w:webHidden/>
              </w:rPr>
              <w:fldChar w:fldCharType="end"/>
            </w:r>
          </w:hyperlink>
        </w:p>
        <w:p w14:paraId="33648332" w14:textId="757A4BC3" w:rsidR="009F53EF" w:rsidRDefault="00AC768F">
          <w:pPr>
            <w:pStyle w:val="TOC2"/>
            <w:rPr>
              <w:rFonts w:asciiTheme="minorHAnsi" w:eastAsiaTheme="minorEastAsia" w:hAnsiTheme="minorHAnsi" w:cstheme="minorBidi"/>
              <w:bCs w:val="0"/>
              <w:caps w:val="0"/>
              <w:sz w:val="22"/>
              <w:szCs w:val="22"/>
              <w:lang w:eastAsia="ja-JP"/>
            </w:rPr>
          </w:pPr>
          <w:hyperlink w:anchor="_Toc87627656" w:history="1">
            <w:r w:rsidR="009F53EF" w:rsidRPr="00660E09">
              <w:rPr>
                <w:rStyle w:val="Hyperlink"/>
              </w:rPr>
              <w:t>1.5.</w:t>
            </w:r>
            <w:r w:rsidR="009F53EF">
              <w:rPr>
                <w:rFonts w:asciiTheme="minorHAnsi" w:eastAsiaTheme="minorEastAsia" w:hAnsiTheme="minorHAnsi" w:cstheme="minorBidi"/>
                <w:bCs w:val="0"/>
                <w:caps w:val="0"/>
                <w:sz w:val="22"/>
                <w:szCs w:val="22"/>
                <w:lang w:eastAsia="ja-JP"/>
              </w:rPr>
              <w:tab/>
            </w:r>
            <w:r w:rsidR="009F53EF" w:rsidRPr="00660E09">
              <w:rPr>
                <w:rStyle w:val="Hyperlink"/>
              </w:rPr>
              <w:t>Structure</w:t>
            </w:r>
            <w:r w:rsidR="009F53EF">
              <w:rPr>
                <w:webHidden/>
              </w:rPr>
              <w:tab/>
            </w:r>
            <w:r w:rsidR="009F53EF">
              <w:rPr>
                <w:webHidden/>
              </w:rPr>
              <w:fldChar w:fldCharType="begin"/>
            </w:r>
            <w:r w:rsidR="009F53EF">
              <w:rPr>
                <w:webHidden/>
              </w:rPr>
              <w:instrText xml:space="preserve"> PAGEREF _Toc87627656 \h </w:instrText>
            </w:r>
            <w:r w:rsidR="009F53EF">
              <w:rPr>
                <w:webHidden/>
              </w:rPr>
            </w:r>
            <w:r w:rsidR="009F53EF">
              <w:rPr>
                <w:webHidden/>
              </w:rPr>
              <w:fldChar w:fldCharType="separate"/>
            </w:r>
            <w:r w:rsidR="009F53EF">
              <w:rPr>
                <w:webHidden/>
              </w:rPr>
              <w:t>6</w:t>
            </w:r>
            <w:r w:rsidR="009F53EF">
              <w:rPr>
                <w:webHidden/>
              </w:rPr>
              <w:fldChar w:fldCharType="end"/>
            </w:r>
          </w:hyperlink>
        </w:p>
        <w:p w14:paraId="3209DDEC" w14:textId="3D419E00" w:rsidR="009F53EF" w:rsidRDefault="00AC768F">
          <w:pPr>
            <w:pStyle w:val="TOC1"/>
            <w:rPr>
              <w:rFonts w:asciiTheme="minorHAnsi" w:eastAsiaTheme="minorEastAsia" w:hAnsiTheme="minorHAnsi" w:cstheme="minorBidi"/>
              <w:bCs w:val="0"/>
              <w:iCs w:val="0"/>
              <w:caps w:val="0"/>
              <w:sz w:val="22"/>
              <w:szCs w:val="22"/>
              <w:lang w:eastAsia="ja-JP"/>
            </w:rPr>
          </w:pPr>
          <w:hyperlink w:anchor="_Toc87627657" w:history="1">
            <w:r w:rsidR="009F53EF" w:rsidRPr="00660E09">
              <w:rPr>
                <w:rStyle w:val="Hyperlink"/>
              </w:rPr>
              <w:t>2.</w:t>
            </w:r>
            <w:r w:rsidR="009F53EF">
              <w:rPr>
                <w:rFonts w:asciiTheme="minorHAnsi" w:eastAsiaTheme="minorEastAsia" w:hAnsiTheme="minorHAnsi" w:cstheme="minorBidi"/>
                <w:bCs w:val="0"/>
                <w:iCs w:val="0"/>
                <w:caps w:val="0"/>
                <w:sz w:val="22"/>
                <w:szCs w:val="22"/>
                <w:lang w:eastAsia="ja-JP"/>
              </w:rPr>
              <w:tab/>
            </w:r>
            <w:r w:rsidR="009F53EF" w:rsidRPr="00660E09">
              <w:rPr>
                <w:rStyle w:val="Hyperlink"/>
              </w:rPr>
              <w:t>Human and organizational factors (or ISiD issues) as were recognized in the Fukushima Accident</w:t>
            </w:r>
            <w:r w:rsidR="009F53EF">
              <w:rPr>
                <w:webHidden/>
              </w:rPr>
              <w:tab/>
            </w:r>
            <w:r w:rsidR="009F53EF">
              <w:rPr>
                <w:webHidden/>
              </w:rPr>
              <w:fldChar w:fldCharType="begin"/>
            </w:r>
            <w:r w:rsidR="009F53EF">
              <w:rPr>
                <w:webHidden/>
              </w:rPr>
              <w:instrText xml:space="preserve"> PAGEREF _Toc87627657 \h </w:instrText>
            </w:r>
            <w:r w:rsidR="009F53EF">
              <w:rPr>
                <w:webHidden/>
              </w:rPr>
            </w:r>
            <w:r w:rsidR="009F53EF">
              <w:rPr>
                <w:webHidden/>
              </w:rPr>
              <w:fldChar w:fldCharType="separate"/>
            </w:r>
            <w:r w:rsidR="009F53EF">
              <w:rPr>
                <w:webHidden/>
              </w:rPr>
              <w:t>6</w:t>
            </w:r>
            <w:r w:rsidR="009F53EF">
              <w:rPr>
                <w:webHidden/>
              </w:rPr>
              <w:fldChar w:fldCharType="end"/>
            </w:r>
          </w:hyperlink>
        </w:p>
        <w:p w14:paraId="3F936886" w14:textId="08F0A0F5" w:rsidR="009F53EF" w:rsidRDefault="00AC768F">
          <w:pPr>
            <w:pStyle w:val="TOC2"/>
            <w:rPr>
              <w:rFonts w:asciiTheme="minorHAnsi" w:eastAsiaTheme="minorEastAsia" w:hAnsiTheme="minorHAnsi" w:cstheme="minorBidi"/>
              <w:bCs w:val="0"/>
              <w:caps w:val="0"/>
              <w:sz w:val="22"/>
              <w:szCs w:val="22"/>
              <w:lang w:eastAsia="ja-JP"/>
            </w:rPr>
          </w:pPr>
          <w:hyperlink w:anchor="_Toc87627658" w:history="1">
            <w:r w:rsidR="009F53EF" w:rsidRPr="00660E09">
              <w:rPr>
                <w:rStyle w:val="Hyperlink"/>
              </w:rPr>
              <w:t>2.1.</w:t>
            </w:r>
            <w:r w:rsidR="009F53EF">
              <w:rPr>
                <w:rFonts w:asciiTheme="minorHAnsi" w:eastAsiaTheme="minorEastAsia" w:hAnsiTheme="minorHAnsi" w:cstheme="minorBidi"/>
                <w:bCs w:val="0"/>
                <w:caps w:val="0"/>
                <w:sz w:val="22"/>
                <w:szCs w:val="22"/>
                <w:lang w:eastAsia="ja-JP"/>
              </w:rPr>
              <w:tab/>
            </w:r>
            <w:r w:rsidR="009F53EF" w:rsidRPr="00660E09">
              <w:rPr>
                <w:rStyle w:val="Hyperlink"/>
              </w:rPr>
              <w:t>The accident highlighted human, organizational, and cultural issues</w:t>
            </w:r>
            <w:r w:rsidR="009F53EF">
              <w:rPr>
                <w:webHidden/>
              </w:rPr>
              <w:tab/>
            </w:r>
            <w:r w:rsidR="009F53EF">
              <w:rPr>
                <w:webHidden/>
              </w:rPr>
              <w:fldChar w:fldCharType="begin"/>
            </w:r>
            <w:r w:rsidR="009F53EF">
              <w:rPr>
                <w:webHidden/>
              </w:rPr>
              <w:instrText xml:space="preserve"> PAGEREF _Toc87627658 \h </w:instrText>
            </w:r>
            <w:r w:rsidR="009F53EF">
              <w:rPr>
                <w:webHidden/>
              </w:rPr>
            </w:r>
            <w:r w:rsidR="009F53EF">
              <w:rPr>
                <w:webHidden/>
              </w:rPr>
              <w:fldChar w:fldCharType="separate"/>
            </w:r>
            <w:r w:rsidR="009F53EF">
              <w:rPr>
                <w:webHidden/>
              </w:rPr>
              <w:t>6</w:t>
            </w:r>
            <w:r w:rsidR="009F53EF">
              <w:rPr>
                <w:webHidden/>
              </w:rPr>
              <w:fldChar w:fldCharType="end"/>
            </w:r>
          </w:hyperlink>
        </w:p>
        <w:p w14:paraId="151DA297" w14:textId="05C64351" w:rsidR="009F53EF" w:rsidRDefault="00AC768F">
          <w:pPr>
            <w:pStyle w:val="TOC2"/>
            <w:rPr>
              <w:rFonts w:asciiTheme="minorHAnsi" w:eastAsiaTheme="minorEastAsia" w:hAnsiTheme="minorHAnsi" w:cstheme="minorBidi"/>
              <w:bCs w:val="0"/>
              <w:caps w:val="0"/>
              <w:sz w:val="22"/>
              <w:szCs w:val="22"/>
              <w:lang w:eastAsia="ja-JP"/>
            </w:rPr>
          </w:pPr>
          <w:hyperlink w:anchor="_Toc87627659" w:history="1">
            <w:r w:rsidR="009F53EF" w:rsidRPr="00660E09">
              <w:rPr>
                <w:rStyle w:val="Hyperlink"/>
                <w:rFonts w:eastAsia="MS PGothic"/>
              </w:rPr>
              <w:t>2.2.</w:t>
            </w:r>
            <w:r w:rsidR="009F53EF">
              <w:rPr>
                <w:rFonts w:asciiTheme="minorHAnsi" w:eastAsiaTheme="minorEastAsia" w:hAnsiTheme="minorHAnsi" w:cstheme="minorBidi"/>
                <w:bCs w:val="0"/>
                <w:caps w:val="0"/>
                <w:sz w:val="22"/>
                <w:szCs w:val="22"/>
                <w:lang w:eastAsia="ja-JP"/>
              </w:rPr>
              <w:tab/>
            </w:r>
            <w:r w:rsidR="009F53EF" w:rsidRPr="00660E09">
              <w:rPr>
                <w:rStyle w:val="Hyperlink"/>
                <w:rFonts w:eastAsia="MS PGothic"/>
              </w:rPr>
              <w:t>Key identified or recognized issues</w:t>
            </w:r>
            <w:r w:rsidR="009F53EF">
              <w:rPr>
                <w:webHidden/>
              </w:rPr>
              <w:tab/>
            </w:r>
            <w:r w:rsidR="009F53EF">
              <w:rPr>
                <w:webHidden/>
              </w:rPr>
              <w:fldChar w:fldCharType="begin"/>
            </w:r>
            <w:r w:rsidR="009F53EF">
              <w:rPr>
                <w:webHidden/>
              </w:rPr>
              <w:instrText xml:space="preserve"> PAGEREF _Toc87627659 \h </w:instrText>
            </w:r>
            <w:r w:rsidR="009F53EF">
              <w:rPr>
                <w:webHidden/>
              </w:rPr>
            </w:r>
            <w:r w:rsidR="009F53EF">
              <w:rPr>
                <w:webHidden/>
              </w:rPr>
              <w:fldChar w:fldCharType="separate"/>
            </w:r>
            <w:r w:rsidR="009F53EF">
              <w:rPr>
                <w:webHidden/>
              </w:rPr>
              <w:t>7</w:t>
            </w:r>
            <w:r w:rsidR="009F53EF">
              <w:rPr>
                <w:webHidden/>
              </w:rPr>
              <w:fldChar w:fldCharType="end"/>
            </w:r>
          </w:hyperlink>
        </w:p>
        <w:p w14:paraId="2CF34064" w14:textId="71FA5396" w:rsidR="009F53EF" w:rsidRDefault="00AC768F">
          <w:pPr>
            <w:pStyle w:val="TOC2"/>
            <w:rPr>
              <w:rFonts w:asciiTheme="minorHAnsi" w:eastAsiaTheme="minorEastAsia" w:hAnsiTheme="minorHAnsi" w:cstheme="minorBidi"/>
              <w:bCs w:val="0"/>
              <w:caps w:val="0"/>
              <w:sz w:val="22"/>
              <w:szCs w:val="22"/>
              <w:lang w:eastAsia="ja-JP"/>
            </w:rPr>
          </w:pPr>
          <w:hyperlink w:anchor="_Toc87627660" w:history="1">
            <w:r w:rsidR="009F53EF" w:rsidRPr="00660E09">
              <w:rPr>
                <w:rStyle w:val="Hyperlink"/>
              </w:rPr>
              <w:t>2.3.</w:t>
            </w:r>
            <w:r w:rsidR="009F53EF">
              <w:rPr>
                <w:rFonts w:asciiTheme="minorHAnsi" w:eastAsiaTheme="minorEastAsia" w:hAnsiTheme="minorHAnsi" w:cstheme="minorBidi"/>
                <w:bCs w:val="0"/>
                <w:caps w:val="0"/>
                <w:sz w:val="22"/>
                <w:szCs w:val="22"/>
                <w:lang w:eastAsia="ja-JP"/>
              </w:rPr>
              <w:tab/>
            </w:r>
            <w:r w:rsidR="009F53EF" w:rsidRPr="00660E09">
              <w:rPr>
                <w:rStyle w:val="Hyperlink"/>
              </w:rPr>
              <w:t>INSAG-27</w:t>
            </w:r>
            <w:r w:rsidR="009F53EF">
              <w:rPr>
                <w:webHidden/>
              </w:rPr>
              <w:tab/>
            </w:r>
            <w:r w:rsidR="009F53EF">
              <w:rPr>
                <w:webHidden/>
              </w:rPr>
              <w:fldChar w:fldCharType="begin"/>
            </w:r>
            <w:r w:rsidR="009F53EF">
              <w:rPr>
                <w:webHidden/>
              </w:rPr>
              <w:instrText xml:space="preserve"> PAGEREF _Toc87627660 \h </w:instrText>
            </w:r>
            <w:r w:rsidR="009F53EF">
              <w:rPr>
                <w:webHidden/>
              </w:rPr>
            </w:r>
            <w:r w:rsidR="009F53EF">
              <w:rPr>
                <w:webHidden/>
              </w:rPr>
              <w:fldChar w:fldCharType="separate"/>
            </w:r>
            <w:r w:rsidR="009F53EF">
              <w:rPr>
                <w:webHidden/>
              </w:rPr>
              <w:t>9</w:t>
            </w:r>
            <w:r w:rsidR="009F53EF">
              <w:rPr>
                <w:webHidden/>
              </w:rPr>
              <w:fldChar w:fldCharType="end"/>
            </w:r>
          </w:hyperlink>
        </w:p>
        <w:p w14:paraId="0AFA0563" w14:textId="4C560CE2" w:rsidR="009F53EF" w:rsidRDefault="00AC768F">
          <w:pPr>
            <w:pStyle w:val="TOC1"/>
            <w:rPr>
              <w:rFonts w:asciiTheme="minorHAnsi" w:eastAsiaTheme="minorEastAsia" w:hAnsiTheme="minorHAnsi" w:cstheme="minorBidi"/>
              <w:bCs w:val="0"/>
              <w:iCs w:val="0"/>
              <w:caps w:val="0"/>
              <w:sz w:val="22"/>
              <w:szCs w:val="22"/>
              <w:lang w:eastAsia="ja-JP"/>
            </w:rPr>
          </w:pPr>
          <w:hyperlink w:anchor="_Toc87627661" w:history="1">
            <w:r w:rsidR="009F53EF" w:rsidRPr="00660E09">
              <w:rPr>
                <w:rStyle w:val="Hyperlink"/>
              </w:rPr>
              <w:t>3.</w:t>
            </w:r>
            <w:r w:rsidR="009F53EF">
              <w:rPr>
                <w:rFonts w:asciiTheme="minorHAnsi" w:eastAsiaTheme="minorEastAsia" w:hAnsiTheme="minorHAnsi" w:cstheme="minorBidi"/>
                <w:bCs w:val="0"/>
                <w:iCs w:val="0"/>
                <w:caps w:val="0"/>
                <w:sz w:val="22"/>
                <w:szCs w:val="22"/>
                <w:lang w:eastAsia="ja-JP"/>
              </w:rPr>
              <w:tab/>
            </w:r>
            <w:r w:rsidR="009F53EF" w:rsidRPr="00660E09">
              <w:rPr>
                <w:rStyle w:val="Hyperlink"/>
              </w:rPr>
              <w:t>key attributes of institutional strength in depth in nuclear organizations)</w:t>
            </w:r>
            <w:r w:rsidR="009F53EF">
              <w:rPr>
                <w:webHidden/>
              </w:rPr>
              <w:tab/>
            </w:r>
            <w:r w:rsidR="009F53EF">
              <w:rPr>
                <w:webHidden/>
              </w:rPr>
              <w:fldChar w:fldCharType="begin"/>
            </w:r>
            <w:r w:rsidR="009F53EF">
              <w:rPr>
                <w:webHidden/>
              </w:rPr>
              <w:instrText xml:space="preserve"> PAGEREF _Toc87627661 \h </w:instrText>
            </w:r>
            <w:r w:rsidR="009F53EF">
              <w:rPr>
                <w:webHidden/>
              </w:rPr>
            </w:r>
            <w:r w:rsidR="009F53EF">
              <w:rPr>
                <w:webHidden/>
              </w:rPr>
              <w:fldChar w:fldCharType="separate"/>
            </w:r>
            <w:r w:rsidR="009F53EF">
              <w:rPr>
                <w:webHidden/>
              </w:rPr>
              <w:t>11</w:t>
            </w:r>
            <w:r w:rsidR="009F53EF">
              <w:rPr>
                <w:webHidden/>
              </w:rPr>
              <w:fldChar w:fldCharType="end"/>
            </w:r>
          </w:hyperlink>
        </w:p>
        <w:p w14:paraId="34AD5E43" w14:textId="675D7602" w:rsidR="009F53EF" w:rsidRDefault="00AC768F">
          <w:pPr>
            <w:pStyle w:val="TOC2"/>
            <w:rPr>
              <w:rFonts w:asciiTheme="minorHAnsi" w:eastAsiaTheme="minorEastAsia" w:hAnsiTheme="minorHAnsi" w:cstheme="minorBidi"/>
              <w:bCs w:val="0"/>
              <w:caps w:val="0"/>
              <w:sz w:val="22"/>
              <w:szCs w:val="22"/>
              <w:lang w:eastAsia="ja-JP"/>
            </w:rPr>
          </w:pPr>
          <w:hyperlink w:anchor="_Toc87627662" w:history="1">
            <w:r w:rsidR="009F53EF" w:rsidRPr="00660E09">
              <w:rPr>
                <w:rStyle w:val="Hyperlink"/>
              </w:rPr>
              <w:t>3.1.</w:t>
            </w:r>
            <w:r w:rsidR="009F53EF">
              <w:rPr>
                <w:rFonts w:asciiTheme="minorHAnsi" w:eastAsiaTheme="minorEastAsia" w:hAnsiTheme="minorHAnsi" w:cstheme="minorBidi"/>
                <w:bCs w:val="0"/>
                <w:caps w:val="0"/>
                <w:sz w:val="22"/>
                <w:szCs w:val="22"/>
                <w:lang w:eastAsia="ja-JP"/>
              </w:rPr>
              <w:tab/>
            </w:r>
            <w:r w:rsidR="009F53EF" w:rsidRPr="00660E09">
              <w:rPr>
                <w:rStyle w:val="Hyperlink"/>
              </w:rPr>
              <w:t>Integrated Management System</w:t>
            </w:r>
            <w:r w:rsidR="009F53EF">
              <w:rPr>
                <w:webHidden/>
              </w:rPr>
              <w:tab/>
            </w:r>
            <w:r w:rsidR="009F53EF">
              <w:rPr>
                <w:webHidden/>
              </w:rPr>
              <w:fldChar w:fldCharType="begin"/>
            </w:r>
            <w:r w:rsidR="009F53EF">
              <w:rPr>
                <w:webHidden/>
              </w:rPr>
              <w:instrText xml:space="preserve"> PAGEREF _Toc87627662 \h </w:instrText>
            </w:r>
            <w:r w:rsidR="009F53EF">
              <w:rPr>
                <w:webHidden/>
              </w:rPr>
            </w:r>
            <w:r w:rsidR="009F53EF">
              <w:rPr>
                <w:webHidden/>
              </w:rPr>
              <w:fldChar w:fldCharType="separate"/>
            </w:r>
            <w:r w:rsidR="009F53EF">
              <w:rPr>
                <w:webHidden/>
              </w:rPr>
              <w:t>12</w:t>
            </w:r>
            <w:r w:rsidR="009F53EF">
              <w:rPr>
                <w:webHidden/>
              </w:rPr>
              <w:fldChar w:fldCharType="end"/>
            </w:r>
          </w:hyperlink>
        </w:p>
        <w:p w14:paraId="7A060C20" w14:textId="70FEDB73" w:rsidR="009F53EF" w:rsidRDefault="00AC768F">
          <w:pPr>
            <w:pStyle w:val="TOC2"/>
            <w:rPr>
              <w:rFonts w:asciiTheme="minorHAnsi" w:eastAsiaTheme="minorEastAsia" w:hAnsiTheme="minorHAnsi" w:cstheme="minorBidi"/>
              <w:bCs w:val="0"/>
              <w:caps w:val="0"/>
              <w:sz w:val="22"/>
              <w:szCs w:val="22"/>
              <w:lang w:eastAsia="ja-JP"/>
            </w:rPr>
          </w:pPr>
          <w:hyperlink w:anchor="_Toc87627663" w:history="1">
            <w:r w:rsidR="009F53EF" w:rsidRPr="00660E09">
              <w:rPr>
                <w:rStyle w:val="Hyperlink"/>
              </w:rPr>
              <w:t>3.2.</w:t>
            </w:r>
            <w:r w:rsidR="009F53EF">
              <w:rPr>
                <w:rFonts w:asciiTheme="minorHAnsi" w:eastAsiaTheme="minorEastAsia" w:hAnsiTheme="minorHAnsi" w:cstheme="minorBidi"/>
                <w:bCs w:val="0"/>
                <w:caps w:val="0"/>
                <w:sz w:val="22"/>
                <w:szCs w:val="22"/>
                <w:lang w:eastAsia="ja-JP"/>
              </w:rPr>
              <w:tab/>
            </w:r>
            <w:r w:rsidR="009F53EF" w:rsidRPr="00660E09">
              <w:rPr>
                <w:rStyle w:val="Hyperlink"/>
              </w:rPr>
              <w:t>Strong Leadership and culture for safety</w:t>
            </w:r>
            <w:r w:rsidR="009F53EF">
              <w:rPr>
                <w:webHidden/>
              </w:rPr>
              <w:tab/>
            </w:r>
            <w:r w:rsidR="009F53EF">
              <w:rPr>
                <w:webHidden/>
              </w:rPr>
              <w:fldChar w:fldCharType="begin"/>
            </w:r>
            <w:r w:rsidR="009F53EF">
              <w:rPr>
                <w:webHidden/>
              </w:rPr>
              <w:instrText xml:space="preserve"> PAGEREF _Toc87627663 \h </w:instrText>
            </w:r>
            <w:r w:rsidR="009F53EF">
              <w:rPr>
                <w:webHidden/>
              </w:rPr>
            </w:r>
            <w:r w:rsidR="009F53EF">
              <w:rPr>
                <w:webHidden/>
              </w:rPr>
              <w:fldChar w:fldCharType="separate"/>
            </w:r>
            <w:r w:rsidR="009F53EF">
              <w:rPr>
                <w:webHidden/>
              </w:rPr>
              <w:t>13</w:t>
            </w:r>
            <w:r w:rsidR="009F53EF">
              <w:rPr>
                <w:webHidden/>
              </w:rPr>
              <w:fldChar w:fldCharType="end"/>
            </w:r>
          </w:hyperlink>
        </w:p>
        <w:p w14:paraId="550C1505" w14:textId="354DE7DA" w:rsidR="009F53EF" w:rsidRDefault="00AC768F">
          <w:pPr>
            <w:pStyle w:val="TOC2"/>
            <w:rPr>
              <w:rFonts w:asciiTheme="minorHAnsi" w:eastAsiaTheme="minorEastAsia" w:hAnsiTheme="minorHAnsi" w:cstheme="minorBidi"/>
              <w:bCs w:val="0"/>
              <w:caps w:val="0"/>
              <w:sz w:val="22"/>
              <w:szCs w:val="22"/>
              <w:lang w:eastAsia="ja-JP"/>
            </w:rPr>
          </w:pPr>
          <w:hyperlink w:anchor="_Toc87627664" w:history="1">
            <w:r w:rsidR="009F53EF" w:rsidRPr="00660E09">
              <w:rPr>
                <w:rStyle w:val="Hyperlink"/>
              </w:rPr>
              <w:t>3.3.</w:t>
            </w:r>
            <w:r w:rsidR="009F53EF">
              <w:rPr>
                <w:rFonts w:asciiTheme="minorHAnsi" w:eastAsiaTheme="minorEastAsia" w:hAnsiTheme="minorHAnsi" w:cstheme="minorBidi"/>
                <w:bCs w:val="0"/>
                <w:caps w:val="0"/>
                <w:sz w:val="22"/>
                <w:szCs w:val="22"/>
                <w:lang w:eastAsia="ja-JP"/>
              </w:rPr>
              <w:tab/>
            </w:r>
            <w:r w:rsidR="009F53EF" w:rsidRPr="00660E09">
              <w:rPr>
                <w:rStyle w:val="Hyperlink"/>
              </w:rPr>
              <w:t>Effective Governance</w:t>
            </w:r>
            <w:r w:rsidR="009F53EF">
              <w:rPr>
                <w:webHidden/>
              </w:rPr>
              <w:tab/>
            </w:r>
            <w:r w:rsidR="009F53EF">
              <w:rPr>
                <w:webHidden/>
              </w:rPr>
              <w:fldChar w:fldCharType="begin"/>
            </w:r>
            <w:r w:rsidR="009F53EF">
              <w:rPr>
                <w:webHidden/>
              </w:rPr>
              <w:instrText xml:space="preserve"> PAGEREF _Toc87627664 \h </w:instrText>
            </w:r>
            <w:r w:rsidR="009F53EF">
              <w:rPr>
                <w:webHidden/>
              </w:rPr>
            </w:r>
            <w:r w:rsidR="009F53EF">
              <w:rPr>
                <w:webHidden/>
              </w:rPr>
              <w:fldChar w:fldCharType="separate"/>
            </w:r>
            <w:r w:rsidR="009F53EF">
              <w:rPr>
                <w:webHidden/>
              </w:rPr>
              <w:t>15</w:t>
            </w:r>
            <w:r w:rsidR="009F53EF">
              <w:rPr>
                <w:webHidden/>
              </w:rPr>
              <w:fldChar w:fldCharType="end"/>
            </w:r>
          </w:hyperlink>
        </w:p>
        <w:p w14:paraId="4B8F4226" w14:textId="40A526BE" w:rsidR="009F53EF" w:rsidRDefault="00AC768F">
          <w:pPr>
            <w:pStyle w:val="TOC2"/>
            <w:rPr>
              <w:rFonts w:asciiTheme="minorHAnsi" w:eastAsiaTheme="minorEastAsia" w:hAnsiTheme="minorHAnsi" w:cstheme="minorBidi"/>
              <w:bCs w:val="0"/>
              <w:caps w:val="0"/>
              <w:sz w:val="22"/>
              <w:szCs w:val="22"/>
              <w:lang w:eastAsia="ja-JP"/>
            </w:rPr>
          </w:pPr>
          <w:hyperlink w:anchor="_Toc87627665" w:history="1">
            <w:r w:rsidR="009F53EF" w:rsidRPr="00660E09">
              <w:rPr>
                <w:rStyle w:val="Hyperlink"/>
              </w:rPr>
              <w:t>3.4.</w:t>
            </w:r>
            <w:r w:rsidR="009F53EF">
              <w:rPr>
                <w:rFonts w:asciiTheme="minorHAnsi" w:eastAsiaTheme="minorEastAsia" w:hAnsiTheme="minorHAnsi" w:cstheme="minorBidi"/>
                <w:bCs w:val="0"/>
                <w:caps w:val="0"/>
                <w:sz w:val="22"/>
                <w:szCs w:val="22"/>
                <w:lang w:eastAsia="ja-JP"/>
              </w:rPr>
              <w:tab/>
            </w:r>
            <w:r w:rsidR="009F53EF" w:rsidRPr="00660E09">
              <w:rPr>
                <w:rStyle w:val="Hyperlink"/>
              </w:rPr>
              <w:t>Robust oversight</w:t>
            </w:r>
            <w:r w:rsidR="009F53EF">
              <w:rPr>
                <w:webHidden/>
              </w:rPr>
              <w:tab/>
            </w:r>
            <w:r w:rsidR="009F53EF">
              <w:rPr>
                <w:webHidden/>
              </w:rPr>
              <w:fldChar w:fldCharType="begin"/>
            </w:r>
            <w:r w:rsidR="009F53EF">
              <w:rPr>
                <w:webHidden/>
              </w:rPr>
              <w:instrText xml:space="preserve"> PAGEREF _Toc87627665 \h </w:instrText>
            </w:r>
            <w:r w:rsidR="009F53EF">
              <w:rPr>
                <w:webHidden/>
              </w:rPr>
            </w:r>
            <w:r w:rsidR="009F53EF">
              <w:rPr>
                <w:webHidden/>
              </w:rPr>
              <w:fldChar w:fldCharType="separate"/>
            </w:r>
            <w:r w:rsidR="009F53EF">
              <w:rPr>
                <w:webHidden/>
              </w:rPr>
              <w:t>17</w:t>
            </w:r>
            <w:r w:rsidR="009F53EF">
              <w:rPr>
                <w:webHidden/>
              </w:rPr>
              <w:fldChar w:fldCharType="end"/>
            </w:r>
          </w:hyperlink>
        </w:p>
        <w:p w14:paraId="51E983C5" w14:textId="1D7AD135" w:rsidR="009F53EF" w:rsidRDefault="00AC768F">
          <w:pPr>
            <w:pStyle w:val="TOC2"/>
            <w:rPr>
              <w:rFonts w:asciiTheme="minorHAnsi" w:eastAsiaTheme="minorEastAsia" w:hAnsiTheme="minorHAnsi" w:cstheme="minorBidi"/>
              <w:bCs w:val="0"/>
              <w:caps w:val="0"/>
              <w:sz w:val="22"/>
              <w:szCs w:val="22"/>
              <w:lang w:eastAsia="ja-JP"/>
            </w:rPr>
          </w:pPr>
          <w:hyperlink w:anchor="_Toc87627666" w:history="1">
            <w:r w:rsidR="009F53EF" w:rsidRPr="00660E09">
              <w:rPr>
                <w:rStyle w:val="Hyperlink"/>
              </w:rPr>
              <w:t>3.5.</w:t>
            </w:r>
            <w:r w:rsidR="009F53EF">
              <w:rPr>
                <w:rFonts w:asciiTheme="minorHAnsi" w:eastAsiaTheme="minorEastAsia" w:hAnsiTheme="minorHAnsi" w:cstheme="minorBidi"/>
                <w:bCs w:val="0"/>
                <w:caps w:val="0"/>
                <w:sz w:val="22"/>
                <w:szCs w:val="22"/>
                <w:lang w:eastAsia="ja-JP"/>
              </w:rPr>
              <w:tab/>
            </w:r>
            <w:r w:rsidR="009F53EF" w:rsidRPr="00660E09">
              <w:rPr>
                <w:rStyle w:val="Hyperlink"/>
              </w:rPr>
              <w:t>Technical competence</w:t>
            </w:r>
            <w:r w:rsidR="009F53EF">
              <w:rPr>
                <w:webHidden/>
              </w:rPr>
              <w:tab/>
            </w:r>
            <w:r w:rsidR="009F53EF">
              <w:rPr>
                <w:webHidden/>
              </w:rPr>
              <w:fldChar w:fldCharType="begin"/>
            </w:r>
            <w:r w:rsidR="009F53EF">
              <w:rPr>
                <w:webHidden/>
              </w:rPr>
              <w:instrText xml:space="preserve"> PAGEREF _Toc87627666 \h </w:instrText>
            </w:r>
            <w:r w:rsidR="009F53EF">
              <w:rPr>
                <w:webHidden/>
              </w:rPr>
            </w:r>
            <w:r w:rsidR="009F53EF">
              <w:rPr>
                <w:webHidden/>
              </w:rPr>
              <w:fldChar w:fldCharType="separate"/>
            </w:r>
            <w:r w:rsidR="009F53EF">
              <w:rPr>
                <w:webHidden/>
              </w:rPr>
              <w:t>21</w:t>
            </w:r>
            <w:r w:rsidR="009F53EF">
              <w:rPr>
                <w:webHidden/>
              </w:rPr>
              <w:fldChar w:fldCharType="end"/>
            </w:r>
          </w:hyperlink>
        </w:p>
        <w:p w14:paraId="0670FFDA" w14:textId="18972824" w:rsidR="009F53EF" w:rsidRDefault="00AC768F">
          <w:pPr>
            <w:pStyle w:val="TOC3"/>
            <w:rPr>
              <w:rFonts w:asciiTheme="minorHAnsi" w:eastAsiaTheme="minorEastAsia" w:hAnsiTheme="minorHAnsi" w:cstheme="minorBidi"/>
              <w:sz w:val="22"/>
              <w:szCs w:val="22"/>
              <w:lang w:eastAsia="ja-JP"/>
            </w:rPr>
          </w:pPr>
          <w:hyperlink w:anchor="_Toc87627667" w:history="1">
            <w:r w:rsidR="009F53EF" w:rsidRPr="00660E09">
              <w:rPr>
                <w:rStyle w:val="Hyperlink"/>
              </w:rPr>
              <w:t>3.5.1.</w:t>
            </w:r>
            <w:r w:rsidR="009F53EF">
              <w:rPr>
                <w:rFonts w:asciiTheme="minorHAnsi" w:eastAsiaTheme="minorEastAsia" w:hAnsiTheme="minorHAnsi" w:cstheme="minorBidi"/>
                <w:sz w:val="22"/>
                <w:szCs w:val="22"/>
                <w:lang w:eastAsia="ja-JP"/>
              </w:rPr>
              <w:tab/>
            </w:r>
            <w:r w:rsidR="009F53EF" w:rsidRPr="00660E09">
              <w:rPr>
                <w:rStyle w:val="Hyperlink"/>
              </w:rPr>
              <w:t>Mapping of competence, Continuous Education/Training and Qualification</w:t>
            </w:r>
            <w:r w:rsidR="009F53EF">
              <w:rPr>
                <w:webHidden/>
              </w:rPr>
              <w:tab/>
            </w:r>
            <w:r w:rsidR="009F53EF">
              <w:rPr>
                <w:webHidden/>
              </w:rPr>
              <w:fldChar w:fldCharType="begin"/>
            </w:r>
            <w:r w:rsidR="009F53EF">
              <w:rPr>
                <w:webHidden/>
              </w:rPr>
              <w:instrText xml:space="preserve"> PAGEREF _Toc87627667 \h </w:instrText>
            </w:r>
            <w:r w:rsidR="009F53EF">
              <w:rPr>
                <w:webHidden/>
              </w:rPr>
            </w:r>
            <w:r w:rsidR="009F53EF">
              <w:rPr>
                <w:webHidden/>
              </w:rPr>
              <w:fldChar w:fldCharType="separate"/>
            </w:r>
            <w:r w:rsidR="009F53EF">
              <w:rPr>
                <w:webHidden/>
              </w:rPr>
              <w:t>21</w:t>
            </w:r>
            <w:r w:rsidR="009F53EF">
              <w:rPr>
                <w:webHidden/>
              </w:rPr>
              <w:fldChar w:fldCharType="end"/>
            </w:r>
          </w:hyperlink>
        </w:p>
        <w:p w14:paraId="3813F529" w14:textId="73B5A508" w:rsidR="009F53EF" w:rsidRDefault="00AC768F">
          <w:pPr>
            <w:pStyle w:val="TOC3"/>
            <w:rPr>
              <w:rFonts w:asciiTheme="minorHAnsi" w:eastAsiaTheme="minorEastAsia" w:hAnsiTheme="minorHAnsi" w:cstheme="minorBidi"/>
              <w:sz w:val="22"/>
              <w:szCs w:val="22"/>
              <w:lang w:eastAsia="ja-JP"/>
            </w:rPr>
          </w:pPr>
          <w:hyperlink w:anchor="_Toc87627668" w:history="1">
            <w:r w:rsidR="009F53EF" w:rsidRPr="00660E09">
              <w:rPr>
                <w:rStyle w:val="Hyperlink"/>
                <w:iCs/>
                <w:bdr w:val="none" w:sz="0" w:space="0" w:color="auto" w:frame="1"/>
              </w:rPr>
              <w:t>3.5.2.</w:t>
            </w:r>
            <w:r w:rsidR="009F53EF">
              <w:rPr>
                <w:rFonts w:asciiTheme="minorHAnsi" w:eastAsiaTheme="minorEastAsia" w:hAnsiTheme="minorHAnsi" w:cstheme="minorBidi"/>
                <w:sz w:val="22"/>
                <w:szCs w:val="22"/>
                <w:lang w:eastAsia="ja-JP"/>
              </w:rPr>
              <w:tab/>
            </w:r>
            <w:r w:rsidR="009F53EF" w:rsidRPr="00660E09">
              <w:rPr>
                <w:rStyle w:val="Hyperlink"/>
                <w:iCs/>
                <w:bdr w:val="none" w:sz="0" w:space="0" w:color="auto" w:frame="1"/>
              </w:rPr>
              <w:t>Nuclear Knowledge Management (NKM)</w:t>
            </w:r>
            <w:r w:rsidR="009F53EF">
              <w:rPr>
                <w:webHidden/>
              </w:rPr>
              <w:tab/>
            </w:r>
            <w:r w:rsidR="009F53EF">
              <w:rPr>
                <w:webHidden/>
              </w:rPr>
              <w:fldChar w:fldCharType="begin"/>
            </w:r>
            <w:r w:rsidR="009F53EF">
              <w:rPr>
                <w:webHidden/>
              </w:rPr>
              <w:instrText xml:space="preserve"> PAGEREF _Toc87627668 \h </w:instrText>
            </w:r>
            <w:r w:rsidR="009F53EF">
              <w:rPr>
                <w:webHidden/>
              </w:rPr>
            </w:r>
            <w:r w:rsidR="009F53EF">
              <w:rPr>
                <w:webHidden/>
              </w:rPr>
              <w:fldChar w:fldCharType="separate"/>
            </w:r>
            <w:r w:rsidR="009F53EF">
              <w:rPr>
                <w:webHidden/>
              </w:rPr>
              <w:t>22</w:t>
            </w:r>
            <w:r w:rsidR="009F53EF">
              <w:rPr>
                <w:webHidden/>
              </w:rPr>
              <w:fldChar w:fldCharType="end"/>
            </w:r>
          </w:hyperlink>
        </w:p>
        <w:p w14:paraId="70B0EAC0" w14:textId="71B46D38" w:rsidR="009F53EF" w:rsidRDefault="00AC768F">
          <w:pPr>
            <w:pStyle w:val="TOC3"/>
            <w:rPr>
              <w:rFonts w:asciiTheme="minorHAnsi" w:eastAsiaTheme="minorEastAsia" w:hAnsiTheme="minorHAnsi" w:cstheme="minorBidi"/>
              <w:sz w:val="22"/>
              <w:szCs w:val="22"/>
              <w:lang w:eastAsia="ja-JP"/>
            </w:rPr>
          </w:pPr>
          <w:hyperlink w:anchor="_Toc87627669" w:history="1">
            <w:r w:rsidR="009F53EF" w:rsidRPr="00660E09">
              <w:rPr>
                <w:rStyle w:val="Hyperlink"/>
              </w:rPr>
              <w:t>3.5.3.</w:t>
            </w:r>
            <w:r w:rsidR="009F53EF">
              <w:rPr>
                <w:rFonts w:asciiTheme="minorHAnsi" w:eastAsiaTheme="minorEastAsia" w:hAnsiTheme="minorHAnsi" w:cstheme="minorBidi"/>
                <w:sz w:val="22"/>
                <w:szCs w:val="22"/>
                <w:lang w:eastAsia="ja-JP"/>
              </w:rPr>
              <w:tab/>
            </w:r>
            <w:r w:rsidR="009F53EF" w:rsidRPr="00660E09">
              <w:rPr>
                <w:rStyle w:val="Hyperlink"/>
              </w:rPr>
              <w:t>Excellence is learning driven</w:t>
            </w:r>
            <w:r w:rsidR="009F53EF">
              <w:rPr>
                <w:webHidden/>
              </w:rPr>
              <w:tab/>
            </w:r>
            <w:r w:rsidR="009F53EF">
              <w:rPr>
                <w:webHidden/>
              </w:rPr>
              <w:fldChar w:fldCharType="begin"/>
            </w:r>
            <w:r w:rsidR="009F53EF">
              <w:rPr>
                <w:webHidden/>
              </w:rPr>
              <w:instrText xml:space="preserve"> PAGEREF _Toc87627669 \h </w:instrText>
            </w:r>
            <w:r w:rsidR="009F53EF">
              <w:rPr>
                <w:webHidden/>
              </w:rPr>
            </w:r>
            <w:r w:rsidR="009F53EF">
              <w:rPr>
                <w:webHidden/>
              </w:rPr>
              <w:fldChar w:fldCharType="separate"/>
            </w:r>
            <w:r w:rsidR="009F53EF">
              <w:rPr>
                <w:webHidden/>
              </w:rPr>
              <w:t>22</w:t>
            </w:r>
            <w:r w:rsidR="009F53EF">
              <w:rPr>
                <w:webHidden/>
              </w:rPr>
              <w:fldChar w:fldCharType="end"/>
            </w:r>
          </w:hyperlink>
        </w:p>
        <w:p w14:paraId="4E2AC52E" w14:textId="3EF37451" w:rsidR="009F53EF" w:rsidRDefault="00AC768F">
          <w:pPr>
            <w:pStyle w:val="TOC3"/>
            <w:rPr>
              <w:rFonts w:asciiTheme="minorHAnsi" w:eastAsiaTheme="minorEastAsia" w:hAnsiTheme="minorHAnsi" w:cstheme="minorBidi"/>
              <w:sz w:val="22"/>
              <w:szCs w:val="22"/>
              <w:lang w:eastAsia="ja-JP"/>
            </w:rPr>
          </w:pPr>
          <w:hyperlink w:anchor="_Toc87627670" w:history="1">
            <w:r w:rsidR="009F53EF" w:rsidRPr="00660E09">
              <w:rPr>
                <w:rStyle w:val="Hyperlink"/>
              </w:rPr>
              <w:t>3.5.4.</w:t>
            </w:r>
            <w:r w:rsidR="009F53EF">
              <w:rPr>
                <w:rFonts w:asciiTheme="minorHAnsi" w:eastAsiaTheme="minorEastAsia" w:hAnsiTheme="minorHAnsi" w:cstheme="minorBidi"/>
                <w:sz w:val="22"/>
                <w:szCs w:val="22"/>
                <w:lang w:eastAsia="ja-JP"/>
              </w:rPr>
              <w:tab/>
            </w:r>
            <w:r w:rsidR="009F53EF" w:rsidRPr="00660E09">
              <w:rPr>
                <w:rStyle w:val="Hyperlink"/>
              </w:rPr>
              <w:t>Knowledge of design and design authority</w:t>
            </w:r>
            <w:r w:rsidR="009F53EF">
              <w:rPr>
                <w:webHidden/>
              </w:rPr>
              <w:tab/>
            </w:r>
            <w:r w:rsidR="009F53EF">
              <w:rPr>
                <w:webHidden/>
              </w:rPr>
              <w:fldChar w:fldCharType="begin"/>
            </w:r>
            <w:r w:rsidR="009F53EF">
              <w:rPr>
                <w:webHidden/>
              </w:rPr>
              <w:instrText xml:space="preserve"> PAGEREF _Toc87627670 \h </w:instrText>
            </w:r>
            <w:r w:rsidR="009F53EF">
              <w:rPr>
                <w:webHidden/>
              </w:rPr>
            </w:r>
            <w:r w:rsidR="009F53EF">
              <w:rPr>
                <w:webHidden/>
              </w:rPr>
              <w:fldChar w:fldCharType="separate"/>
            </w:r>
            <w:r w:rsidR="009F53EF">
              <w:rPr>
                <w:webHidden/>
              </w:rPr>
              <w:t>22</w:t>
            </w:r>
            <w:r w:rsidR="009F53EF">
              <w:rPr>
                <w:webHidden/>
              </w:rPr>
              <w:fldChar w:fldCharType="end"/>
            </w:r>
          </w:hyperlink>
        </w:p>
        <w:p w14:paraId="59DB523F" w14:textId="4DFFBA71" w:rsidR="009F53EF" w:rsidRDefault="00AC768F">
          <w:pPr>
            <w:pStyle w:val="TOC3"/>
            <w:rPr>
              <w:rFonts w:asciiTheme="minorHAnsi" w:eastAsiaTheme="minorEastAsia" w:hAnsiTheme="minorHAnsi" w:cstheme="minorBidi"/>
              <w:sz w:val="22"/>
              <w:szCs w:val="22"/>
              <w:lang w:eastAsia="ja-JP"/>
            </w:rPr>
          </w:pPr>
          <w:hyperlink w:anchor="_Toc87627671" w:history="1">
            <w:r w:rsidR="009F53EF" w:rsidRPr="00660E09">
              <w:rPr>
                <w:rStyle w:val="Hyperlink"/>
                <w:iCs/>
                <w:bdr w:val="none" w:sz="0" w:space="0" w:color="auto" w:frame="1"/>
              </w:rPr>
              <w:t>3.5.5.</w:t>
            </w:r>
            <w:r w:rsidR="009F53EF">
              <w:rPr>
                <w:rFonts w:asciiTheme="minorHAnsi" w:eastAsiaTheme="minorEastAsia" w:hAnsiTheme="minorHAnsi" w:cstheme="minorBidi"/>
                <w:sz w:val="22"/>
                <w:szCs w:val="22"/>
                <w:lang w:eastAsia="ja-JP"/>
              </w:rPr>
              <w:tab/>
            </w:r>
            <w:r w:rsidR="009F53EF" w:rsidRPr="00660E09">
              <w:rPr>
                <w:rStyle w:val="Hyperlink"/>
                <w:iCs/>
                <w:bdr w:val="none" w:sz="0" w:space="0" w:color="auto" w:frame="1"/>
              </w:rPr>
              <w:t>Risk management and Crisis Management</w:t>
            </w:r>
            <w:r w:rsidR="009F53EF">
              <w:rPr>
                <w:webHidden/>
              </w:rPr>
              <w:tab/>
            </w:r>
            <w:r w:rsidR="009F53EF">
              <w:rPr>
                <w:webHidden/>
              </w:rPr>
              <w:fldChar w:fldCharType="begin"/>
            </w:r>
            <w:r w:rsidR="009F53EF">
              <w:rPr>
                <w:webHidden/>
              </w:rPr>
              <w:instrText xml:space="preserve"> PAGEREF _Toc87627671 \h </w:instrText>
            </w:r>
            <w:r w:rsidR="009F53EF">
              <w:rPr>
                <w:webHidden/>
              </w:rPr>
            </w:r>
            <w:r w:rsidR="009F53EF">
              <w:rPr>
                <w:webHidden/>
              </w:rPr>
              <w:fldChar w:fldCharType="separate"/>
            </w:r>
            <w:r w:rsidR="009F53EF">
              <w:rPr>
                <w:webHidden/>
              </w:rPr>
              <w:t>23</w:t>
            </w:r>
            <w:r w:rsidR="009F53EF">
              <w:rPr>
                <w:webHidden/>
              </w:rPr>
              <w:fldChar w:fldCharType="end"/>
            </w:r>
          </w:hyperlink>
        </w:p>
        <w:p w14:paraId="4DEF213D" w14:textId="3DE53F16" w:rsidR="009F53EF" w:rsidRDefault="00AC768F">
          <w:pPr>
            <w:pStyle w:val="TOC3"/>
            <w:rPr>
              <w:rFonts w:asciiTheme="minorHAnsi" w:eastAsiaTheme="minorEastAsia" w:hAnsiTheme="minorHAnsi" w:cstheme="minorBidi"/>
              <w:sz w:val="22"/>
              <w:szCs w:val="22"/>
              <w:lang w:eastAsia="ja-JP"/>
            </w:rPr>
          </w:pPr>
          <w:hyperlink w:anchor="_Toc87627672" w:history="1">
            <w:r w:rsidR="009F53EF" w:rsidRPr="00660E09">
              <w:rPr>
                <w:rStyle w:val="Hyperlink"/>
                <w:iCs/>
                <w:bdr w:val="none" w:sz="0" w:space="0" w:color="auto" w:frame="1"/>
              </w:rPr>
              <w:t>3.5.6.</w:t>
            </w:r>
            <w:r w:rsidR="009F53EF">
              <w:rPr>
                <w:rFonts w:asciiTheme="minorHAnsi" w:eastAsiaTheme="minorEastAsia" w:hAnsiTheme="minorHAnsi" w:cstheme="minorBidi"/>
                <w:sz w:val="22"/>
                <w:szCs w:val="22"/>
                <w:lang w:eastAsia="ja-JP"/>
              </w:rPr>
              <w:tab/>
            </w:r>
            <w:r w:rsidR="009F53EF" w:rsidRPr="00660E09">
              <w:rPr>
                <w:rStyle w:val="Hyperlink"/>
                <w:iCs/>
                <w:bdr w:val="none" w:sz="0" w:space="0" w:color="auto" w:frame="1"/>
              </w:rPr>
              <w:t>Other competences</w:t>
            </w:r>
            <w:r w:rsidR="009F53EF">
              <w:rPr>
                <w:webHidden/>
              </w:rPr>
              <w:tab/>
            </w:r>
            <w:r w:rsidR="009F53EF">
              <w:rPr>
                <w:webHidden/>
              </w:rPr>
              <w:fldChar w:fldCharType="begin"/>
            </w:r>
            <w:r w:rsidR="009F53EF">
              <w:rPr>
                <w:webHidden/>
              </w:rPr>
              <w:instrText xml:space="preserve"> PAGEREF _Toc87627672 \h </w:instrText>
            </w:r>
            <w:r w:rsidR="009F53EF">
              <w:rPr>
                <w:webHidden/>
              </w:rPr>
            </w:r>
            <w:r w:rsidR="009F53EF">
              <w:rPr>
                <w:webHidden/>
              </w:rPr>
              <w:fldChar w:fldCharType="separate"/>
            </w:r>
            <w:r w:rsidR="009F53EF">
              <w:rPr>
                <w:webHidden/>
              </w:rPr>
              <w:t>24</w:t>
            </w:r>
            <w:r w:rsidR="009F53EF">
              <w:rPr>
                <w:webHidden/>
              </w:rPr>
              <w:fldChar w:fldCharType="end"/>
            </w:r>
          </w:hyperlink>
        </w:p>
        <w:p w14:paraId="69DAFFA4" w14:textId="2A4567F5" w:rsidR="009F53EF" w:rsidRDefault="00AC768F">
          <w:pPr>
            <w:pStyle w:val="TOC2"/>
            <w:rPr>
              <w:rFonts w:asciiTheme="minorHAnsi" w:eastAsiaTheme="minorEastAsia" w:hAnsiTheme="minorHAnsi" w:cstheme="minorBidi"/>
              <w:bCs w:val="0"/>
              <w:caps w:val="0"/>
              <w:sz w:val="22"/>
              <w:szCs w:val="22"/>
              <w:lang w:eastAsia="ja-JP"/>
            </w:rPr>
          </w:pPr>
          <w:hyperlink w:anchor="_Toc87627673" w:history="1">
            <w:r w:rsidR="009F53EF" w:rsidRPr="00660E09">
              <w:rPr>
                <w:rStyle w:val="Hyperlink"/>
              </w:rPr>
              <w:t>3.6.</w:t>
            </w:r>
            <w:r w:rsidR="009F53EF">
              <w:rPr>
                <w:rFonts w:asciiTheme="minorHAnsi" w:eastAsiaTheme="minorEastAsia" w:hAnsiTheme="minorHAnsi" w:cstheme="minorBidi"/>
                <w:bCs w:val="0"/>
                <w:caps w:val="0"/>
                <w:sz w:val="22"/>
                <w:szCs w:val="22"/>
                <w:lang w:eastAsia="ja-JP"/>
              </w:rPr>
              <w:tab/>
            </w:r>
            <w:r w:rsidR="009F53EF" w:rsidRPr="00660E09">
              <w:rPr>
                <w:rStyle w:val="Hyperlink"/>
              </w:rPr>
              <w:t>(Effective) decision-making</w:t>
            </w:r>
            <w:r w:rsidR="009F53EF">
              <w:rPr>
                <w:webHidden/>
              </w:rPr>
              <w:tab/>
            </w:r>
            <w:r w:rsidR="009F53EF">
              <w:rPr>
                <w:webHidden/>
              </w:rPr>
              <w:fldChar w:fldCharType="begin"/>
            </w:r>
            <w:r w:rsidR="009F53EF">
              <w:rPr>
                <w:webHidden/>
              </w:rPr>
              <w:instrText xml:space="preserve"> PAGEREF _Toc87627673 \h </w:instrText>
            </w:r>
            <w:r w:rsidR="009F53EF">
              <w:rPr>
                <w:webHidden/>
              </w:rPr>
            </w:r>
            <w:r w:rsidR="009F53EF">
              <w:rPr>
                <w:webHidden/>
              </w:rPr>
              <w:fldChar w:fldCharType="separate"/>
            </w:r>
            <w:r w:rsidR="009F53EF">
              <w:rPr>
                <w:webHidden/>
              </w:rPr>
              <w:t>24</w:t>
            </w:r>
            <w:r w:rsidR="009F53EF">
              <w:rPr>
                <w:webHidden/>
              </w:rPr>
              <w:fldChar w:fldCharType="end"/>
            </w:r>
          </w:hyperlink>
        </w:p>
        <w:p w14:paraId="118E38A8" w14:textId="0B3F7B8F" w:rsidR="009F53EF" w:rsidRDefault="00AC768F">
          <w:pPr>
            <w:pStyle w:val="TOC3"/>
            <w:rPr>
              <w:rFonts w:asciiTheme="minorHAnsi" w:eastAsiaTheme="minorEastAsia" w:hAnsiTheme="minorHAnsi" w:cstheme="minorBidi"/>
              <w:sz w:val="22"/>
              <w:szCs w:val="22"/>
              <w:lang w:eastAsia="ja-JP"/>
            </w:rPr>
          </w:pPr>
          <w:hyperlink w:anchor="_Toc87627674" w:history="1">
            <w:r w:rsidR="009F53EF" w:rsidRPr="00660E09">
              <w:rPr>
                <w:rStyle w:val="Hyperlink"/>
              </w:rPr>
              <w:t>3.6.1.</w:t>
            </w:r>
            <w:r w:rsidR="009F53EF">
              <w:rPr>
                <w:rFonts w:asciiTheme="minorHAnsi" w:eastAsiaTheme="minorEastAsia" w:hAnsiTheme="minorHAnsi" w:cstheme="minorBidi"/>
                <w:sz w:val="22"/>
                <w:szCs w:val="22"/>
                <w:lang w:eastAsia="ja-JP"/>
              </w:rPr>
              <w:tab/>
            </w:r>
            <w:r w:rsidR="009F53EF" w:rsidRPr="00660E09">
              <w:rPr>
                <w:rStyle w:val="Hyperlink"/>
              </w:rPr>
              <w:t>De</w:t>
            </w:r>
            <w:r w:rsidR="009F53EF" w:rsidRPr="00660E09">
              <w:rPr>
                <w:rStyle w:val="Hyperlink"/>
                <w:iCs/>
              </w:rPr>
              <w:t>cision</w:t>
            </w:r>
            <w:r w:rsidR="009F53EF" w:rsidRPr="00660E09">
              <w:rPr>
                <w:rStyle w:val="Hyperlink"/>
                <w:i/>
                <w:iCs/>
              </w:rPr>
              <w:t>-</w:t>
            </w:r>
            <w:r w:rsidR="009F53EF" w:rsidRPr="00660E09">
              <w:rPr>
                <w:rStyle w:val="Hyperlink"/>
                <w:iCs/>
              </w:rPr>
              <w:t>making</w:t>
            </w:r>
            <w:r w:rsidR="009F53EF" w:rsidRPr="00660E09">
              <w:rPr>
                <w:rStyle w:val="Hyperlink"/>
                <w:i/>
                <w:iCs/>
              </w:rPr>
              <w:t xml:space="preserve"> </w:t>
            </w:r>
            <w:r w:rsidR="009F53EF" w:rsidRPr="00660E09">
              <w:rPr>
                <w:rStyle w:val="Hyperlink"/>
                <w:iCs/>
              </w:rPr>
              <w:t>syst</w:t>
            </w:r>
            <w:r w:rsidR="009F53EF" w:rsidRPr="00660E09">
              <w:rPr>
                <w:rStyle w:val="Hyperlink"/>
              </w:rPr>
              <w:t>em</w:t>
            </w:r>
            <w:r w:rsidR="009F53EF">
              <w:rPr>
                <w:webHidden/>
              </w:rPr>
              <w:tab/>
            </w:r>
            <w:r w:rsidR="009F53EF">
              <w:rPr>
                <w:webHidden/>
              </w:rPr>
              <w:fldChar w:fldCharType="begin"/>
            </w:r>
            <w:r w:rsidR="009F53EF">
              <w:rPr>
                <w:webHidden/>
              </w:rPr>
              <w:instrText xml:space="preserve"> PAGEREF _Toc87627674 \h </w:instrText>
            </w:r>
            <w:r w:rsidR="009F53EF">
              <w:rPr>
                <w:webHidden/>
              </w:rPr>
            </w:r>
            <w:r w:rsidR="009F53EF">
              <w:rPr>
                <w:webHidden/>
              </w:rPr>
              <w:fldChar w:fldCharType="separate"/>
            </w:r>
            <w:r w:rsidR="009F53EF">
              <w:rPr>
                <w:webHidden/>
              </w:rPr>
              <w:t>24</w:t>
            </w:r>
            <w:r w:rsidR="009F53EF">
              <w:rPr>
                <w:webHidden/>
              </w:rPr>
              <w:fldChar w:fldCharType="end"/>
            </w:r>
          </w:hyperlink>
        </w:p>
        <w:p w14:paraId="18204519" w14:textId="0769D061" w:rsidR="009F53EF" w:rsidRDefault="00AC768F">
          <w:pPr>
            <w:pStyle w:val="TOC3"/>
            <w:rPr>
              <w:rFonts w:asciiTheme="minorHAnsi" w:eastAsiaTheme="minorEastAsia" w:hAnsiTheme="minorHAnsi" w:cstheme="minorBidi"/>
              <w:sz w:val="22"/>
              <w:szCs w:val="22"/>
              <w:lang w:eastAsia="ja-JP"/>
            </w:rPr>
          </w:pPr>
          <w:hyperlink w:anchor="_Toc87627675" w:history="1">
            <w:r w:rsidR="009F53EF" w:rsidRPr="00660E09">
              <w:rPr>
                <w:rStyle w:val="Hyperlink"/>
              </w:rPr>
              <w:t>3.6.2.</w:t>
            </w:r>
            <w:r w:rsidR="009F53EF">
              <w:rPr>
                <w:rFonts w:asciiTheme="minorHAnsi" w:eastAsiaTheme="minorEastAsia" w:hAnsiTheme="minorHAnsi" w:cstheme="minorBidi"/>
                <w:sz w:val="22"/>
                <w:szCs w:val="22"/>
                <w:lang w:eastAsia="ja-JP"/>
              </w:rPr>
              <w:tab/>
            </w:r>
            <w:r w:rsidR="009F53EF" w:rsidRPr="00660E09">
              <w:rPr>
                <w:rStyle w:val="Hyperlink"/>
              </w:rPr>
              <w:t>Consideration of Diverse Views</w:t>
            </w:r>
            <w:r w:rsidR="009F53EF">
              <w:rPr>
                <w:webHidden/>
              </w:rPr>
              <w:tab/>
            </w:r>
            <w:r w:rsidR="009F53EF">
              <w:rPr>
                <w:webHidden/>
              </w:rPr>
              <w:fldChar w:fldCharType="begin"/>
            </w:r>
            <w:r w:rsidR="009F53EF">
              <w:rPr>
                <w:webHidden/>
              </w:rPr>
              <w:instrText xml:space="preserve"> PAGEREF _Toc87627675 \h </w:instrText>
            </w:r>
            <w:r w:rsidR="009F53EF">
              <w:rPr>
                <w:webHidden/>
              </w:rPr>
            </w:r>
            <w:r w:rsidR="009F53EF">
              <w:rPr>
                <w:webHidden/>
              </w:rPr>
              <w:fldChar w:fldCharType="separate"/>
            </w:r>
            <w:r w:rsidR="009F53EF">
              <w:rPr>
                <w:webHidden/>
              </w:rPr>
              <w:t>25</w:t>
            </w:r>
            <w:r w:rsidR="009F53EF">
              <w:rPr>
                <w:webHidden/>
              </w:rPr>
              <w:fldChar w:fldCharType="end"/>
            </w:r>
          </w:hyperlink>
        </w:p>
        <w:p w14:paraId="29078F2C" w14:textId="0F79BBEB" w:rsidR="009F53EF" w:rsidRDefault="00AC768F">
          <w:pPr>
            <w:pStyle w:val="TOC3"/>
            <w:rPr>
              <w:rFonts w:asciiTheme="minorHAnsi" w:eastAsiaTheme="minorEastAsia" w:hAnsiTheme="minorHAnsi" w:cstheme="minorBidi"/>
              <w:sz w:val="22"/>
              <w:szCs w:val="22"/>
              <w:lang w:eastAsia="ja-JP"/>
            </w:rPr>
          </w:pPr>
          <w:hyperlink w:anchor="_Toc87627676" w:history="1">
            <w:r w:rsidR="009F53EF" w:rsidRPr="00660E09">
              <w:rPr>
                <w:rStyle w:val="Hyperlink"/>
              </w:rPr>
              <w:t>3.6.3.</w:t>
            </w:r>
            <w:r w:rsidR="009F53EF">
              <w:rPr>
                <w:rFonts w:asciiTheme="minorHAnsi" w:eastAsiaTheme="minorEastAsia" w:hAnsiTheme="minorHAnsi" w:cstheme="minorBidi"/>
                <w:sz w:val="22"/>
                <w:szCs w:val="22"/>
                <w:lang w:eastAsia="ja-JP"/>
              </w:rPr>
              <w:tab/>
            </w:r>
            <w:r w:rsidR="009F53EF" w:rsidRPr="00660E09">
              <w:rPr>
                <w:rStyle w:val="Hyperlink"/>
              </w:rPr>
              <w:t>Risk-informed</w:t>
            </w:r>
            <w:r w:rsidR="009F53EF">
              <w:rPr>
                <w:webHidden/>
              </w:rPr>
              <w:tab/>
            </w:r>
            <w:r w:rsidR="009F53EF">
              <w:rPr>
                <w:webHidden/>
              </w:rPr>
              <w:fldChar w:fldCharType="begin"/>
            </w:r>
            <w:r w:rsidR="009F53EF">
              <w:rPr>
                <w:webHidden/>
              </w:rPr>
              <w:instrText xml:space="preserve"> PAGEREF _Toc87627676 \h </w:instrText>
            </w:r>
            <w:r w:rsidR="009F53EF">
              <w:rPr>
                <w:webHidden/>
              </w:rPr>
            </w:r>
            <w:r w:rsidR="009F53EF">
              <w:rPr>
                <w:webHidden/>
              </w:rPr>
              <w:fldChar w:fldCharType="separate"/>
            </w:r>
            <w:r w:rsidR="009F53EF">
              <w:rPr>
                <w:webHidden/>
              </w:rPr>
              <w:t>26</w:t>
            </w:r>
            <w:r w:rsidR="009F53EF">
              <w:rPr>
                <w:webHidden/>
              </w:rPr>
              <w:fldChar w:fldCharType="end"/>
            </w:r>
          </w:hyperlink>
        </w:p>
        <w:p w14:paraId="220C6294" w14:textId="14DC0C53" w:rsidR="009F53EF" w:rsidRDefault="00AC768F">
          <w:pPr>
            <w:pStyle w:val="TOC3"/>
            <w:rPr>
              <w:rFonts w:asciiTheme="minorHAnsi" w:eastAsiaTheme="minorEastAsia" w:hAnsiTheme="minorHAnsi" w:cstheme="minorBidi"/>
              <w:sz w:val="22"/>
              <w:szCs w:val="22"/>
              <w:lang w:eastAsia="ja-JP"/>
            </w:rPr>
          </w:pPr>
          <w:hyperlink w:anchor="_Toc87627677" w:history="1">
            <w:r w:rsidR="009F53EF" w:rsidRPr="00660E09">
              <w:rPr>
                <w:rStyle w:val="Hyperlink"/>
              </w:rPr>
              <w:t>3.6.4.</w:t>
            </w:r>
            <w:r w:rsidR="009F53EF">
              <w:rPr>
                <w:rFonts w:asciiTheme="minorHAnsi" w:eastAsiaTheme="minorEastAsia" w:hAnsiTheme="minorHAnsi" w:cstheme="minorBidi"/>
                <w:sz w:val="22"/>
                <w:szCs w:val="22"/>
                <w:lang w:eastAsia="ja-JP"/>
              </w:rPr>
              <w:tab/>
            </w:r>
            <w:r w:rsidR="009F53EF" w:rsidRPr="00660E09">
              <w:rPr>
                <w:rStyle w:val="Hyperlink"/>
              </w:rPr>
              <w:t>Organizational traits in decision-making</w:t>
            </w:r>
            <w:r w:rsidR="009F53EF">
              <w:rPr>
                <w:webHidden/>
              </w:rPr>
              <w:tab/>
            </w:r>
            <w:r w:rsidR="009F53EF">
              <w:rPr>
                <w:webHidden/>
              </w:rPr>
              <w:fldChar w:fldCharType="begin"/>
            </w:r>
            <w:r w:rsidR="009F53EF">
              <w:rPr>
                <w:webHidden/>
              </w:rPr>
              <w:instrText xml:space="preserve"> PAGEREF _Toc87627677 \h </w:instrText>
            </w:r>
            <w:r w:rsidR="009F53EF">
              <w:rPr>
                <w:webHidden/>
              </w:rPr>
            </w:r>
            <w:r w:rsidR="009F53EF">
              <w:rPr>
                <w:webHidden/>
              </w:rPr>
              <w:fldChar w:fldCharType="separate"/>
            </w:r>
            <w:r w:rsidR="009F53EF">
              <w:rPr>
                <w:webHidden/>
              </w:rPr>
              <w:t>26</w:t>
            </w:r>
            <w:r w:rsidR="009F53EF">
              <w:rPr>
                <w:webHidden/>
              </w:rPr>
              <w:fldChar w:fldCharType="end"/>
            </w:r>
          </w:hyperlink>
        </w:p>
        <w:p w14:paraId="502E8834" w14:textId="2F65FF22" w:rsidR="009F53EF" w:rsidRDefault="00AC768F">
          <w:pPr>
            <w:pStyle w:val="TOC2"/>
            <w:rPr>
              <w:rFonts w:asciiTheme="minorHAnsi" w:eastAsiaTheme="minorEastAsia" w:hAnsiTheme="minorHAnsi" w:cstheme="minorBidi"/>
              <w:bCs w:val="0"/>
              <w:caps w:val="0"/>
              <w:sz w:val="22"/>
              <w:szCs w:val="22"/>
              <w:lang w:eastAsia="ja-JP"/>
            </w:rPr>
          </w:pPr>
          <w:hyperlink w:anchor="_Toc87627678" w:history="1">
            <w:r w:rsidR="009F53EF" w:rsidRPr="00660E09">
              <w:rPr>
                <w:rStyle w:val="Hyperlink"/>
              </w:rPr>
              <w:t>3.7.</w:t>
            </w:r>
            <w:r w:rsidR="009F53EF">
              <w:rPr>
                <w:rFonts w:asciiTheme="minorHAnsi" w:eastAsiaTheme="minorEastAsia" w:hAnsiTheme="minorHAnsi" w:cstheme="minorBidi"/>
                <w:bCs w:val="0"/>
                <w:caps w:val="0"/>
                <w:sz w:val="22"/>
                <w:szCs w:val="22"/>
                <w:lang w:eastAsia="ja-JP"/>
              </w:rPr>
              <w:tab/>
            </w:r>
            <w:r w:rsidR="009F53EF" w:rsidRPr="00660E09">
              <w:rPr>
                <w:rStyle w:val="Hyperlink"/>
              </w:rPr>
              <w:t>Building (Organizational) resilience</w:t>
            </w:r>
            <w:r w:rsidR="009F53EF">
              <w:rPr>
                <w:webHidden/>
              </w:rPr>
              <w:tab/>
            </w:r>
            <w:r w:rsidR="009F53EF">
              <w:rPr>
                <w:webHidden/>
              </w:rPr>
              <w:fldChar w:fldCharType="begin"/>
            </w:r>
            <w:r w:rsidR="009F53EF">
              <w:rPr>
                <w:webHidden/>
              </w:rPr>
              <w:instrText xml:space="preserve"> PAGEREF _Toc87627678 \h </w:instrText>
            </w:r>
            <w:r w:rsidR="009F53EF">
              <w:rPr>
                <w:webHidden/>
              </w:rPr>
            </w:r>
            <w:r w:rsidR="009F53EF">
              <w:rPr>
                <w:webHidden/>
              </w:rPr>
              <w:fldChar w:fldCharType="separate"/>
            </w:r>
            <w:r w:rsidR="009F53EF">
              <w:rPr>
                <w:webHidden/>
              </w:rPr>
              <w:t>27</w:t>
            </w:r>
            <w:r w:rsidR="009F53EF">
              <w:rPr>
                <w:webHidden/>
              </w:rPr>
              <w:fldChar w:fldCharType="end"/>
            </w:r>
          </w:hyperlink>
        </w:p>
        <w:p w14:paraId="242C14D3" w14:textId="49B578F8" w:rsidR="009F53EF" w:rsidRDefault="00AC768F">
          <w:pPr>
            <w:pStyle w:val="TOC2"/>
            <w:rPr>
              <w:rFonts w:asciiTheme="minorHAnsi" w:eastAsiaTheme="minorEastAsia" w:hAnsiTheme="minorHAnsi" w:cstheme="minorBidi"/>
              <w:bCs w:val="0"/>
              <w:caps w:val="0"/>
              <w:sz w:val="22"/>
              <w:szCs w:val="22"/>
              <w:lang w:eastAsia="ja-JP"/>
            </w:rPr>
          </w:pPr>
          <w:hyperlink w:anchor="_Toc87627679" w:history="1">
            <w:r w:rsidR="009F53EF" w:rsidRPr="00660E09">
              <w:rPr>
                <w:rStyle w:val="Hyperlink"/>
              </w:rPr>
              <w:t>3.8.</w:t>
            </w:r>
            <w:r w:rsidR="009F53EF">
              <w:rPr>
                <w:rFonts w:asciiTheme="minorHAnsi" w:eastAsiaTheme="minorEastAsia" w:hAnsiTheme="minorHAnsi" w:cstheme="minorBidi"/>
                <w:bCs w:val="0"/>
                <w:caps w:val="0"/>
                <w:sz w:val="22"/>
                <w:szCs w:val="22"/>
                <w:lang w:eastAsia="ja-JP"/>
              </w:rPr>
              <w:tab/>
            </w:r>
            <w:r w:rsidR="009F53EF" w:rsidRPr="00660E09">
              <w:rPr>
                <w:rStyle w:val="Hyperlink"/>
              </w:rPr>
              <w:t>Operational Risk Management</w:t>
            </w:r>
            <w:r w:rsidR="009F53EF">
              <w:rPr>
                <w:webHidden/>
              </w:rPr>
              <w:tab/>
            </w:r>
            <w:r w:rsidR="009F53EF">
              <w:rPr>
                <w:webHidden/>
              </w:rPr>
              <w:fldChar w:fldCharType="begin"/>
            </w:r>
            <w:r w:rsidR="009F53EF">
              <w:rPr>
                <w:webHidden/>
              </w:rPr>
              <w:instrText xml:space="preserve"> PAGEREF _Toc87627679 \h </w:instrText>
            </w:r>
            <w:r w:rsidR="009F53EF">
              <w:rPr>
                <w:webHidden/>
              </w:rPr>
            </w:r>
            <w:r w:rsidR="009F53EF">
              <w:rPr>
                <w:webHidden/>
              </w:rPr>
              <w:fldChar w:fldCharType="separate"/>
            </w:r>
            <w:r w:rsidR="009F53EF">
              <w:rPr>
                <w:webHidden/>
              </w:rPr>
              <w:t>28</w:t>
            </w:r>
            <w:r w:rsidR="009F53EF">
              <w:rPr>
                <w:webHidden/>
              </w:rPr>
              <w:fldChar w:fldCharType="end"/>
            </w:r>
          </w:hyperlink>
        </w:p>
        <w:p w14:paraId="4A27A5A3" w14:textId="219594B8" w:rsidR="009F53EF" w:rsidRDefault="00AC768F">
          <w:pPr>
            <w:pStyle w:val="TOC3"/>
            <w:rPr>
              <w:rFonts w:asciiTheme="minorHAnsi" w:eastAsiaTheme="minorEastAsia" w:hAnsiTheme="minorHAnsi" w:cstheme="minorBidi"/>
              <w:sz w:val="22"/>
              <w:szCs w:val="22"/>
              <w:lang w:eastAsia="ja-JP"/>
            </w:rPr>
          </w:pPr>
          <w:hyperlink w:anchor="_Toc87627680" w:history="1">
            <w:r w:rsidR="009F53EF" w:rsidRPr="00660E09">
              <w:rPr>
                <w:rStyle w:val="Hyperlink"/>
              </w:rPr>
              <w:t>3.8.1.</w:t>
            </w:r>
            <w:r w:rsidR="009F53EF">
              <w:rPr>
                <w:rFonts w:asciiTheme="minorHAnsi" w:eastAsiaTheme="minorEastAsia" w:hAnsiTheme="minorHAnsi" w:cstheme="minorBidi"/>
                <w:sz w:val="22"/>
                <w:szCs w:val="22"/>
                <w:lang w:eastAsia="ja-JP"/>
              </w:rPr>
              <w:tab/>
            </w:r>
            <w:r w:rsidR="009F53EF" w:rsidRPr="00660E09">
              <w:rPr>
                <w:rStyle w:val="Hyperlink"/>
              </w:rPr>
              <w:t>Insights from Near Term Task Force Review of Insights from the Fukushima Dai-Ichi Accident  - Recommendations for Enhancing Reactor Safety in the 21st Century</w:t>
            </w:r>
            <w:r w:rsidR="009F53EF">
              <w:rPr>
                <w:webHidden/>
              </w:rPr>
              <w:tab/>
            </w:r>
            <w:r w:rsidR="009F53EF">
              <w:rPr>
                <w:webHidden/>
              </w:rPr>
              <w:fldChar w:fldCharType="begin"/>
            </w:r>
            <w:r w:rsidR="009F53EF">
              <w:rPr>
                <w:webHidden/>
              </w:rPr>
              <w:instrText xml:space="preserve"> PAGEREF _Toc87627680 \h </w:instrText>
            </w:r>
            <w:r w:rsidR="009F53EF">
              <w:rPr>
                <w:webHidden/>
              </w:rPr>
            </w:r>
            <w:r w:rsidR="009F53EF">
              <w:rPr>
                <w:webHidden/>
              </w:rPr>
              <w:fldChar w:fldCharType="separate"/>
            </w:r>
            <w:r w:rsidR="009F53EF">
              <w:rPr>
                <w:webHidden/>
              </w:rPr>
              <w:t>30</w:t>
            </w:r>
            <w:r w:rsidR="009F53EF">
              <w:rPr>
                <w:webHidden/>
              </w:rPr>
              <w:fldChar w:fldCharType="end"/>
            </w:r>
          </w:hyperlink>
        </w:p>
        <w:p w14:paraId="6E0A46E3" w14:textId="0D7B5B64" w:rsidR="009F53EF" w:rsidRDefault="00AC768F">
          <w:pPr>
            <w:pStyle w:val="TOC3"/>
            <w:rPr>
              <w:rFonts w:asciiTheme="minorHAnsi" w:eastAsiaTheme="minorEastAsia" w:hAnsiTheme="minorHAnsi" w:cstheme="minorBidi"/>
              <w:sz w:val="22"/>
              <w:szCs w:val="22"/>
              <w:lang w:eastAsia="ja-JP"/>
            </w:rPr>
          </w:pPr>
          <w:hyperlink w:anchor="_Toc87627681" w:history="1">
            <w:r w:rsidR="009F53EF" w:rsidRPr="00660E09">
              <w:rPr>
                <w:rStyle w:val="Hyperlink"/>
              </w:rPr>
              <w:t>3.8.2.</w:t>
            </w:r>
            <w:r w:rsidR="009F53EF">
              <w:rPr>
                <w:rFonts w:asciiTheme="minorHAnsi" w:eastAsiaTheme="minorEastAsia" w:hAnsiTheme="minorHAnsi" w:cstheme="minorBidi"/>
                <w:sz w:val="22"/>
                <w:szCs w:val="22"/>
                <w:lang w:eastAsia="ja-JP"/>
              </w:rPr>
              <w:tab/>
            </w:r>
            <w:r w:rsidR="009F53EF" w:rsidRPr="00660E09">
              <w:rPr>
                <w:rStyle w:val="Hyperlink"/>
              </w:rPr>
              <w:t>Elements of Strength-in-Depth for Operational Risk Management</w:t>
            </w:r>
            <w:r w:rsidR="009F53EF">
              <w:rPr>
                <w:webHidden/>
              </w:rPr>
              <w:tab/>
            </w:r>
            <w:r w:rsidR="009F53EF">
              <w:rPr>
                <w:webHidden/>
              </w:rPr>
              <w:fldChar w:fldCharType="begin"/>
            </w:r>
            <w:r w:rsidR="009F53EF">
              <w:rPr>
                <w:webHidden/>
              </w:rPr>
              <w:instrText xml:space="preserve"> PAGEREF _Toc87627681 \h </w:instrText>
            </w:r>
            <w:r w:rsidR="009F53EF">
              <w:rPr>
                <w:webHidden/>
              </w:rPr>
            </w:r>
            <w:r w:rsidR="009F53EF">
              <w:rPr>
                <w:webHidden/>
              </w:rPr>
              <w:fldChar w:fldCharType="separate"/>
            </w:r>
            <w:r w:rsidR="009F53EF">
              <w:rPr>
                <w:webHidden/>
              </w:rPr>
              <w:t>31</w:t>
            </w:r>
            <w:r w:rsidR="009F53EF">
              <w:rPr>
                <w:webHidden/>
              </w:rPr>
              <w:fldChar w:fldCharType="end"/>
            </w:r>
          </w:hyperlink>
        </w:p>
        <w:p w14:paraId="1B4E6927" w14:textId="3917EA6B" w:rsidR="009F53EF" w:rsidRDefault="00AC768F">
          <w:pPr>
            <w:pStyle w:val="TOC3"/>
            <w:rPr>
              <w:rFonts w:asciiTheme="minorHAnsi" w:eastAsiaTheme="minorEastAsia" w:hAnsiTheme="minorHAnsi" w:cstheme="minorBidi"/>
              <w:sz w:val="22"/>
              <w:szCs w:val="22"/>
              <w:lang w:eastAsia="ja-JP"/>
            </w:rPr>
          </w:pPr>
          <w:hyperlink w:anchor="_Toc87627682" w:history="1">
            <w:r w:rsidR="009F53EF" w:rsidRPr="00660E09">
              <w:rPr>
                <w:rStyle w:val="Hyperlink"/>
              </w:rPr>
              <w:t>3.8.3.</w:t>
            </w:r>
            <w:r w:rsidR="009F53EF">
              <w:rPr>
                <w:rFonts w:asciiTheme="minorHAnsi" w:eastAsiaTheme="minorEastAsia" w:hAnsiTheme="minorHAnsi" w:cstheme="minorBidi"/>
                <w:sz w:val="22"/>
                <w:szCs w:val="22"/>
                <w:lang w:eastAsia="ja-JP"/>
              </w:rPr>
              <w:tab/>
            </w:r>
            <w:r w:rsidR="009F53EF" w:rsidRPr="00660E09">
              <w:rPr>
                <w:rStyle w:val="Hyperlink"/>
              </w:rPr>
              <w:t>Operational Risk Management Structual Framework</w:t>
            </w:r>
            <w:r w:rsidR="009F53EF">
              <w:rPr>
                <w:webHidden/>
              </w:rPr>
              <w:tab/>
            </w:r>
            <w:r w:rsidR="009F53EF">
              <w:rPr>
                <w:webHidden/>
              </w:rPr>
              <w:fldChar w:fldCharType="begin"/>
            </w:r>
            <w:r w:rsidR="009F53EF">
              <w:rPr>
                <w:webHidden/>
              </w:rPr>
              <w:instrText xml:space="preserve"> PAGEREF _Toc87627682 \h </w:instrText>
            </w:r>
            <w:r w:rsidR="009F53EF">
              <w:rPr>
                <w:webHidden/>
              </w:rPr>
            </w:r>
            <w:r w:rsidR="009F53EF">
              <w:rPr>
                <w:webHidden/>
              </w:rPr>
              <w:fldChar w:fldCharType="separate"/>
            </w:r>
            <w:r w:rsidR="009F53EF">
              <w:rPr>
                <w:webHidden/>
              </w:rPr>
              <w:t>32</w:t>
            </w:r>
            <w:r w:rsidR="009F53EF">
              <w:rPr>
                <w:webHidden/>
              </w:rPr>
              <w:fldChar w:fldCharType="end"/>
            </w:r>
          </w:hyperlink>
        </w:p>
        <w:p w14:paraId="2A24CC38" w14:textId="1E1AB29C" w:rsidR="009F53EF" w:rsidRDefault="00AC768F">
          <w:pPr>
            <w:pStyle w:val="TOC3"/>
            <w:rPr>
              <w:rFonts w:asciiTheme="minorHAnsi" w:eastAsiaTheme="minorEastAsia" w:hAnsiTheme="minorHAnsi" w:cstheme="minorBidi"/>
              <w:sz w:val="22"/>
              <w:szCs w:val="22"/>
              <w:lang w:eastAsia="ja-JP"/>
            </w:rPr>
          </w:pPr>
          <w:hyperlink w:anchor="_Toc87627683" w:history="1">
            <w:r w:rsidR="009F53EF" w:rsidRPr="00660E09">
              <w:rPr>
                <w:rStyle w:val="Hyperlink"/>
              </w:rPr>
              <w:t>3.8.4.</w:t>
            </w:r>
            <w:r w:rsidR="009F53EF">
              <w:rPr>
                <w:rFonts w:asciiTheme="minorHAnsi" w:eastAsiaTheme="minorEastAsia" w:hAnsiTheme="minorHAnsi" w:cstheme="minorBidi"/>
                <w:sz w:val="22"/>
                <w:szCs w:val="22"/>
                <w:lang w:eastAsia="ja-JP"/>
              </w:rPr>
              <w:tab/>
            </w:r>
            <w:r w:rsidR="009F53EF" w:rsidRPr="00660E09">
              <w:rPr>
                <w:rStyle w:val="Hyperlink"/>
              </w:rPr>
              <w:t>Levels of Risk - Corporate Enterprise Perspective</w:t>
            </w:r>
            <w:r w:rsidR="009F53EF">
              <w:rPr>
                <w:webHidden/>
              </w:rPr>
              <w:tab/>
            </w:r>
            <w:r w:rsidR="009F53EF">
              <w:rPr>
                <w:webHidden/>
              </w:rPr>
              <w:fldChar w:fldCharType="begin"/>
            </w:r>
            <w:r w:rsidR="009F53EF">
              <w:rPr>
                <w:webHidden/>
              </w:rPr>
              <w:instrText xml:space="preserve"> PAGEREF _Toc87627683 \h </w:instrText>
            </w:r>
            <w:r w:rsidR="009F53EF">
              <w:rPr>
                <w:webHidden/>
              </w:rPr>
            </w:r>
            <w:r w:rsidR="009F53EF">
              <w:rPr>
                <w:webHidden/>
              </w:rPr>
              <w:fldChar w:fldCharType="separate"/>
            </w:r>
            <w:r w:rsidR="009F53EF">
              <w:rPr>
                <w:webHidden/>
              </w:rPr>
              <w:t>34</w:t>
            </w:r>
            <w:r w:rsidR="009F53EF">
              <w:rPr>
                <w:webHidden/>
              </w:rPr>
              <w:fldChar w:fldCharType="end"/>
            </w:r>
          </w:hyperlink>
        </w:p>
        <w:p w14:paraId="60BB4C05" w14:textId="6C624239" w:rsidR="009F53EF" w:rsidRDefault="00AC768F">
          <w:pPr>
            <w:pStyle w:val="TOC2"/>
            <w:rPr>
              <w:rFonts w:asciiTheme="minorHAnsi" w:eastAsiaTheme="minorEastAsia" w:hAnsiTheme="minorHAnsi" w:cstheme="minorBidi"/>
              <w:bCs w:val="0"/>
              <w:caps w:val="0"/>
              <w:sz w:val="22"/>
              <w:szCs w:val="22"/>
              <w:lang w:eastAsia="ja-JP"/>
            </w:rPr>
          </w:pPr>
          <w:hyperlink w:anchor="_Toc87627684" w:history="1">
            <w:r w:rsidR="009F53EF" w:rsidRPr="00660E09">
              <w:rPr>
                <w:rStyle w:val="Hyperlink"/>
              </w:rPr>
              <w:t>3.9.</w:t>
            </w:r>
            <w:r w:rsidR="009F53EF">
              <w:rPr>
                <w:rFonts w:asciiTheme="minorHAnsi" w:eastAsiaTheme="minorEastAsia" w:hAnsiTheme="minorHAnsi" w:cstheme="minorBidi"/>
                <w:bCs w:val="0"/>
                <w:caps w:val="0"/>
                <w:sz w:val="22"/>
                <w:szCs w:val="22"/>
                <w:lang w:eastAsia="ja-JP"/>
              </w:rPr>
              <w:tab/>
            </w:r>
            <w:r w:rsidR="009F53EF" w:rsidRPr="00660E09">
              <w:rPr>
                <w:rStyle w:val="Hyperlink"/>
              </w:rPr>
              <w:t>systemic Approach to Safety</w:t>
            </w:r>
            <w:r w:rsidR="009F53EF">
              <w:rPr>
                <w:webHidden/>
              </w:rPr>
              <w:tab/>
            </w:r>
            <w:r w:rsidR="009F53EF">
              <w:rPr>
                <w:webHidden/>
              </w:rPr>
              <w:fldChar w:fldCharType="begin"/>
            </w:r>
            <w:r w:rsidR="009F53EF">
              <w:rPr>
                <w:webHidden/>
              </w:rPr>
              <w:instrText xml:space="preserve"> PAGEREF _Toc87627684 \h </w:instrText>
            </w:r>
            <w:r w:rsidR="009F53EF">
              <w:rPr>
                <w:webHidden/>
              </w:rPr>
            </w:r>
            <w:r w:rsidR="009F53EF">
              <w:rPr>
                <w:webHidden/>
              </w:rPr>
              <w:fldChar w:fldCharType="separate"/>
            </w:r>
            <w:r w:rsidR="009F53EF">
              <w:rPr>
                <w:webHidden/>
              </w:rPr>
              <w:t>38</w:t>
            </w:r>
            <w:r w:rsidR="009F53EF">
              <w:rPr>
                <w:webHidden/>
              </w:rPr>
              <w:fldChar w:fldCharType="end"/>
            </w:r>
          </w:hyperlink>
        </w:p>
        <w:p w14:paraId="0C604731" w14:textId="209FC7B3" w:rsidR="009F53EF" w:rsidRDefault="00AC768F">
          <w:pPr>
            <w:pStyle w:val="TOC1"/>
            <w:rPr>
              <w:rFonts w:asciiTheme="minorHAnsi" w:eastAsiaTheme="minorEastAsia" w:hAnsiTheme="minorHAnsi" w:cstheme="minorBidi"/>
              <w:bCs w:val="0"/>
              <w:iCs w:val="0"/>
              <w:caps w:val="0"/>
              <w:sz w:val="22"/>
              <w:szCs w:val="22"/>
              <w:lang w:eastAsia="ja-JP"/>
            </w:rPr>
          </w:pPr>
          <w:hyperlink w:anchor="_Toc87627685" w:history="1">
            <w:r w:rsidR="009F53EF" w:rsidRPr="00660E09">
              <w:rPr>
                <w:rStyle w:val="Hyperlink"/>
              </w:rPr>
              <w:t>4.</w:t>
            </w:r>
            <w:r w:rsidR="009F53EF">
              <w:rPr>
                <w:rFonts w:asciiTheme="minorHAnsi" w:eastAsiaTheme="minorEastAsia" w:hAnsiTheme="minorHAnsi" w:cstheme="minorBidi"/>
                <w:bCs w:val="0"/>
                <w:iCs w:val="0"/>
                <w:caps w:val="0"/>
                <w:sz w:val="22"/>
                <w:szCs w:val="22"/>
                <w:lang w:eastAsia="ja-JP"/>
              </w:rPr>
              <w:tab/>
            </w:r>
            <w:r w:rsidR="009F53EF" w:rsidRPr="00660E09">
              <w:rPr>
                <w:rStyle w:val="Hyperlink"/>
              </w:rPr>
              <w:t>Effective Management of External Interfaces</w:t>
            </w:r>
            <w:r w:rsidR="009F53EF">
              <w:rPr>
                <w:webHidden/>
              </w:rPr>
              <w:tab/>
            </w:r>
            <w:r w:rsidR="009F53EF">
              <w:rPr>
                <w:webHidden/>
              </w:rPr>
              <w:fldChar w:fldCharType="begin"/>
            </w:r>
            <w:r w:rsidR="009F53EF">
              <w:rPr>
                <w:webHidden/>
              </w:rPr>
              <w:instrText xml:space="preserve"> PAGEREF _Toc87627685 \h </w:instrText>
            </w:r>
            <w:r w:rsidR="009F53EF">
              <w:rPr>
                <w:webHidden/>
              </w:rPr>
            </w:r>
            <w:r w:rsidR="009F53EF">
              <w:rPr>
                <w:webHidden/>
              </w:rPr>
              <w:fldChar w:fldCharType="separate"/>
            </w:r>
            <w:r w:rsidR="009F53EF">
              <w:rPr>
                <w:webHidden/>
              </w:rPr>
              <w:t>39</w:t>
            </w:r>
            <w:r w:rsidR="009F53EF">
              <w:rPr>
                <w:webHidden/>
              </w:rPr>
              <w:fldChar w:fldCharType="end"/>
            </w:r>
          </w:hyperlink>
        </w:p>
        <w:p w14:paraId="6497E170" w14:textId="0CE2E28B" w:rsidR="009F53EF" w:rsidRDefault="00AC768F">
          <w:pPr>
            <w:pStyle w:val="TOC2"/>
            <w:rPr>
              <w:rFonts w:asciiTheme="minorHAnsi" w:eastAsiaTheme="minorEastAsia" w:hAnsiTheme="minorHAnsi" w:cstheme="minorBidi"/>
              <w:bCs w:val="0"/>
              <w:caps w:val="0"/>
              <w:sz w:val="22"/>
              <w:szCs w:val="22"/>
              <w:lang w:eastAsia="ja-JP"/>
            </w:rPr>
          </w:pPr>
          <w:hyperlink w:anchor="_Toc87627686" w:history="1">
            <w:r w:rsidR="009F53EF" w:rsidRPr="00660E09">
              <w:rPr>
                <w:rStyle w:val="Hyperlink"/>
              </w:rPr>
              <w:t>4.1.</w:t>
            </w:r>
            <w:r w:rsidR="009F53EF">
              <w:rPr>
                <w:rFonts w:asciiTheme="minorHAnsi" w:eastAsiaTheme="minorEastAsia" w:hAnsiTheme="minorHAnsi" w:cstheme="minorBidi"/>
                <w:bCs w:val="0"/>
                <w:caps w:val="0"/>
                <w:sz w:val="22"/>
                <w:szCs w:val="22"/>
                <w:lang w:eastAsia="ja-JP"/>
              </w:rPr>
              <w:tab/>
            </w:r>
            <w:r w:rsidR="009F53EF" w:rsidRPr="00660E09">
              <w:rPr>
                <w:rStyle w:val="Hyperlink"/>
              </w:rPr>
              <w:t>interface with regulators</w:t>
            </w:r>
            <w:r w:rsidR="009F53EF">
              <w:rPr>
                <w:webHidden/>
              </w:rPr>
              <w:tab/>
            </w:r>
            <w:r w:rsidR="009F53EF">
              <w:rPr>
                <w:webHidden/>
              </w:rPr>
              <w:fldChar w:fldCharType="begin"/>
            </w:r>
            <w:r w:rsidR="009F53EF">
              <w:rPr>
                <w:webHidden/>
              </w:rPr>
              <w:instrText xml:space="preserve"> PAGEREF _Toc87627686 \h </w:instrText>
            </w:r>
            <w:r w:rsidR="009F53EF">
              <w:rPr>
                <w:webHidden/>
              </w:rPr>
            </w:r>
            <w:r w:rsidR="009F53EF">
              <w:rPr>
                <w:webHidden/>
              </w:rPr>
              <w:fldChar w:fldCharType="separate"/>
            </w:r>
            <w:r w:rsidR="009F53EF">
              <w:rPr>
                <w:webHidden/>
              </w:rPr>
              <w:t>40</w:t>
            </w:r>
            <w:r w:rsidR="009F53EF">
              <w:rPr>
                <w:webHidden/>
              </w:rPr>
              <w:fldChar w:fldCharType="end"/>
            </w:r>
          </w:hyperlink>
        </w:p>
        <w:p w14:paraId="31B08032" w14:textId="5BD770A7" w:rsidR="009F53EF" w:rsidRDefault="00AC768F">
          <w:pPr>
            <w:pStyle w:val="TOC2"/>
            <w:rPr>
              <w:rFonts w:asciiTheme="minorHAnsi" w:eastAsiaTheme="minorEastAsia" w:hAnsiTheme="minorHAnsi" w:cstheme="minorBidi"/>
              <w:bCs w:val="0"/>
              <w:caps w:val="0"/>
              <w:sz w:val="22"/>
              <w:szCs w:val="22"/>
              <w:lang w:eastAsia="ja-JP"/>
            </w:rPr>
          </w:pPr>
          <w:hyperlink w:anchor="_Toc87627687" w:history="1">
            <w:r w:rsidR="009F53EF" w:rsidRPr="00660E09">
              <w:rPr>
                <w:rStyle w:val="Hyperlink"/>
              </w:rPr>
              <w:t>4.2.</w:t>
            </w:r>
            <w:r w:rsidR="009F53EF">
              <w:rPr>
                <w:rFonts w:asciiTheme="minorHAnsi" w:eastAsiaTheme="minorEastAsia" w:hAnsiTheme="minorHAnsi" w:cstheme="minorBidi"/>
                <w:bCs w:val="0"/>
                <w:caps w:val="0"/>
                <w:sz w:val="22"/>
                <w:szCs w:val="22"/>
                <w:lang w:eastAsia="ja-JP"/>
              </w:rPr>
              <w:tab/>
            </w:r>
            <w:r w:rsidR="009F53EF" w:rsidRPr="00660E09">
              <w:rPr>
                <w:rStyle w:val="Hyperlink"/>
              </w:rPr>
              <w:t>public stakeholder engagement</w:t>
            </w:r>
            <w:r w:rsidR="009F53EF">
              <w:rPr>
                <w:webHidden/>
              </w:rPr>
              <w:tab/>
            </w:r>
            <w:r w:rsidR="009F53EF">
              <w:rPr>
                <w:webHidden/>
              </w:rPr>
              <w:fldChar w:fldCharType="begin"/>
            </w:r>
            <w:r w:rsidR="009F53EF">
              <w:rPr>
                <w:webHidden/>
              </w:rPr>
              <w:instrText xml:space="preserve"> PAGEREF _Toc87627687 \h </w:instrText>
            </w:r>
            <w:r w:rsidR="009F53EF">
              <w:rPr>
                <w:webHidden/>
              </w:rPr>
            </w:r>
            <w:r w:rsidR="009F53EF">
              <w:rPr>
                <w:webHidden/>
              </w:rPr>
              <w:fldChar w:fldCharType="separate"/>
            </w:r>
            <w:r w:rsidR="009F53EF">
              <w:rPr>
                <w:webHidden/>
              </w:rPr>
              <w:t>43</w:t>
            </w:r>
            <w:r w:rsidR="009F53EF">
              <w:rPr>
                <w:webHidden/>
              </w:rPr>
              <w:fldChar w:fldCharType="end"/>
            </w:r>
          </w:hyperlink>
        </w:p>
        <w:p w14:paraId="5B32D754" w14:textId="58E88B83" w:rsidR="009F53EF" w:rsidRDefault="00AC768F">
          <w:pPr>
            <w:pStyle w:val="TOC2"/>
            <w:rPr>
              <w:rFonts w:asciiTheme="minorHAnsi" w:eastAsiaTheme="minorEastAsia" w:hAnsiTheme="minorHAnsi" w:cstheme="minorBidi"/>
              <w:bCs w:val="0"/>
              <w:caps w:val="0"/>
              <w:sz w:val="22"/>
              <w:szCs w:val="22"/>
              <w:lang w:eastAsia="ja-JP"/>
            </w:rPr>
          </w:pPr>
          <w:hyperlink w:anchor="_Toc87627688" w:history="1">
            <w:r w:rsidR="009F53EF" w:rsidRPr="00660E09">
              <w:rPr>
                <w:rStyle w:val="Hyperlink"/>
              </w:rPr>
              <w:t>4.3.</w:t>
            </w:r>
            <w:r w:rsidR="009F53EF">
              <w:rPr>
                <w:rFonts w:asciiTheme="minorHAnsi" w:eastAsiaTheme="minorEastAsia" w:hAnsiTheme="minorHAnsi" w:cstheme="minorBidi"/>
                <w:bCs w:val="0"/>
                <w:caps w:val="0"/>
                <w:sz w:val="22"/>
                <w:szCs w:val="22"/>
                <w:lang w:eastAsia="ja-JP"/>
              </w:rPr>
              <w:tab/>
            </w:r>
            <w:r w:rsidR="009F53EF" w:rsidRPr="00660E09">
              <w:rPr>
                <w:rStyle w:val="Hyperlink"/>
              </w:rPr>
              <w:t>industry interfaces</w:t>
            </w:r>
            <w:r w:rsidR="009F53EF">
              <w:rPr>
                <w:webHidden/>
              </w:rPr>
              <w:tab/>
            </w:r>
            <w:r w:rsidR="009F53EF">
              <w:rPr>
                <w:webHidden/>
              </w:rPr>
              <w:fldChar w:fldCharType="begin"/>
            </w:r>
            <w:r w:rsidR="009F53EF">
              <w:rPr>
                <w:webHidden/>
              </w:rPr>
              <w:instrText xml:space="preserve"> PAGEREF _Toc87627688 \h </w:instrText>
            </w:r>
            <w:r w:rsidR="009F53EF">
              <w:rPr>
                <w:webHidden/>
              </w:rPr>
            </w:r>
            <w:r w:rsidR="009F53EF">
              <w:rPr>
                <w:webHidden/>
              </w:rPr>
              <w:fldChar w:fldCharType="separate"/>
            </w:r>
            <w:r w:rsidR="009F53EF">
              <w:rPr>
                <w:webHidden/>
              </w:rPr>
              <w:t>46</w:t>
            </w:r>
            <w:r w:rsidR="009F53EF">
              <w:rPr>
                <w:webHidden/>
              </w:rPr>
              <w:fldChar w:fldCharType="end"/>
            </w:r>
          </w:hyperlink>
        </w:p>
        <w:p w14:paraId="487B9133" w14:textId="16F1974E" w:rsidR="009F53EF" w:rsidRDefault="00AC768F">
          <w:pPr>
            <w:pStyle w:val="TOC1"/>
            <w:rPr>
              <w:rFonts w:asciiTheme="minorHAnsi" w:eastAsiaTheme="minorEastAsia" w:hAnsiTheme="minorHAnsi" w:cstheme="minorBidi"/>
              <w:bCs w:val="0"/>
              <w:iCs w:val="0"/>
              <w:caps w:val="0"/>
              <w:sz w:val="22"/>
              <w:szCs w:val="22"/>
              <w:lang w:eastAsia="ja-JP"/>
            </w:rPr>
          </w:pPr>
          <w:hyperlink w:anchor="_Toc87627689" w:history="1">
            <w:r w:rsidR="009F53EF" w:rsidRPr="00660E09">
              <w:rPr>
                <w:rStyle w:val="Hyperlink"/>
              </w:rPr>
              <w:t>5.</w:t>
            </w:r>
            <w:r w:rsidR="009F53EF">
              <w:rPr>
                <w:rFonts w:asciiTheme="minorHAnsi" w:eastAsiaTheme="minorEastAsia" w:hAnsiTheme="minorHAnsi" w:cstheme="minorBidi"/>
                <w:bCs w:val="0"/>
                <w:iCs w:val="0"/>
                <w:caps w:val="0"/>
                <w:sz w:val="22"/>
                <w:szCs w:val="22"/>
                <w:lang w:eastAsia="ja-JP"/>
              </w:rPr>
              <w:tab/>
            </w:r>
            <w:r w:rsidR="009F53EF" w:rsidRPr="00660E09">
              <w:rPr>
                <w:rStyle w:val="Hyperlink"/>
              </w:rPr>
              <w:t>Learning from Examples</w:t>
            </w:r>
            <w:r w:rsidR="009F53EF">
              <w:rPr>
                <w:webHidden/>
              </w:rPr>
              <w:tab/>
            </w:r>
            <w:r w:rsidR="009F53EF">
              <w:rPr>
                <w:webHidden/>
              </w:rPr>
              <w:fldChar w:fldCharType="begin"/>
            </w:r>
            <w:r w:rsidR="009F53EF">
              <w:rPr>
                <w:webHidden/>
              </w:rPr>
              <w:instrText xml:space="preserve"> PAGEREF _Toc87627689 \h </w:instrText>
            </w:r>
            <w:r w:rsidR="009F53EF">
              <w:rPr>
                <w:webHidden/>
              </w:rPr>
            </w:r>
            <w:r w:rsidR="009F53EF">
              <w:rPr>
                <w:webHidden/>
              </w:rPr>
              <w:fldChar w:fldCharType="separate"/>
            </w:r>
            <w:r w:rsidR="009F53EF">
              <w:rPr>
                <w:webHidden/>
              </w:rPr>
              <w:t>47</w:t>
            </w:r>
            <w:r w:rsidR="009F53EF">
              <w:rPr>
                <w:webHidden/>
              </w:rPr>
              <w:fldChar w:fldCharType="end"/>
            </w:r>
          </w:hyperlink>
        </w:p>
        <w:p w14:paraId="477E29A5" w14:textId="4DC5C8A1" w:rsidR="009F53EF" w:rsidRDefault="00AC768F">
          <w:pPr>
            <w:pStyle w:val="TOC2"/>
            <w:rPr>
              <w:rFonts w:asciiTheme="minorHAnsi" w:eastAsiaTheme="minorEastAsia" w:hAnsiTheme="minorHAnsi" w:cstheme="minorBidi"/>
              <w:bCs w:val="0"/>
              <w:caps w:val="0"/>
              <w:sz w:val="22"/>
              <w:szCs w:val="22"/>
              <w:lang w:eastAsia="ja-JP"/>
            </w:rPr>
          </w:pPr>
          <w:hyperlink w:anchor="_Toc87627690" w:history="1">
            <w:r w:rsidR="009F53EF" w:rsidRPr="00660E09">
              <w:rPr>
                <w:rStyle w:val="Hyperlink"/>
              </w:rPr>
              <w:t>5.1.</w:t>
            </w:r>
            <w:r w:rsidR="009F53EF">
              <w:rPr>
                <w:rFonts w:asciiTheme="minorHAnsi" w:eastAsiaTheme="minorEastAsia" w:hAnsiTheme="minorHAnsi" w:cstheme="minorBidi"/>
                <w:bCs w:val="0"/>
                <w:caps w:val="0"/>
                <w:sz w:val="22"/>
                <w:szCs w:val="22"/>
                <w:lang w:eastAsia="ja-JP"/>
              </w:rPr>
              <w:tab/>
            </w:r>
            <w:r w:rsidR="009F53EF" w:rsidRPr="00660E09">
              <w:rPr>
                <w:rStyle w:val="Hyperlink"/>
              </w:rPr>
              <w:t>ISiD IN UTLITIES</w:t>
            </w:r>
            <w:r w:rsidR="009F53EF">
              <w:rPr>
                <w:webHidden/>
              </w:rPr>
              <w:tab/>
            </w:r>
            <w:r w:rsidR="009F53EF">
              <w:rPr>
                <w:webHidden/>
              </w:rPr>
              <w:fldChar w:fldCharType="begin"/>
            </w:r>
            <w:r w:rsidR="009F53EF">
              <w:rPr>
                <w:webHidden/>
              </w:rPr>
              <w:instrText xml:space="preserve"> PAGEREF _Toc87627690 \h </w:instrText>
            </w:r>
            <w:r w:rsidR="009F53EF">
              <w:rPr>
                <w:webHidden/>
              </w:rPr>
            </w:r>
            <w:r w:rsidR="009F53EF">
              <w:rPr>
                <w:webHidden/>
              </w:rPr>
              <w:fldChar w:fldCharType="separate"/>
            </w:r>
            <w:r w:rsidR="009F53EF">
              <w:rPr>
                <w:webHidden/>
              </w:rPr>
              <w:t>47</w:t>
            </w:r>
            <w:r w:rsidR="009F53EF">
              <w:rPr>
                <w:webHidden/>
              </w:rPr>
              <w:fldChar w:fldCharType="end"/>
            </w:r>
          </w:hyperlink>
        </w:p>
        <w:p w14:paraId="4E1069CB" w14:textId="528A12B2" w:rsidR="009F53EF" w:rsidRDefault="00AC768F">
          <w:pPr>
            <w:pStyle w:val="TOC2"/>
            <w:rPr>
              <w:rFonts w:asciiTheme="minorHAnsi" w:eastAsiaTheme="minorEastAsia" w:hAnsiTheme="minorHAnsi" w:cstheme="minorBidi"/>
              <w:bCs w:val="0"/>
              <w:caps w:val="0"/>
              <w:sz w:val="22"/>
              <w:szCs w:val="22"/>
              <w:lang w:eastAsia="ja-JP"/>
            </w:rPr>
          </w:pPr>
          <w:hyperlink w:anchor="_Toc87627691" w:history="1">
            <w:r w:rsidR="009F53EF" w:rsidRPr="00660E09">
              <w:rPr>
                <w:rStyle w:val="Hyperlink"/>
              </w:rPr>
              <w:t>5.2.</w:t>
            </w:r>
            <w:r w:rsidR="009F53EF">
              <w:rPr>
                <w:rFonts w:asciiTheme="minorHAnsi" w:eastAsiaTheme="minorEastAsia" w:hAnsiTheme="minorHAnsi" w:cstheme="minorBidi"/>
                <w:bCs w:val="0"/>
                <w:caps w:val="0"/>
                <w:sz w:val="22"/>
                <w:szCs w:val="22"/>
                <w:lang w:eastAsia="ja-JP"/>
              </w:rPr>
              <w:tab/>
            </w:r>
            <w:r w:rsidR="009F53EF" w:rsidRPr="00660E09">
              <w:rPr>
                <w:rStyle w:val="Hyperlink"/>
              </w:rPr>
              <w:t>Learning from Other Initiatives</w:t>
            </w:r>
            <w:r w:rsidR="009F53EF">
              <w:rPr>
                <w:webHidden/>
              </w:rPr>
              <w:tab/>
            </w:r>
            <w:r w:rsidR="009F53EF">
              <w:rPr>
                <w:webHidden/>
              </w:rPr>
              <w:fldChar w:fldCharType="begin"/>
            </w:r>
            <w:r w:rsidR="009F53EF">
              <w:rPr>
                <w:webHidden/>
              </w:rPr>
              <w:instrText xml:space="preserve"> PAGEREF _Toc87627691 \h </w:instrText>
            </w:r>
            <w:r w:rsidR="009F53EF">
              <w:rPr>
                <w:webHidden/>
              </w:rPr>
            </w:r>
            <w:r w:rsidR="009F53EF">
              <w:rPr>
                <w:webHidden/>
              </w:rPr>
              <w:fldChar w:fldCharType="separate"/>
            </w:r>
            <w:r w:rsidR="009F53EF">
              <w:rPr>
                <w:webHidden/>
              </w:rPr>
              <w:t>47</w:t>
            </w:r>
            <w:r w:rsidR="009F53EF">
              <w:rPr>
                <w:webHidden/>
              </w:rPr>
              <w:fldChar w:fldCharType="end"/>
            </w:r>
          </w:hyperlink>
        </w:p>
        <w:p w14:paraId="66B77C31" w14:textId="3C3FC86E" w:rsidR="009F53EF" w:rsidRDefault="00AC768F">
          <w:pPr>
            <w:pStyle w:val="TOC3"/>
            <w:rPr>
              <w:rFonts w:asciiTheme="minorHAnsi" w:eastAsiaTheme="minorEastAsia" w:hAnsiTheme="minorHAnsi" w:cstheme="minorBidi"/>
              <w:sz w:val="22"/>
              <w:szCs w:val="22"/>
              <w:lang w:eastAsia="ja-JP"/>
            </w:rPr>
          </w:pPr>
          <w:hyperlink w:anchor="_Toc87627692" w:history="1">
            <w:r w:rsidR="009F53EF" w:rsidRPr="00660E09">
              <w:rPr>
                <w:rStyle w:val="Hyperlink"/>
              </w:rPr>
              <w:t>5.2.1.</w:t>
            </w:r>
            <w:r w:rsidR="009F53EF">
              <w:rPr>
                <w:rFonts w:asciiTheme="minorHAnsi" w:eastAsiaTheme="minorEastAsia" w:hAnsiTheme="minorHAnsi" w:cstheme="minorBidi"/>
                <w:sz w:val="22"/>
                <w:szCs w:val="22"/>
                <w:lang w:eastAsia="ja-JP"/>
              </w:rPr>
              <w:tab/>
            </w:r>
            <w:r w:rsidR="009F53EF" w:rsidRPr="00660E09">
              <w:rPr>
                <w:rStyle w:val="Hyperlink"/>
              </w:rPr>
              <w:t>Commercial Aviation Safety Team</w:t>
            </w:r>
            <w:r w:rsidR="009F53EF">
              <w:rPr>
                <w:webHidden/>
              </w:rPr>
              <w:tab/>
            </w:r>
            <w:r w:rsidR="009F53EF">
              <w:rPr>
                <w:webHidden/>
              </w:rPr>
              <w:fldChar w:fldCharType="begin"/>
            </w:r>
            <w:r w:rsidR="009F53EF">
              <w:rPr>
                <w:webHidden/>
              </w:rPr>
              <w:instrText xml:space="preserve"> PAGEREF _Toc87627692 \h </w:instrText>
            </w:r>
            <w:r w:rsidR="009F53EF">
              <w:rPr>
                <w:webHidden/>
              </w:rPr>
            </w:r>
            <w:r w:rsidR="009F53EF">
              <w:rPr>
                <w:webHidden/>
              </w:rPr>
              <w:fldChar w:fldCharType="separate"/>
            </w:r>
            <w:r w:rsidR="009F53EF">
              <w:rPr>
                <w:webHidden/>
              </w:rPr>
              <w:t>47</w:t>
            </w:r>
            <w:r w:rsidR="009F53EF">
              <w:rPr>
                <w:webHidden/>
              </w:rPr>
              <w:fldChar w:fldCharType="end"/>
            </w:r>
          </w:hyperlink>
        </w:p>
        <w:p w14:paraId="28244FC6" w14:textId="4C3E22EF" w:rsidR="009F53EF" w:rsidRDefault="00AC768F">
          <w:pPr>
            <w:pStyle w:val="TOC1"/>
            <w:rPr>
              <w:rFonts w:asciiTheme="minorHAnsi" w:eastAsiaTheme="minorEastAsia" w:hAnsiTheme="minorHAnsi" w:cstheme="minorBidi"/>
              <w:bCs w:val="0"/>
              <w:iCs w:val="0"/>
              <w:caps w:val="0"/>
              <w:sz w:val="22"/>
              <w:szCs w:val="22"/>
              <w:lang w:eastAsia="ja-JP"/>
            </w:rPr>
          </w:pPr>
          <w:hyperlink w:anchor="_Toc87627693" w:history="1">
            <w:r w:rsidR="009F53EF" w:rsidRPr="00660E09">
              <w:rPr>
                <w:rStyle w:val="Hyperlink"/>
              </w:rPr>
              <w:t>6.</w:t>
            </w:r>
            <w:r w:rsidR="009F53EF">
              <w:rPr>
                <w:rFonts w:asciiTheme="minorHAnsi" w:eastAsiaTheme="minorEastAsia" w:hAnsiTheme="minorHAnsi" w:cstheme="minorBidi"/>
                <w:bCs w:val="0"/>
                <w:iCs w:val="0"/>
                <w:caps w:val="0"/>
                <w:sz w:val="22"/>
                <w:szCs w:val="22"/>
                <w:lang w:eastAsia="ja-JP"/>
              </w:rPr>
              <w:tab/>
            </w:r>
            <w:r w:rsidR="009F53EF" w:rsidRPr="00660E09">
              <w:rPr>
                <w:rStyle w:val="Hyperlink"/>
              </w:rPr>
              <w:t>Conclusions</w:t>
            </w:r>
            <w:r w:rsidR="009F53EF">
              <w:rPr>
                <w:webHidden/>
              </w:rPr>
              <w:tab/>
            </w:r>
            <w:r w:rsidR="009F53EF">
              <w:rPr>
                <w:webHidden/>
              </w:rPr>
              <w:fldChar w:fldCharType="begin"/>
            </w:r>
            <w:r w:rsidR="009F53EF">
              <w:rPr>
                <w:webHidden/>
              </w:rPr>
              <w:instrText xml:space="preserve"> PAGEREF _Toc87627693 \h </w:instrText>
            </w:r>
            <w:r w:rsidR="009F53EF">
              <w:rPr>
                <w:webHidden/>
              </w:rPr>
            </w:r>
            <w:r w:rsidR="009F53EF">
              <w:rPr>
                <w:webHidden/>
              </w:rPr>
              <w:fldChar w:fldCharType="separate"/>
            </w:r>
            <w:r w:rsidR="009F53EF">
              <w:rPr>
                <w:webHidden/>
              </w:rPr>
              <w:t>49</w:t>
            </w:r>
            <w:r w:rsidR="009F53EF">
              <w:rPr>
                <w:webHidden/>
              </w:rPr>
              <w:fldChar w:fldCharType="end"/>
            </w:r>
          </w:hyperlink>
        </w:p>
        <w:p w14:paraId="14152EF5" w14:textId="738BB457" w:rsidR="009F53EF" w:rsidRDefault="00AC768F">
          <w:pPr>
            <w:pStyle w:val="TOC1"/>
            <w:rPr>
              <w:rFonts w:asciiTheme="minorHAnsi" w:eastAsiaTheme="minorEastAsia" w:hAnsiTheme="minorHAnsi" w:cstheme="minorBidi"/>
              <w:bCs w:val="0"/>
              <w:iCs w:val="0"/>
              <w:caps w:val="0"/>
              <w:sz w:val="22"/>
              <w:szCs w:val="22"/>
              <w:lang w:eastAsia="ja-JP"/>
            </w:rPr>
          </w:pPr>
          <w:hyperlink w:anchor="_Toc87627694" w:history="1">
            <w:r w:rsidR="009F53EF" w:rsidRPr="00660E09">
              <w:rPr>
                <w:rStyle w:val="Hyperlink"/>
              </w:rPr>
              <w:t>APPENDIX</w:t>
            </w:r>
            <w:r w:rsidR="009F53EF">
              <w:rPr>
                <w:webHidden/>
              </w:rPr>
              <w:tab/>
            </w:r>
            <w:r w:rsidR="009F53EF">
              <w:rPr>
                <w:webHidden/>
              </w:rPr>
              <w:fldChar w:fldCharType="begin"/>
            </w:r>
            <w:r w:rsidR="009F53EF">
              <w:rPr>
                <w:webHidden/>
              </w:rPr>
              <w:instrText xml:space="preserve"> PAGEREF _Toc87627694 \h </w:instrText>
            </w:r>
            <w:r w:rsidR="009F53EF">
              <w:rPr>
                <w:webHidden/>
              </w:rPr>
            </w:r>
            <w:r w:rsidR="009F53EF">
              <w:rPr>
                <w:webHidden/>
              </w:rPr>
              <w:fldChar w:fldCharType="separate"/>
            </w:r>
            <w:r w:rsidR="009F53EF">
              <w:rPr>
                <w:webHidden/>
              </w:rPr>
              <w:t>50</w:t>
            </w:r>
            <w:r w:rsidR="009F53EF">
              <w:rPr>
                <w:webHidden/>
              </w:rPr>
              <w:fldChar w:fldCharType="end"/>
            </w:r>
          </w:hyperlink>
        </w:p>
        <w:p w14:paraId="0BB7202F" w14:textId="5C00173D" w:rsidR="009F53EF" w:rsidRDefault="00AC768F">
          <w:pPr>
            <w:pStyle w:val="TOC1"/>
            <w:rPr>
              <w:rFonts w:asciiTheme="minorHAnsi" w:eastAsiaTheme="minorEastAsia" w:hAnsiTheme="minorHAnsi" w:cstheme="minorBidi"/>
              <w:bCs w:val="0"/>
              <w:iCs w:val="0"/>
              <w:caps w:val="0"/>
              <w:sz w:val="22"/>
              <w:szCs w:val="22"/>
              <w:lang w:eastAsia="ja-JP"/>
            </w:rPr>
          </w:pPr>
          <w:hyperlink w:anchor="_Toc87627695" w:history="1">
            <w:r w:rsidR="009F53EF" w:rsidRPr="00660E09">
              <w:rPr>
                <w:rStyle w:val="Hyperlink"/>
              </w:rPr>
              <w:t>GLOSSARY</w:t>
            </w:r>
            <w:r w:rsidR="009F53EF">
              <w:rPr>
                <w:webHidden/>
              </w:rPr>
              <w:tab/>
            </w:r>
            <w:r w:rsidR="009F53EF">
              <w:rPr>
                <w:webHidden/>
              </w:rPr>
              <w:fldChar w:fldCharType="begin"/>
            </w:r>
            <w:r w:rsidR="009F53EF">
              <w:rPr>
                <w:webHidden/>
              </w:rPr>
              <w:instrText xml:space="preserve"> PAGEREF _Toc87627695 \h </w:instrText>
            </w:r>
            <w:r w:rsidR="009F53EF">
              <w:rPr>
                <w:webHidden/>
              </w:rPr>
            </w:r>
            <w:r w:rsidR="009F53EF">
              <w:rPr>
                <w:webHidden/>
              </w:rPr>
              <w:fldChar w:fldCharType="separate"/>
            </w:r>
            <w:r w:rsidR="009F53EF">
              <w:rPr>
                <w:webHidden/>
              </w:rPr>
              <w:t>54</w:t>
            </w:r>
            <w:r w:rsidR="009F53EF">
              <w:rPr>
                <w:webHidden/>
              </w:rPr>
              <w:fldChar w:fldCharType="end"/>
            </w:r>
          </w:hyperlink>
        </w:p>
        <w:p w14:paraId="0B5A60E0" w14:textId="33171D7A" w:rsidR="009F53EF" w:rsidRDefault="00AC768F">
          <w:pPr>
            <w:pStyle w:val="TOC1"/>
            <w:rPr>
              <w:rFonts w:asciiTheme="minorHAnsi" w:eastAsiaTheme="minorEastAsia" w:hAnsiTheme="minorHAnsi" w:cstheme="minorBidi"/>
              <w:bCs w:val="0"/>
              <w:iCs w:val="0"/>
              <w:caps w:val="0"/>
              <w:sz w:val="22"/>
              <w:szCs w:val="22"/>
              <w:lang w:eastAsia="ja-JP"/>
            </w:rPr>
          </w:pPr>
          <w:hyperlink w:anchor="_Toc87627696" w:history="1">
            <w:r w:rsidR="009F53EF" w:rsidRPr="00660E09">
              <w:rPr>
                <w:rStyle w:val="Hyperlink"/>
              </w:rPr>
              <w:t>ABBREVIATIONS</w:t>
            </w:r>
            <w:r w:rsidR="009F53EF">
              <w:rPr>
                <w:webHidden/>
              </w:rPr>
              <w:tab/>
            </w:r>
            <w:r w:rsidR="009F53EF">
              <w:rPr>
                <w:webHidden/>
              </w:rPr>
              <w:fldChar w:fldCharType="begin"/>
            </w:r>
            <w:r w:rsidR="009F53EF">
              <w:rPr>
                <w:webHidden/>
              </w:rPr>
              <w:instrText xml:space="preserve"> PAGEREF _Toc87627696 \h </w:instrText>
            </w:r>
            <w:r w:rsidR="009F53EF">
              <w:rPr>
                <w:webHidden/>
              </w:rPr>
            </w:r>
            <w:r w:rsidR="009F53EF">
              <w:rPr>
                <w:webHidden/>
              </w:rPr>
              <w:fldChar w:fldCharType="separate"/>
            </w:r>
            <w:r w:rsidR="009F53EF">
              <w:rPr>
                <w:webHidden/>
              </w:rPr>
              <w:t>55</w:t>
            </w:r>
            <w:r w:rsidR="009F53EF">
              <w:rPr>
                <w:webHidden/>
              </w:rPr>
              <w:fldChar w:fldCharType="end"/>
            </w:r>
          </w:hyperlink>
        </w:p>
        <w:p w14:paraId="254334E3" w14:textId="3D27F7ED" w:rsidR="009F53EF" w:rsidRDefault="00AC768F">
          <w:pPr>
            <w:pStyle w:val="TOC1"/>
            <w:rPr>
              <w:rFonts w:asciiTheme="minorHAnsi" w:eastAsiaTheme="minorEastAsia" w:hAnsiTheme="minorHAnsi" w:cstheme="minorBidi"/>
              <w:bCs w:val="0"/>
              <w:iCs w:val="0"/>
              <w:caps w:val="0"/>
              <w:sz w:val="22"/>
              <w:szCs w:val="22"/>
              <w:lang w:eastAsia="ja-JP"/>
            </w:rPr>
          </w:pPr>
          <w:hyperlink w:anchor="_Toc87627697" w:history="1">
            <w:r w:rsidR="009F53EF" w:rsidRPr="00660E09">
              <w:rPr>
                <w:rStyle w:val="Hyperlink"/>
              </w:rPr>
              <w:t>REFERENCES</w:t>
            </w:r>
            <w:r w:rsidR="009F53EF">
              <w:rPr>
                <w:webHidden/>
              </w:rPr>
              <w:tab/>
            </w:r>
            <w:r w:rsidR="009F53EF">
              <w:rPr>
                <w:webHidden/>
              </w:rPr>
              <w:fldChar w:fldCharType="begin"/>
            </w:r>
            <w:r w:rsidR="009F53EF">
              <w:rPr>
                <w:webHidden/>
              </w:rPr>
              <w:instrText xml:space="preserve"> PAGEREF _Toc87627697 \h </w:instrText>
            </w:r>
            <w:r w:rsidR="009F53EF">
              <w:rPr>
                <w:webHidden/>
              </w:rPr>
            </w:r>
            <w:r w:rsidR="009F53EF">
              <w:rPr>
                <w:webHidden/>
              </w:rPr>
              <w:fldChar w:fldCharType="separate"/>
            </w:r>
            <w:r w:rsidR="009F53EF">
              <w:rPr>
                <w:webHidden/>
              </w:rPr>
              <w:t>56</w:t>
            </w:r>
            <w:r w:rsidR="009F53EF">
              <w:rPr>
                <w:webHidden/>
              </w:rPr>
              <w:fldChar w:fldCharType="end"/>
            </w:r>
          </w:hyperlink>
        </w:p>
        <w:p w14:paraId="1E50B532" w14:textId="42CB5266" w:rsidR="009F53EF" w:rsidRDefault="00AC768F">
          <w:pPr>
            <w:pStyle w:val="TOC1"/>
            <w:rPr>
              <w:rFonts w:asciiTheme="minorHAnsi" w:eastAsiaTheme="minorEastAsia" w:hAnsiTheme="minorHAnsi" w:cstheme="minorBidi"/>
              <w:bCs w:val="0"/>
              <w:iCs w:val="0"/>
              <w:caps w:val="0"/>
              <w:sz w:val="22"/>
              <w:szCs w:val="22"/>
              <w:lang w:eastAsia="ja-JP"/>
            </w:rPr>
          </w:pPr>
          <w:hyperlink w:anchor="_Toc87627698" w:history="1">
            <w:r w:rsidR="009F53EF" w:rsidRPr="00660E09">
              <w:rPr>
                <w:rStyle w:val="Hyperlink"/>
              </w:rPr>
              <w:t>CONTRIBUTORS TO DRAFTING AND REVIEW</w:t>
            </w:r>
            <w:r w:rsidR="009F53EF">
              <w:rPr>
                <w:webHidden/>
              </w:rPr>
              <w:tab/>
            </w:r>
            <w:r w:rsidR="009F53EF">
              <w:rPr>
                <w:webHidden/>
              </w:rPr>
              <w:fldChar w:fldCharType="begin"/>
            </w:r>
            <w:r w:rsidR="009F53EF">
              <w:rPr>
                <w:webHidden/>
              </w:rPr>
              <w:instrText xml:space="preserve"> PAGEREF _Toc87627698 \h </w:instrText>
            </w:r>
            <w:r w:rsidR="009F53EF">
              <w:rPr>
                <w:webHidden/>
              </w:rPr>
            </w:r>
            <w:r w:rsidR="009F53EF">
              <w:rPr>
                <w:webHidden/>
              </w:rPr>
              <w:fldChar w:fldCharType="separate"/>
            </w:r>
            <w:r w:rsidR="009F53EF">
              <w:rPr>
                <w:webHidden/>
              </w:rPr>
              <w:t>59</w:t>
            </w:r>
            <w:r w:rsidR="009F53EF">
              <w:rPr>
                <w:webHidden/>
              </w:rPr>
              <w:fldChar w:fldCharType="end"/>
            </w:r>
          </w:hyperlink>
        </w:p>
        <w:p w14:paraId="13C23ABD" w14:textId="1943F2A4" w:rsidR="000E6EC2" w:rsidRDefault="00B23C71" w:rsidP="00296C58">
          <w:pPr>
            <w:pStyle w:val="Heading1"/>
            <w:numPr>
              <w:ilvl w:val="0"/>
              <w:numId w:val="0"/>
            </w:numPr>
            <w:jc w:val="both"/>
            <w:rPr>
              <w:b w:val="0"/>
              <w:bCs w:val="0"/>
              <w:noProof/>
            </w:rPr>
          </w:pPr>
          <w:r w:rsidRPr="000C28B9">
            <w:rPr>
              <w:b w:val="0"/>
              <w:bCs w:val="0"/>
              <w:noProof/>
            </w:rPr>
            <w:fldChar w:fldCharType="end"/>
          </w:r>
        </w:p>
        <w:p w14:paraId="742819C4" w14:textId="212A3BD9" w:rsidR="005205DB" w:rsidRPr="00B6502E" w:rsidRDefault="000E6EC2" w:rsidP="00B6502E">
          <w:pPr>
            <w:spacing w:after="160" w:line="259" w:lineRule="auto"/>
            <w:rPr>
              <w:caps/>
              <w:noProof/>
              <w:szCs w:val="32"/>
            </w:rPr>
          </w:pPr>
          <w:r>
            <w:rPr>
              <w:b/>
              <w:bCs/>
              <w:noProof/>
            </w:rPr>
            <w:br w:type="page"/>
          </w:r>
        </w:p>
      </w:sdtContent>
    </w:sdt>
    <w:bookmarkStart w:id="0" w:name="_Toc78389977" w:displacedByCustomXml="prev"/>
    <w:bookmarkEnd w:id="0" w:displacedByCustomXml="prev"/>
    <w:bookmarkStart w:id="1" w:name="_Toc78389500" w:displacedByCustomXml="prev"/>
    <w:bookmarkEnd w:id="1" w:displacedByCustomXml="prev"/>
    <w:bookmarkStart w:id="2" w:name="_Toc78389023" w:displacedByCustomXml="prev"/>
    <w:bookmarkEnd w:id="2" w:displacedByCustomXml="prev"/>
    <w:bookmarkStart w:id="3" w:name="_Toc73527479" w:displacedByCustomXml="prev"/>
    <w:bookmarkEnd w:id="3" w:displacedByCustomXml="prev"/>
    <w:bookmarkStart w:id="4" w:name="_Toc73527340" w:displacedByCustomXml="prev"/>
    <w:bookmarkEnd w:id="4" w:displacedByCustomXml="prev"/>
    <w:bookmarkStart w:id="5" w:name="_Toc59107648" w:displacedByCustomXml="prev"/>
    <w:p w14:paraId="161BE44D" w14:textId="66B97771" w:rsidR="00B23C71" w:rsidRPr="000C28B9" w:rsidRDefault="00B23C71">
      <w:pPr>
        <w:pStyle w:val="Heading1"/>
      </w:pPr>
      <w:bookmarkStart w:id="6" w:name="_Toc87627651"/>
      <w:r w:rsidRPr="00296C58">
        <w:lastRenderedPageBreak/>
        <w:t>Introduction</w:t>
      </w:r>
      <w:bookmarkEnd w:id="5"/>
      <w:bookmarkEnd w:id="6"/>
    </w:p>
    <w:p w14:paraId="5BEF73A4" w14:textId="77777777" w:rsidR="00B23C71" w:rsidRPr="000C28B9" w:rsidRDefault="00B23C71" w:rsidP="00B23C71">
      <w:pPr>
        <w:pStyle w:val="Heading2"/>
      </w:pPr>
      <w:bookmarkStart w:id="7" w:name="_Toc59107649"/>
      <w:bookmarkStart w:id="8" w:name="_Toc87627652"/>
      <w:r w:rsidRPr="000C28B9">
        <w:t>Background</w:t>
      </w:r>
      <w:bookmarkEnd w:id="7"/>
      <w:bookmarkEnd w:id="8"/>
    </w:p>
    <w:p w14:paraId="7720B9ED" w14:textId="412D4AB0" w:rsidR="00B23C71" w:rsidRPr="000C28B9" w:rsidRDefault="7D476B0F" w:rsidP="005205DB">
      <w:pPr>
        <w:pStyle w:val="BodyText"/>
        <w:spacing w:after="0"/>
        <w:ind w:firstLine="567"/>
        <w:rPr>
          <w:color w:val="000000" w:themeColor="text1"/>
        </w:rPr>
      </w:pPr>
      <w:r w:rsidRPr="6F4892DB">
        <w:rPr>
          <w:color w:val="000000" w:themeColor="text1"/>
        </w:rPr>
        <w:t xml:space="preserve">After the Fukushima Daiichi Accident, </w:t>
      </w:r>
      <w:r w:rsidR="461A790C" w:rsidRPr="6F4892DB">
        <w:rPr>
          <w:color w:val="000000" w:themeColor="text1"/>
        </w:rPr>
        <w:t xml:space="preserve">a </w:t>
      </w:r>
      <w:r w:rsidRPr="6F4892DB">
        <w:rPr>
          <w:color w:val="000000" w:themeColor="text1"/>
        </w:rPr>
        <w:t xml:space="preserve">tremendous amount of work </w:t>
      </w:r>
      <w:r w:rsidR="079791E8" w:rsidRPr="6F4892DB">
        <w:rPr>
          <w:color w:val="000000" w:themeColor="text1"/>
        </w:rPr>
        <w:t>was</w:t>
      </w:r>
      <w:r w:rsidRPr="6F4892DB">
        <w:rPr>
          <w:color w:val="000000" w:themeColor="text1"/>
        </w:rPr>
        <w:t xml:space="preserve"> undertaken and implemented </w:t>
      </w:r>
      <w:r w:rsidR="64E15665" w:rsidRPr="6F4892DB">
        <w:rPr>
          <w:color w:val="000000" w:themeColor="text1"/>
        </w:rPr>
        <w:t xml:space="preserve">to learn lessons and improve safety. This included </w:t>
      </w:r>
      <w:r w:rsidRPr="6F4892DB">
        <w:rPr>
          <w:color w:val="000000" w:themeColor="text1"/>
        </w:rPr>
        <w:t xml:space="preserve">operators, vendors, designers, suppliers, regulators, governments, national and international organizations and other nuclear stakeholders. Technical and engineering lessons were </w:t>
      </w:r>
      <w:r w:rsidR="0ACF32AA" w:rsidRPr="6F4892DB">
        <w:rPr>
          <w:color w:val="000000" w:themeColor="text1"/>
        </w:rPr>
        <w:t>appropriately</w:t>
      </w:r>
      <w:r w:rsidRPr="6F4892DB">
        <w:rPr>
          <w:color w:val="000000" w:themeColor="text1"/>
        </w:rPr>
        <w:t xml:space="preserve"> learned and associated international safety standards were revised and enhanced to be </w:t>
      </w:r>
      <w:r w:rsidR="7A223C48" w:rsidRPr="6F4892DB">
        <w:rPr>
          <w:color w:val="000000" w:themeColor="text1"/>
        </w:rPr>
        <w:t xml:space="preserve">even more </w:t>
      </w:r>
      <w:r w:rsidRPr="6F4892DB">
        <w:rPr>
          <w:color w:val="000000" w:themeColor="text1"/>
        </w:rPr>
        <w:t xml:space="preserve">rigorous and comprehensive. However, it was </w:t>
      </w:r>
      <w:r w:rsidR="3EC02D66" w:rsidRPr="6F4892DB">
        <w:rPr>
          <w:color w:val="000000" w:themeColor="text1"/>
        </w:rPr>
        <w:t>recognized</w:t>
      </w:r>
      <w:r w:rsidRPr="6F4892DB">
        <w:rPr>
          <w:color w:val="000000" w:themeColor="text1"/>
        </w:rPr>
        <w:t xml:space="preserve"> that a </w:t>
      </w:r>
      <w:r w:rsidRPr="004F4CE3">
        <w:rPr>
          <w:color w:val="000000" w:themeColor="text1"/>
        </w:rPr>
        <w:t>robust nuclear safety system has to be developed</w:t>
      </w:r>
      <w:r w:rsidRPr="6F4892DB">
        <w:rPr>
          <w:color w:val="000000" w:themeColor="text1"/>
        </w:rPr>
        <w:t xml:space="preserve"> </w:t>
      </w:r>
      <w:r w:rsidR="5BAF233B" w:rsidRPr="413EBDCC">
        <w:rPr>
          <w:color w:val="000000" w:themeColor="text1"/>
        </w:rPr>
        <w:t xml:space="preserve">along with resilience capabilities </w:t>
      </w:r>
      <w:r w:rsidRPr="6F4892DB">
        <w:rPr>
          <w:color w:val="000000" w:themeColor="text1"/>
        </w:rPr>
        <w:t>to ensure safety standards should be applied in all circumstances, nuclear facilities and adequate in all conditions.</w:t>
      </w:r>
    </w:p>
    <w:p w14:paraId="2DCBD07A" w14:textId="690F5051" w:rsidR="00B23C71" w:rsidRPr="000C28B9" w:rsidRDefault="7D476B0F" w:rsidP="6F4892DB">
      <w:pPr>
        <w:pStyle w:val="BodyText"/>
        <w:spacing w:after="0"/>
        <w:ind w:firstLine="567"/>
        <w:rPr>
          <w:color w:val="000000" w:themeColor="text1"/>
        </w:rPr>
      </w:pPr>
      <w:r w:rsidRPr="6F4892DB">
        <w:rPr>
          <w:color w:val="000000" w:themeColor="text1"/>
        </w:rPr>
        <w:t xml:space="preserve">More specifically, </w:t>
      </w:r>
      <w:r w:rsidRPr="004F4CE3">
        <w:rPr>
          <w:color w:val="000000" w:themeColor="text1"/>
        </w:rPr>
        <w:t>the importance of institutional systems and governance over technology, process and human &amp; organizational factors</w:t>
      </w:r>
      <w:r w:rsidRPr="6F4892DB">
        <w:rPr>
          <w:color w:val="000000" w:themeColor="text1"/>
        </w:rPr>
        <w:t xml:space="preserve"> was recognized as another aspect to maintain and improve safety, in addition to technical strength. Reports on</w:t>
      </w:r>
      <w:r w:rsidR="37406A39" w:rsidRPr="6F4892DB">
        <w:rPr>
          <w:color w:val="000000" w:themeColor="text1"/>
        </w:rPr>
        <w:t xml:space="preserve"> the</w:t>
      </w:r>
      <w:r w:rsidRPr="6F4892DB">
        <w:rPr>
          <w:color w:val="000000" w:themeColor="text1"/>
        </w:rPr>
        <w:t xml:space="preserve"> Fukushima Daiichi Accident described th</w:t>
      </w:r>
      <w:r w:rsidR="2DB4D58E" w:rsidRPr="6F4892DB">
        <w:rPr>
          <w:color w:val="000000" w:themeColor="text1"/>
        </w:rPr>
        <w:t>e</w:t>
      </w:r>
      <w:r w:rsidRPr="6F4892DB">
        <w:rPr>
          <w:color w:val="000000" w:themeColor="text1"/>
        </w:rPr>
        <w:t xml:space="preserve"> lack of </w:t>
      </w:r>
      <w:r w:rsidR="00552C82">
        <w:rPr>
          <w:color w:val="000000" w:themeColor="text1"/>
        </w:rPr>
        <w:t>these</w:t>
      </w:r>
      <w:r w:rsidR="00CF3393">
        <w:rPr>
          <w:color w:val="000000" w:themeColor="text1"/>
        </w:rPr>
        <w:t xml:space="preserve"> institutional systems and</w:t>
      </w:r>
      <w:r w:rsidR="00552C82" w:rsidRPr="6F4892DB">
        <w:rPr>
          <w:color w:val="000000" w:themeColor="text1"/>
        </w:rPr>
        <w:t xml:space="preserve"> </w:t>
      </w:r>
      <w:r w:rsidRPr="6F4892DB">
        <w:rPr>
          <w:color w:val="000000" w:themeColor="text1"/>
        </w:rPr>
        <w:t xml:space="preserve">governance </w:t>
      </w:r>
      <w:r w:rsidR="0E087C0D" w:rsidRPr="6F4892DB">
        <w:rPr>
          <w:color w:val="000000" w:themeColor="text1"/>
        </w:rPr>
        <w:t>as</w:t>
      </w:r>
      <w:r w:rsidRPr="6F4892DB">
        <w:rPr>
          <w:color w:val="000000" w:themeColor="text1"/>
        </w:rPr>
        <w:t xml:space="preserve"> one of the dominant contributors to the accident. By reflecting this, International Nuclear Safety Group (INSAG) started to explore applying defence in depth philosophy</w:t>
      </w:r>
      <w:r w:rsidR="7AC05466" w:rsidRPr="6F4892DB">
        <w:rPr>
          <w:color w:val="000000" w:themeColor="text1"/>
        </w:rPr>
        <w:t xml:space="preserve"> that had been used</w:t>
      </w:r>
      <w:r w:rsidRPr="6F4892DB">
        <w:rPr>
          <w:color w:val="000000" w:themeColor="text1"/>
        </w:rPr>
        <w:t xml:space="preserve"> in engineering to provide more </w:t>
      </w:r>
      <w:r w:rsidR="25993D73" w:rsidRPr="6F4892DB">
        <w:rPr>
          <w:color w:val="000000" w:themeColor="text1"/>
        </w:rPr>
        <w:t xml:space="preserve">a </w:t>
      </w:r>
      <w:r w:rsidRPr="6F4892DB">
        <w:rPr>
          <w:color w:val="000000" w:themeColor="text1"/>
        </w:rPr>
        <w:t>robust framework of nuclear safety system, and INSAG-27 “Ensuring Robust National Nuclear Safety Systems – Institutional Strength in Depth” was developed and issued in 2017.</w:t>
      </w:r>
      <w:r w:rsidR="002C00DC">
        <w:rPr>
          <w:color w:val="000000" w:themeColor="text1"/>
        </w:rPr>
        <w:t xml:space="preserve"> (See Section 2.3)</w:t>
      </w:r>
    </w:p>
    <w:p w14:paraId="2221A08D" w14:textId="528632F0" w:rsidR="00B23C71" w:rsidRPr="000C28B9" w:rsidRDefault="005E11C0" w:rsidP="005205DB">
      <w:pPr>
        <w:pStyle w:val="BodyText"/>
        <w:spacing w:after="0"/>
        <w:ind w:firstLine="567"/>
        <w:rPr>
          <w:color w:val="000000" w:themeColor="text1"/>
        </w:rPr>
      </w:pPr>
      <w:r>
        <w:rPr>
          <w:color w:val="000000" w:themeColor="text1"/>
        </w:rPr>
        <w:t>On the other hand, t</w:t>
      </w:r>
      <w:r w:rsidR="7D476B0F" w:rsidRPr="000C28B9">
        <w:rPr>
          <w:color w:val="000000" w:themeColor="text1"/>
        </w:rPr>
        <w:t>he key factors to overcome economic challenges and to sustain operational excellence in plant operation and management were discussed and a high-level guidance document “Principles and Challenges for Sustaining Operational Excellence” was developed based on the recommendations from</w:t>
      </w:r>
      <w:r w:rsidR="40EDAA3E" w:rsidRPr="000C28B9">
        <w:rPr>
          <w:color w:val="000000" w:themeColor="text1"/>
        </w:rPr>
        <w:t xml:space="preserve"> a</w:t>
      </w:r>
      <w:r w:rsidR="7D476B0F" w:rsidRPr="000C28B9">
        <w:rPr>
          <w:color w:val="000000" w:themeColor="text1"/>
        </w:rPr>
        <w:t xml:space="preserve"> Technical Working Group on Nuclear Power Plant Operations (TWG-NPPOPS). Various initiatives, both within and beyond plant management, were discussed and identified in the document, and among others, the Institutional Strength in Depth</w:t>
      </w:r>
      <w:r w:rsidR="00BB537D">
        <w:rPr>
          <w:color w:val="000000" w:themeColor="text1"/>
        </w:rPr>
        <w:t xml:space="preserve"> (ISiD)</w:t>
      </w:r>
      <w:r w:rsidR="7D476B0F" w:rsidRPr="000C28B9">
        <w:rPr>
          <w:color w:val="000000" w:themeColor="text1"/>
        </w:rPr>
        <w:t xml:space="preserve"> was recognized as one of the most influential areas to be improved for the nuclear industry to sustain operational excellence.</w:t>
      </w:r>
    </w:p>
    <w:p w14:paraId="39017CFE" w14:textId="77777777" w:rsidR="0051550F" w:rsidRPr="000C28B9" w:rsidRDefault="0051550F" w:rsidP="005205DB">
      <w:pPr>
        <w:pStyle w:val="BodyText"/>
        <w:spacing w:after="0"/>
        <w:ind w:firstLine="567"/>
      </w:pPr>
    </w:p>
    <w:p w14:paraId="4E4F4A8E" w14:textId="77777777" w:rsidR="00B23C71" w:rsidRPr="000C28B9" w:rsidRDefault="00B23C71" w:rsidP="00B23C71">
      <w:pPr>
        <w:pStyle w:val="Heading2"/>
      </w:pPr>
      <w:bookmarkStart w:id="9" w:name="_Toc59107650"/>
      <w:bookmarkStart w:id="10" w:name="_Toc87627653"/>
      <w:r w:rsidRPr="000C28B9">
        <w:t>Objectives</w:t>
      </w:r>
      <w:bookmarkEnd w:id="9"/>
      <w:bookmarkEnd w:id="10"/>
    </w:p>
    <w:p w14:paraId="422CCB34" w14:textId="48544C2A" w:rsidR="00B23C71" w:rsidRDefault="68BCFC68" w:rsidP="0051550F">
      <w:pPr>
        <w:pStyle w:val="BodyText"/>
        <w:spacing w:after="0"/>
        <w:ind w:firstLine="567"/>
      </w:pPr>
      <w:r>
        <w:t xml:space="preserve">The objective of this publication is to provide the nuclear industry centred by NPP owner/ operating organizations with ideas on specific strategic actions to </w:t>
      </w:r>
      <w:r w:rsidR="009C65DF">
        <w:t xml:space="preserve">protect </w:t>
      </w:r>
      <w:r w:rsidR="004C5FAC">
        <w:t xml:space="preserve">it from risk more comprehensively and </w:t>
      </w:r>
      <w:r w:rsidR="00B31A1C">
        <w:t xml:space="preserve">to </w:t>
      </w:r>
      <w:r w:rsidR="004C5FAC">
        <w:t xml:space="preserve">sustain </w:t>
      </w:r>
      <w:r w:rsidR="00EE0A28">
        <w:t>operational excellence</w:t>
      </w:r>
      <w:r>
        <w:t xml:space="preserve"> by fostering strength in depth</w:t>
      </w:r>
      <w:r w:rsidR="506CF691">
        <w:t xml:space="preserve"> of their institution</w:t>
      </w:r>
      <w:r>
        <w:t>.</w:t>
      </w:r>
      <w:r w:rsidR="707E73FB">
        <w:t xml:space="preserve"> In </w:t>
      </w:r>
      <w:r w:rsidR="00844B5F">
        <w:t xml:space="preserve">so </w:t>
      </w:r>
      <w:r w:rsidR="707E73FB">
        <w:t xml:space="preserve">doing, it </w:t>
      </w:r>
      <w:r w:rsidR="25A86547">
        <w:t xml:space="preserve">is </w:t>
      </w:r>
      <w:r w:rsidR="707E73FB">
        <w:t xml:space="preserve">recognized that for the </w:t>
      </w:r>
      <w:r w:rsidR="707E73FB" w:rsidRPr="00717C03">
        <w:t>whole system to be robust</w:t>
      </w:r>
      <w:r w:rsidR="707E73FB">
        <w:t xml:space="preserve"> </w:t>
      </w:r>
      <w:r w:rsidR="03BBDBE9">
        <w:t xml:space="preserve">the </w:t>
      </w:r>
      <w:r w:rsidR="707E73FB">
        <w:t>linkages</w:t>
      </w:r>
      <w:r w:rsidR="65C4841E">
        <w:t xml:space="preserve"> among the three </w:t>
      </w:r>
      <w:r w:rsidR="00A40FBC">
        <w:t xml:space="preserve">sub-systems </w:t>
      </w:r>
      <w:r w:rsidR="65C4841E">
        <w:t xml:space="preserve">(industry, regulator and stakeholders) </w:t>
      </w:r>
      <w:r w:rsidR="00CD452C">
        <w:t xml:space="preserve">also </w:t>
      </w:r>
      <w:r w:rsidR="65C4841E" w:rsidRPr="00717C03">
        <w:t>have</w:t>
      </w:r>
      <w:r w:rsidR="7AAD4901" w:rsidRPr="00717C03">
        <w:t xml:space="preserve"> to be robust</w:t>
      </w:r>
      <w:r w:rsidR="6CDBA7EB">
        <w:t xml:space="preserve">. Part of the </w:t>
      </w:r>
      <w:r w:rsidR="00844B5F">
        <w:t>industry’s</w:t>
      </w:r>
      <w:r w:rsidR="009A4A9D">
        <w:t xml:space="preserve"> </w:t>
      </w:r>
      <w:r w:rsidR="6CDBA7EB">
        <w:t>responsibilities is to nurture such robustness, predomina</w:t>
      </w:r>
      <w:r w:rsidR="336FC9F1">
        <w:t>t</w:t>
      </w:r>
      <w:r w:rsidR="0105A64C">
        <w:t>e</w:t>
      </w:r>
      <w:r w:rsidR="336FC9F1">
        <w:t xml:space="preserve">ly through open and responsive dialogues with </w:t>
      </w:r>
      <w:r w:rsidR="5D2BEA3F">
        <w:t xml:space="preserve">regulators and </w:t>
      </w:r>
      <w:r w:rsidR="00306453">
        <w:t xml:space="preserve">other </w:t>
      </w:r>
      <w:r w:rsidR="5D2BEA3F">
        <w:t>stakeholders.</w:t>
      </w:r>
    </w:p>
    <w:p w14:paraId="40536C8C" w14:textId="77777777" w:rsidR="0051550F" w:rsidRPr="000C28B9" w:rsidRDefault="0051550F" w:rsidP="005205DB">
      <w:pPr>
        <w:pStyle w:val="BodyText"/>
        <w:spacing w:after="0"/>
        <w:ind w:firstLine="567"/>
      </w:pPr>
    </w:p>
    <w:p w14:paraId="4B7C5964" w14:textId="77777777" w:rsidR="00B23C71" w:rsidRPr="000C28B9" w:rsidRDefault="00B23C71" w:rsidP="00B23C71">
      <w:pPr>
        <w:pStyle w:val="Heading2"/>
      </w:pPr>
      <w:bookmarkStart w:id="11" w:name="_Toc59107651"/>
      <w:bookmarkStart w:id="12" w:name="_Toc87627654"/>
      <w:r w:rsidRPr="000C28B9">
        <w:t>Scope</w:t>
      </w:r>
      <w:bookmarkEnd w:id="11"/>
      <w:bookmarkEnd w:id="12"/>
    </w:p>
    <w:p w14:paraId="1C0C9938" w14:textId="59B6A441" w:rsidR="00B23C71" w:rsidRPr="000C28B9" w:rsidRDefault="23347F0F" w:rsidP="005205DB">
      <w:pPr>
        <w:pStyle w:val="BodyText"/>
        <w:spacing w:after="0"/>
        <w:ind w:firstLine="567"/>
        <w:rPr>
          <w:color w:val="000000" w:themeColor="text1"/>
          <w:szCs w:val="24"/>
        </w:rPr>
      </w:pPr>
      <w:r w:rsidRPr="000C28B9">
        <w:rPr>
          <w:color w:val="000000" w:themeColor="text1"/>
          <w:szCs w:val="24"/>
        </w:rPr>
        <w:t xml:space="preserve">This publication </w:t>
      </w:r>
      <w:r w:rsidR="00657467">
        <w:rPr>
          <w:color w:val="000000" w:themeColor="text1"/>
          <w:szCs w:val="24"/>
        </w:rPr>
        <w:t xml:space="preserve">sets the stage </w:t>
      </w:r>
      <w:r w:rsidR="00BB537D">
        <w:rPr>
          <w:color w:val="000000" w:themeColor="text1"/>
          <w:szCs w:val="24"/>
        </w:rPr>
        <w:t>to explain ISiD</w:t>
      </w:r>
      <w:r w:rsidR="00DF6546">
        <w:rPr>
          <w:color w:val="000000" w:themeColor="text1"/>
          <w:szCs w:val="24"/>
        </w:rPr>
        <w:t xml:space="preserve"> and how it can be developed, with </w:t>
      </w:r>
      <w:r w:rsidR="00390CA5">
        <w:rPr>
          <w:color w:val="000000" w:themeColor="text1"/>
          <w:szCs w:val="24"/>
        </w:rPr>
        <w:t>an exploration and review of the Fukushima Daiichi Accident</w:t>
      </w:r>
      <w:r w:rsidR="00A1485E">
        <w:rPr>
          <w:color w:val="000000" w:themeColor="text1"/>
          <w:szCs w:val="24"/>
        </w:rPr>
        <w:t>.</w:t>
      </w:r>
      <w:r w:rsidR="00390CA5">
        <w:rPr>
          <w:color w:val="000000" w:themeColor="text1"/>
          <w:szCs w:val="24"/>
        </w:rPr>
        <w:t xml:space="preserve"> </w:t>
      </w:r>
      <w:r w:rsidR="00A1485E">
        <w:rPr>
          <w:color w:val="000000" w:themeColor="text1"/>
          <w:szCs w:val="24"/>
        </w:rPr>
        <w:t>It</w:t>
      </w:r>
      <w:r w:rsidR="00BB537D">
        <w:rPr>
          <w:color w:val="000000" w:themeColor="text1"/>
          <w:szCs w:val="24"/>
        </w:rPr>
        <w:t xml:space="preserve"> </w:t>
      </w:r>
      <w:r w:rsidRPr="000C28B9">
        <w:rPr>
          <w:color w:val="000000" w:themeColor="text1"/>
          <w:szCs w:val="24"/>
        </w:rPr>
        <w:t xml:space="preserve">discusses specific initiatives and actions of NPPs and associated nuclear industry organizations to further enhance safety and improve plant performance, including </w:t>
      </w:r>
      <w:r w:rsidR="00185847">
        <w:rPr>
          <w:color w:val="000000" w:themeColor="text1"/>
          <w:szCs w:val="24"/>
        </w:rPr>
        <w:t>integrated management system</w:t>
      </w:r>
      <w:r w:rsidR="00C06D31">
        <w:rPr>
          <w:color w:val="000000" w:themeColor="text1"/>
          <w:szCs w:val="24"/>
        </w:rPr>
        <w:t>, safety culture</w:t>
      </w:r>
      <w:r w:rsidRPr="000C28B9">
        <w:rPr>
          <w:color w:val="000000" w:themeColor="text1"/>
          <w:szCs w:val="24"/>
        </w:rPr>
        <w:t xml:space="preserve">, </w:t>
      </w:r>
      <w:r w:rsidR="00C06D31">
        <w:rPr>
          <w:color w:val="000000" w:themeColor="text1"/>
          <w:szCs w:val="24"/>
        </w:rPr>
        <w:t xml:space="preserve">leadership, </w:t>
      </w:r>
      <w:r w:rsidR="000225FA">
        <w:rPr>
          <w:color w:val="000000" w:themeColor="text1"/>
          <w:szCs w:val="24"/>
        </w:rPr>
        <w:t xml:space="preserve">governance, </w:t>
      </w:r>
      <w:r w:rsidRPr="000C28B9">
        <w:rPr>
          <w:color w:val="000000" w:themeColor="text1"/>
          <w:szCs w:val="24"/>
        </w:rPr>
        <w:t xml:space="preserve">technical competence, </w:t>
      </w:r>
      <w:r w:rsidR="000225FA">
        <w:rPr>
          <w:color w:val="000000" w:themeColor="text1"/>
          <w:szCs w:val="24"/>
        </w:rPr>
        <w:t>decision making</w:t>
      </w:r>
      <w:r w:rsidR="00417B70">
        <w:rPr>
          <w:color w:val="000000" w:themeColor="text1"/>
          <w:szCs w:val="24"/>
        </w:rPr>
        <w:t xml:space="preserve">, oversight, resilience </w:t>
      </w:r>
      <w:r w:rsidRPr="000C28B9">
        <w:rPr>
          <w:color w:val="000000" w:themeColor="text1"/>
          <w:szCs w:val="24"/>
        </w:rPr>
        <w:t>and</w:t>
      </w:r>
      <w:r w:rsidR="00356EDD">
        <w:rPr>
          <w:color w:val="000000" w:themeColor="text1"/>
          <w:szCs w:val="24"/>
        </w:rPr>
        <w:t xml:space="preserve"> </w:t>
      </w:r>
      <w:r w:rsidR="00C46E24">
        <w:rPr>
          <w:color w:val="000000" w:themeColor="text1"/>
          <w:szCs w:val="24"/>
        </w:rPr>
        <w:t xml:space="preserve">operational risk </w:t>
      </w:r>
      <w:r w:rsidR="00EF212B">
        <w:rPr>
          <w:color w:val="000000" w:themeColor="text1"/>
          <w:szCs w:val="24"/>
        </w:rPr>
        <w:t>management</w:t>
      </w:r>
      <w:r w:rsidRPr="000C28B9">
        <w:rPr>
          <w:color w:val="000000" w:themeColor="text1"/>
          <w:szCs w:val="24"/>
        </w:rPr>
        <w:t>. It also discusses interfaces between industry, regulator and other associated stakeholders.</w:t>
      </w:r>
    </w:p>
    <w:p w14:paraId="7C7E2073" w14:textId="4EC8289B" w:rsidR="00B23C71" w:rsidRDefault="23347F0F" w:rsidP="176E00B4">
      <w:pPr>
        <w:pStyle w:val="BodyText"/>
        <w:spacing w:after="0"/>
        <w:ind w:firstLine="567"/>
        <w:rPr>
          <w:color w:val="000000" w:themeColor="text1"/>
        </w:rPr>
      </w:pPr>
      <w:r w:rsidRPr="176E00B4">
        <w:rPr>
          <w:color w:val="000000" w:themeColor="text1"/>
        </w:rPr>
        <w:lastRenderedPageBreak/>
        <w:t>Discussions focus on the importance of institutional systems and governance over technology,</w:t>
      </w:r>
      <w:r w:rsidR="001D4515" w:rsidRPr="176E00B4">
        <w:rPr>
          <w:color w:val="000000" w:themeColor="text1"/>
        </w:rPr>
        <w:t xml:space="preserve"> </w:t>
      </w:r>
      <w:r w:rsidRPr="176E00B4">
        <w:rPr>
          <w:color w:val="000000" w:themeColor="text1"/>
        </w:rPr>
        <w:t xml:space="preserve">process and human &amp; organizational factors through reflecting back the </w:t>
      </w:r>
      <w:r w:rsidR="25B9102B" w:rsidRPr="413EBDCC">
        <w:rPr>
          <w:color w:val="000000" w:themeColor="text1"/>
        </w:rPr>
        <w:t>underlying</w:t>
      </w:r>
      <w:r w:rsidR="00356EDD">
        <w:rPr>
          <w:color w:val="000000" w:themeColor="text1"/>
        </w:rPr>
        <w:t xml:space="preserve"> </w:t>
      </w:r>
      <w:r w:rsidRPr="176E00B4">
        <w:rPr>
          <w:color w:val="000000" w:themeColor="text1"/>
        </w:rPr>
        <w:t>cause</w:t>
      </w:r>
      <w:r w:rsidR="6938DBD5" w:rsidRPr="176E00B4">
        <w:rPr>
          <w:color w:val="000000" w:themeColor="text1"/>
        </w:rPr>
        <w:t>s</w:t>
      </w:r>
      <w:r w:rsidRPr="176E00B4">
        <w:rPr>
          <w:color w:val="000000" w:themeColor="text1"/>
        </w:rPr>
        <w:t xml:space="preserve"> of the Fukushima Daiichi Accident and also considering how to respond to rapid changes in nuclear business.</w:t>
      </w:r>
    </w:p>
    <w:p w14:paraId="4D83162E" w14:textId="77777777" w:rsidR="0051550F" w:rsidRPr="000C28B9" w:rsidRDefault="0051550F" w:rsidP="005205DB">
      <w:pPr>
        <w:pStyle w:val="BodyText"/>
        <w:spacing w:after="0"/>
        <w:ind w:firstLine="567"/>
      </w:pPr>
    </w:p>
    <w:p w14:paraId="0DAFD4CA" w14:textId="77777777" w:rsidR="00B23C71" w:rsidRPr="000C28B9" w:rsidRDefault="00B23C71" w:rsidP="00B23C71">
      <w:pPr>
        <w:pStyle w:val="Heading2"/>
      </w:pPr>
      <w:bookmarkStart w:id="13" w:name="_Toc59107652"/>
      <w:bookmarkStart w:id="14" w:name="_Toc87627655"/>
      <w:r w:rsidRPr="000C28B9">
        <w:t>Users</w:t>
      </w:r>
      <w:bookmarkEnd w:id="13"/>
      <w:bookmarkEnd w:id="14"/>
    </w:p>
    <w:p w14:paraId="2D830A59" w14:textId="0B14FCA4" w:rsidR="00B23C71" w:rsidRDefault="59984656" w:rsidP="0051550F">
      <w:pPr>
        <w:pStyle w:val="BodyText"/>
        <w:spacing w:after="0"/>
        <w:ind w:firstLine="567"/>
        <w:rPr>
          <w:color w:val="000000" w:themeColor="text1"/>
        </w:rPr>
      </w:pPr>
      <w:r w:rsidRPr="6F4892DB">
        <w:rPr>
          <w:color w:val="000000" w:themeColor="text1"/>
        </w:rPr>
        <w:t xml:space="preserve">This </w:t>
      </w:r>
      <w:r w:rsidR="008C0FD2">
        <w:rPr>
          <w:color w:val="000000" w:themeColor="text1"/>
        </w:rPr>
        <w:t>publication</w:t>
      </w:r>
      <w:r w:rsidR="008C0FD2" w:rsidRPr="6F4892DB">
        <w:rPr>
          <w:color w:val="000000" w:themeColor="text1"/>
        </w:rPr>
        <w:t xml:space="preserve"> </w:t>
      </w:r>
      <w:r w:rsidRPr="6F4892DB">
        <w:rPr>
          <w:color w:val="000000" w:themeColor="text1"/>
        </w:rPr>
        <w:t xml:space="preserve">is intended for senior management of nuclear power plant owner/operator organizations. It is also intended for people to roll out specific initiatives under senior management, and all the other associated stakeholders such as manufacturers, vendors, contractors and national and international industry organizations like WANO, WNA, EPRI, NEI, INPO, JANSI and owner groups. It </w:t>
      </w:r>
      <w:r w:rsidR="001C5BA5">
        <w:rPr>
          <w:color w:val="000000" w:themeColor="text1"/>
        </w:rPr>
        <w:t>is</w:t>
      </w:r>
      <w:r w:rsidRPr="6F4892DB">
        <w:rPr>
          <w:color w:val="000000" w:themeColor="text1"/>
        </w:rPr>
        <w:t xml:space="preserve"> also valuable to be </w:t>
      </w:r>
      <w:r w:rsidR="001C5BA5">
        <w:rPr>
          <w:color w:val="000000" w:themeColor="text1"/>
        </w:rPr>
        <w:t>a guide for</w:t>
      </w:r>
      <w:r w:rsidRPr="6F4892DB">
        <w:rPr>
          <w:color w:val="000000" w:themeColor="text1"/>
        </w:rPr>
        <w:t xml:space="preserve"> officers in government organizations and the regulatory bod</w:t>
      </w:r>
      <w:r w:rsidR="00157854">
        <w:rPr>
          <w:color w:val="000000" w:themeColor="text1"/>
        </w:rPr>
        <w:t>ies</w:t>
      </w:r>
      <w:r w:rsidRPr="6F4892DB">
        <w:rPr>
          <w:color w:val="000000" w:themeColor="text1"/>
        </w:rPr>
        <w:t>.</w:t>
      </w:r>
    </w:p>
    <w:p w14:paraId="6EFAA289" w14:textId="77777777" w:rsidR="0051550F" w:rsidRPr="000C28B9" w:rsidRDefault="0051550F" w:rsidP="005205DB">
      <w:pPr>
        <w:pStyle w:val="BodyText"/>
        <w:spacing w:after="0"/>
        <w:ind w:firstLine="567"/>
      </w:pPr>
    </w:p>
    <w:p w14:paraId="1730BE51" w14:textId="77777777" w:rsidR="00B23C71" w:rsidRPr="000C28B9" w:rsidRDefault="00B23C71" w:rsidP="00B23C71">
      <w:pPr>
        <w:pStyle w:val="Heading2"/>
      </w:pPr>
      <w:bookmarkStart w:id="15" w:name="_Toc59107653"/>
      <w:bookmarkStart w:id="16" w:name="_Toc87627656"/>
      <w:r w:rsidRPr="000C28B9">
        <w:t>Structure</w:t>
      </w:r>
      <w:bookmarkEnd w:id="15"/>
      <w:bookmarkEnd w:id="16"/>
    </w:p>
    <w:p w14:paraId="7961FE9F" w14:textId="4F8B1582" w:rsidR="004901B7" w:rsidRPr="007A3317" w:rsidRDefault="009756BC" w:rsidP="00375B04">
      <w:pPr>
        <w:pStyle w:val="BodyText"/>
        <w:spacing w:after="0"/>
        <w:ind w:firstLine="567"/>
        <w:rPr>
          <w:lang w:val="en-GB"/>
        </w:rPr>
      </w:pPr>
      <w:r w:rsidRPr="007A3317">
        <w:rPr>
          <w:lang w:val="fr-FR"/>
        </w:rPr>
        <w:t xml:space="preserve">This </w:t>
      </w:r>
      <w:r w:rsidR="008C0FD2" w:rsidRPr="007A3317">
        <w:rPr>
          <w:lang w:val="fr-FR"/>
        </w:rPr>
        <w:t>publication</w:t>
      </w:r>
      <w:r w:rsidR="00375B04" w:rsidRPr="007A3317">
        <w:rPr>
          <w:lang w:val="fr-FR"/>
        </w:rPr>
        <w:t xml:space="preserve"> comprises</w:t>
      </w:r>
      <w:r w:rsidR="002B150B" w:rsidRPr="007A3317">
        <w:rPr>
          <w:lang w:val="fr-FR"/>
        </w:rPr>
        <w:t xml:space="preserve"> </w:t>
      </w:r>
      <w:r w:rsidR="001606DC" w:rsidRPr="007A3317">
        <w:rPr>
          <w:lang w:val="fr-FR"/>
        </w:rPr>
        <w:t>six se</w:t>
      </w:r>
      <w:r w:rsidR="001606DC">
        <w:rPr>
          <w:lang w:val="fr-FR"/>
        </w:rPr>
        <w:t>ctions</w:t>
      </w:r>
      <w:r w:rsidR="00A50D4C">
        <w:rPr>
          <w:lang w:val="fr-FR"/>
        </w:rPr>
        <w:t xml:space="preserve">. </w:t>
      </w:r>
      <w:r w:rsidR="001D7CED" w:rsidRPr="007A3317">
        <w:rPr>
          <w:lang w:val="en-GB"/>
        </w:rPr>
        <w:t xml:space="preserve">Section 2 </w:t>
      </w:r>
      <w:r w:rsidR="002E3302">
        <w:rPr>
          <w:lang w:val="en-GB"/>
        </w:rPr>
        <w:t>identifies</w:t>
      </w:r>
      <w:r w:rsidR="00DE299B" w:rsidRPr="007A3317">
        <w:rPr>
          <w:lang w:val="en-GB"/>
        </w:rPr>
        <w:t xml:space="preserve"> </w:t>
      </w:r>
      <w:r w:rsidR="00EC29F4" w:rsidRPr="007A3317">
        <w:rPr>
          <w:lang w:val="en-GB"/>
        </w:rPr>
        <w:t>the h</w:t>
      </w:r>
      <w:r w:rsidR="00EC29F4">
        <w:rPr>
          <w:lang w:val="en-GB"/>
        </w:rPr>
        <w:t>uman</w:t>
      </w:r>
      <w:r w:rsidR="004A2DC1">
        <w:rPr>
          <w:lang w:val="en-GB"/>
        </w:rPr>
        <w:t xml:space="preserve"> and</w:t>
      </w:r>
      <w:r w:rsidR="00EC29F4">
        <w:rPr>
          <w:lang w:val="en-GB"/>
        </w:rPr>
        <w:t xml:space="preserve"> organizational </w:t>
      </w:r>
      <w:r w:rsidR="002E3302">
        <w:rPr>
          <w:lang w:val="en-GB"/>
        </w:rPr>
        <w:t>factor</w:t>
      </w:r>
      <w:r w:rsidR="00EC29F4">
        <w:rPr>
          <w:lang w:val="en-GB"/>
        </w:rPr>
        <w:t xml:space="preserve">s </w:t>
      </w:r>
      <w:r w:rsidR="00E953A0">
        <w:rPr>
          <w:lang w:val="en-GB"/>
        </w:rPr>
        <w:t>which contributed to</w:t>
      </w:r>
      <w:r w:rsidR="00EC29F4">
        <w:rPr>
          <w:lang w:val="en-GB"/>
        </w:rPr>
        <w:t xml:space="preserve"> the Fukushima Daiichi Accident and </w:t>
      </w:r>
      <w:r w:rsidR="00F400CC">
        <w:rPr>
          <w:lang w:val="en-GB"/>
        </w:rPr>
        <w:t>discusse</w:t>
      </w:r>
      <w:r w:rsidR="007718D3">
        <w:rPr>
          <w:lang w:val="en-GB"/>
        </w:rPr>
        <w:t xml:space="preserve">s key issues </w:t>
      </w:r>
      <w:r w:rsidR="004E5741">
        <w:rPr>
          <w:lang w:val="en-GB"/>
        </w:rPr>
        <w:t xml:space="preserve">from an institutional </w:t>
      </w:r>
      <w:r w:rsidR="00E06FFA">
        <w:rPr>
          <w:lang w:val="en-GB"/>
        </w:rPr>
        <w:t>perspective. Section 3</w:t>
      </w:r>
      <w:r w:rsidR="003A5927">
        <w:rPr>
          <w:lang w:val="en-GB"/>
        </w:rPr>
        <w:t xml:space="preserve"> </w:t>
      </w:r>
      <w:r w:rsidR="001D0EB5">
        <w:rPr>
          <w:lang w:val="en-GB"/>
        </w:rPr>
        <w:t>discusse</w:t>
      </w:r>
      <w:r w:rsidR="0055384B">
        <w:rPr>
          <w:lang w:val="en-GB"/>
        </w:rPr>
        <w:t>s</w:t>
      </w:r>
      <w:r w:rsidR="001D0EB5">
        <w:rPr>
          <w:lang w:val="en-GB"/>
        </w:rPr>
        <w:t xml:space="preserve"> key attributes which need to be in place </w:t>
      </w:r>
      <w:r w:rsidR="000D3FEC">
        <w:rPr>
          <w:lang w:val="en-GB"/>
        </w:rPr>
        <w:t xml:space="preserve">within </w:t>
      </w:r>
      <w:r w:rsidR="004478D4">
        <w:rPr>
          <w:lang w:val="en-GB"/>
        </w:rPr>
        <w:t xml:space="preserve">the operating organizations </w:t>
      </w:r>
      <w:r w:rsidR="00AA556F">
        <w:rPr>
          <w:lang w:val="en-GB"/>
        </w:rPr>
        <w:t xml:space="preserve">of nuclear power plants </w:t>
      </w:r>
      <w:r w:rsidR="00F400CC">
        <w:rPr>
          <w:lang w:val="en-GB"/>
        </w:rPr>
        <w:t xml:space="preserve">to </w:t>
      </w:r>
      <w:r w:rsidR="0064585D">
        <w:rPr>
          <w:lang w:val="en-GB"/>
        </w:rPr>
        <w:t>e</w:t>
      </w:r>
      <w:r w:rsidR="00C85DAA">
        <w:rPr>
          <w:lang w:val="en-GB"/>
        </w:rPr>
        <w:t>nhance</w:t>
      </w:r>
      <w:r w:rsidR="0064585D">
        <w:rPr>
          <w:lang w:val="en-GB"/>
        </w:rPr>
        <w:t xml:space="preserve"> institutional strength in depth </w:t>
      </w:r>
      <w:r w:rsidR="00BE1862">
        <w:rPr>
          <w:lang w:val="en-GB"/>
        </w:rPr>
        <w:t xml:space="preserve">in </w:t>
      </w:r>
      <w:r w:rsidR="00C52A90">
        <w:rPr>
          <w:lang w:val="en-GB"/>
        </w:rPr>
        <w:t>them</w:t>
      </w:r>
      <w:r w:rsidR="00BE1862">
        <w:rPr>
          <w:lang w:val="en-GB"/>
        </w:rPr>
        <w:t>.</w:t>
      </w:r>
      <w:r w:rsidR="00C52A90">
        <w:rPr>
          <w:lang w:val="en-GB"/>
        </w:rPr>
        <w:t xml:space="preserve"> </w:t>
      </w:r>
      <w:r w:rsidR="0055384B">
        <w:rPr>
          <w:lang w:val="en-GB"/>
        </w:rPr>
        <w:t>Section 4 discu</w:t>
      </w:r>
      <w:r w:rsidR="00981A21">
        <w:rPr>
          <w:lang w:val="en-GB"/>
        </w:rPr>
        <w:t xml:space="preserve">sses key </w:t>
      </w:r>
      <w:r w:rsidR="00950EF1">
        <w:rPr>
          <w:lang w:val="en-GB"/>
        </w:rPr>
        <w:t xml:space="preserve">considerations to </w:t>
      </w:r>
      <w:r w:rsidR="007C5B02">
        <w:rPr>
          <w:lang w:val="en-GB"/>
        </w:rPr>
        <w:t xml:space="preserve">establish </w:t>
      </w:r>
      <w:r w:rsidR="005018A7">
        <w:rPr>
          <w:lang w:val="en-GB"/>
        </w:rPr>
        <w:t>and improve the interface</w:t>
      </w:r>
      <w:r w:rsidR="006E7A3C">
        <w:rPr>
          <w:lang w:val="en-GB"/>
        </w:rPr>
        <w:t>s</w:t>
      </w:r>
      <w:r w:rsidR="005018A7">
        <w:rPr>
          <w:lang w:val="en-GB"/>
        </w:rPr>
        <w:t xml:space="preserve"> between </w:t>
      </w:r>
      <w:r w:rsidR="007E07F8">
        <w:rPr>
          <w:lang w:val="en-GB"/>
        </w:rPr>
        <w:t xml:space="preserve">the </w:t>
      </w:r>
      <w:r w:rsidR="005018A7">
        <w:rPr>
          <w:lang w:val="en-GB"/>
        </w:rPr>
        <w:t>industry</w:t>
      </w:r>
      <w:r w:rsidR="00391362">
        <w:rPr>
          <w:lang w:val="en-GB"/>
        </w:rPr>
        <w:t xml:space="preserve"> organizations</w:t>
      </w:r>
      <w:r w:rsidR="006E7A3C">
        <w:rPr>
          <w:lang w:val="en-GB"/>
        </w:rPr>
        <w:t xml:space="preserve"> and other stakeholders</w:t>
      </w:r>
      <w:r w:rsidR="00B334BA">
        <w:rPr>
          <w:lang w:val="en-GB"/>
        </w:rPr>
        <w:t xml:space="preserve"> like</w:t>
      </w:r>
      <w:r w:rsidR="00391362">
        <w:rPr>
          <w:lang w:val="en-GB"/>
        </w:rPr>
        <w:t xml:space="preserve"> </w:t>
      </w:r>
      <w:r w:rsidR="00B334BA">
        <w:rPr>
          <w:lang w:val="en-GB"/>
        </w:rPr>
        <w:t>regulatory bod</w:t>
      </w:r>
      <w:r w:rsidR="00391362">
        <w:rPr>
          <w:lang w:val="en-GB"/>
        </w:rPr>
        <w:t>y</w:t>
      </w:r>
      <w:r w:rsidR="00B334BA">
        <w:rPr>
          <w:lang w:val="en-GB"/>
        </w:rPr>
        <w:t xml:space="preserve">, the public etc. </w:t>
      </w:r>
      <w:r w:rsidR="006F57CC">
        <w:rPr>
          <w:lang w:val="en-GB"/>
        </w:rPr>
        <w:t xml:space="preserve">Section 5 provides </w:t>
      </w:r>
      <w:r w:rsidR="0040477E">
        <w:rPr>
          <w:lang w:val="en-GB"/>
        </w:rPr>
        <w:t xml:space="preserve">good practices and examples of </w:t>
      </w:r>
      <w:r w:rsidR="005F6C5C">
        <w:rPr>
          <w:lang w:val="en-GB"/>
        </w:rPr>
        <w:t>established and enhanced institutional strength in depth</w:t>
      </w:r>
      <w:r w:rsidR="008678B9">
        <w:rPr>
          <w:lang w:val="en-GB"/>
        </w:rPr>
        <w:t xml:space="preserve"> with Appendices. Section </w:t>
      </w:r>
      <w:r w:rsidR="004D22F5">
        <w:rPr>
          <w:lang w:val="en-GB"/>
        </w:rPr>
        <w:t>6 summarizes and concludes the publication.</w:t>
      </w:r>
    </w:p>
    <w:p w14:paraId="47E476BA" w14:textId="6FCA97B9" w:rsidR="00375B04" w:rsidRDefault="00375B04" w:rsidP="007A3317">
      <w:pPr>
        <w:pStyle w:val="BodyText"/>
        <w:spacing w:after="0"/>
        <w:ind w:firstLine="567"/>
        <w:rPr>
          <w:lang w:val="en-GB"/>
        </w:rPr>
      </w:pPr>
    </w:p>
    <w:p w14:paraId="4A2B971B" w14:textId="77777777" w:rsidR="00356EDD" w:rsidRPr="007A3317" w:rsidRDefault="00356EDD" w:rsidP="007A3317">
      <w:pPr>
        <w:pStyle w:val="BodyText"/>
        <w:spacing w:after="0"/>
        <w:ind w:firstLine="567"/>
        <w:rPr>
          <w:lang w:val="en-GB"/>
        </w:rPr>
      </w:pPr>
    </w:p>
    <w:p w14:paraId="76E3EF2F" w14:textId="7552C24C" w:rsidR="00B23C71" w:rsidRPr="000C28B9" w:rsidRDefault="00E24E64" w:rsidP="00B23C71">
      <w:pPr>
        <w:pStyle w:val="Heading1"/>
      </w:pPr>
      <w:bookmarkStart w:id="17" w:name="_Toc59107654"/>
      <w:bookmarkStart w:id="18" w:name="_Toc87627657"/>
      <w:r w:rsidRPr="176E00B4">
        <w:rPr>
          <w:color w:val="000000" w:themeColor="text1"/>
        </w:rPr>
        <w:t>Human</w:t>
      </w:r>
      <w:r w:rsidR="00F63A07">
        <w:rPr>
          <w:color w:val="000000" w:themeColor="text1"/>
        </w:rPr>
        <w:t xml:space="preserve"> and </w:t>
      </w:r>
      <w:r w:rsidRPr="176E00B4">
        <w:rPr>
          <w:color w:val="000000" w:themeColor="text1"/>
        </w:rPr>
        <w:t>organizational factors (or ISiD issues) as were recognized in the Fukushima Accident</w:t>
      </w:r>
      <w:bookmarkEnd w:id="17"/>
      <w:bookmarkEnd w:id="18"/>
    </w:p>
    <w:p w14:paraId="215BE1A7" w14:textId="4A940934" w:rsidR="00B23C71" w:rsidRPr="000C28B9" w:rsidRDefault="0020044F" w:rsidP="00B23C71">
      <w:pPr>
        <w:pStyle w:val="Heading2"/>
      </w:pPr>
      <w:bookmarkStart w:id="19" w:name="_Toc59107655"/>
      <w:bookmarkStart w:id="20" w:name="_Toc87627658"/>
      <w:r w:rsidRPr="7AB09CE5">
        <w:rPr>
          <w:color w:val="000000" w:themeColor="text1"/>
        </w:rPr>
        <w:t>The accident highlighted human, organizational, and cultural issues</w:t>
      </w:r>
      <w:bookmarkEnd w:id="19"/>
      <w:bookmarkEnd w:id="20"/>
    </w:p>
    <w:p w14:paraId="533D4BD3" w14:textId="071300B7" w:rsidR="00CE6763" w:rsidRPr="00CE6763" w:rsidRDefault="00CE6763" w:rsidP="007F6568">
      <w:pPr>
        <w:pStyle w:val="BodyText"/>
        <w:spacing w:after="0"/>
        <w:ind w:firstLine="567"/>
        <w:rPr>
          <w:color w:val="000000" w:themeColor="text1"/>
          <w:szCs w:val="24"/>
        </w:rPr>
      </w:pPr>
      <w:r w:rsidRPr="00CE6763">
        <w:rPr>
          <w:color w:val="000000" w:themeColor="text1"/>
          <w:szCs w:val="24"/>
        </w:rPr>
        <w:t>The robustness of the technical nuclear safety system and its formalization such as beyond-DBA accident management procedures and provision, international standards, regulations and management system have evolved significantly the last 50 years.</w:t>
      </w:r>
    </w:p>
    <w:p w14:paraId="7192AD86" w14:textId="768BE8E6" w:rsidR="00CE6763" w:rsidRPr="00CE6763" w:rsidRDefault="00CE6763" w:rsidP="007F6568">
      <w:pPr>
        <w:pStyle w:val="BodyText"/>
        <w:spacing w:after="0"/>
        <w:ind w:firstLine="567"/>
        <w:rPr>
          <w:color w:val="000000" w:themeColor="text1"/>
          <w:szCs w:val="24"/>
        </w:rPr>
      </w:pPr>
      <w:r w:rsidRPr="00CE6763">
        <w:rPr>
          <w:color w:val="000000" w:themeColor="text1"/>
          <w:szCs w:val="24"/>
        </w:rPr>
        <w:t xml:space="preserve">However, safety related to the human and organizational factors has developed in the shadow of this technical side safety, though </w:t>
      </w:r>
      <w:r w:rsidRPr="00CE6763">
        <w:rPr>
          <w:rFonts w:eastAsiaTheme="minorEastAsia"/>
          <w:color w:val="000000" w:themeColor="text1"/>
          <w:szCs w:val="24"/>
          <w:lang w:eastAsia="ja-JP"/>
        </w:rPr>
        <w:t>Kemeny report</w:t>
      </w:r>
      <w:r w:rsidR="000C48AA">
        <w:rPr>
          <w:rFonts w:eastAsiaTheme="minorEastAsia"/>
          <w:color w:val="000000" w:themeColor="text1"/>
          <w:szCs w:val="24"/>
          <w:lang w:eastAsia="ja-JP"/>
        </w:rPr>
        <w:t xml:space="preserve"> </w:t>
      </w:r>
      <w:r w:rsidR="00E2050E">
        <w:rPr>
          <w:rFonts w:eastAsiaTheme="minorEastAsia"/>
          <w:color w:val="000000" w:themeColor="text1"/>
          <w:szCs w:val="24"/>
          <w:lang w:eastAsia="ja-JP"/>
        </w:rPr>
        <w:fldChar w:fldCharType="begin"/>
      </w:r>
      <w:r w:rsidR="00E2050E">
        <w:rPr>
          <w:rFonts w:eastAsiaTheme="minorEastAsia"/>
          <w:color w:val="000000" w:themeColor="text1"/>
          <w:szCs w:val="24"/>
          <w:lang w:eastAsia="ja-JP"/>
        </w:rPr>
        <w:instrText xml:space="preserve"> ADDIN ZOTERO_ITEM CSL_CITATION {"citationID":"9D5Vs1ke","properties":{"formattedCitation":"[1]","plainCitation":"[1]","noteIndex":0},"citationItems":[{"id":1060,"uris":["http://zotero.org/users/6184040/items/XS78DPP7"],"uri":["http://zotero.org/users/6184040/items/XS78DPP7"],"itemData":{"id":1060,"type":"article-journal","container-title":"Ecology Law Quarterly","issue":"4","page":"810-817","title":"Kemeny Report on the accident at Three Mile Island","volume":"8","author":[{"family":"Elliott","given":"J. F."}],"issued":{"date-parts":[["1980"]]}}}],"schema":"https://github.com/citation-style-language/schema/raw/master/csl-citation.json"} </w:instrText>
      </w:r>
      <w:r w:rsidR="00E2050E">
        <w:rPr>
          <w:rFonts w:eastAsiaTheme="minorEastAsia"/>
          <w:color w:val="000000" w:themeColor="text1"/>
          <w:szCs w:val="24"/>
          <w:lang w:eastAsia="ja-JP"/>
        </w:rPr>
        <w:fldChar w:fldCharType="separate"/>
      </w:r>
      <w:r w:rsidR="00E2050E" w:rsidRPr="00E2050E">
        <w:rPr>
          <w:rFonts w:eastAsiaTheme="minorEastAsia"/>
        </w:rPr>
        <w:t>[1]</w:t>
      </w:r>
      <w:r w:rsidR="00E2050E">
        <w:rPr>
          <w:rFonts w:eastAsiaTheme="minorEastAsia"/>
          <w:color w:val="000000" w:themeColor="text1"/>
          <w:szCs w:val="24"/>
          <w:lang w:eastAsia="ja-JP"/>
        </w:rPr>
        <w:fldChar w:fldCharType="end"/>
      </w:r>
      <w:r w:rsidRPr="00CE6763">
        <w:rPr>
          <w:rFonts w:eastAsiaTheme="minorEastAsia"/>
          <w:color w:val="000000" w:themeColor="text1"/>
          <w:szCs w:val="24"/>
          <w:lang w:eastAsia="ja-JP"/>
        </w:rPr>
        <w:t xml:space="preserve"> after TMI had said “No amount of technical fixes” will cure this underlying (attitude) problem”, </w:t>
      </w:r>
      <w:r w:rsidRPr="00CE6763">
        <w:rPr>
          <w:color w:val="000000" w:themeColor="text1"/>
          <w:szCs w:val="24"/>
        </w:rPr>
        <w:t>INSAG report</w:t>
      </w:r>
      <w:r w:rsidR="001E793F">
        <w:rPr>
          <w:color w:val="000000" w:themeColor="text1"/>
          <w:szCs w:val="24"/>
        </w:rPr>
        <w:t xml:space="preserve"> </w:t>
      </w:r>
      <w:r w:rsidR="006A0D34">
        <w:rPr>
          <w:color w:val="000000" w:themeColor="text1"/>
          <w:szCs w:val="24"/>
        </w:rPr>
        <w:fldChar w:fldCharType="begin"/>
      </w:r>
      <w:r w:rsidR="006A0D34">
        <w:rPr>
          <w:color w:val="000000" w:themeColor="text1"/>
          <w:szCs w:val="24"/>
        </w:rPr>
        <w:instrText xml:space="preserve"> ADDIN ZOTERO_ITEM CSL_CITATION {"citationID":"Tvyk3VO9","properties":{"formattedCitation":"[2]","plainCitation":"[2]","noteIndex":0},"citationItems":[{"id":1058,"uris":["http://zotero.org/users/6184040/items/Y3XJGEDF"],"uri":["http://zotero.org/users/6184040/items/Y3XJGEDF"],"itemData":{"id":1058,"type":"book","collection-number":"INSAG-4","event-place":"Vienna","language":"en-GB","note":"Safety Series No. 75-INSAG-4","publisher":"IAEA","publisher-place":"Vienna","title":"Safety Culture","title-short":"Safety Culture","URL":"http://www-pub.iaea.org/MTCD/publications/PDF/Pub882_web.pdf","author":[{"literal":"International Nuclear Safety Advisory Group"}],"issued":{"date-parts":[["1991"]]}}}],"schema":"https://github.com/citation-style-language/schema/raw/master/csl-citation.json"} </w:instrText>
      </w:r>
      <w:r w:rsidR="006A0D34">
        <w:rPr>
          <w:color w:val="000000" w:themeColor="text1"/>
          <w:szCs w:val="24"/>
        </w:rPr>
        <w:fldChar w:fldCharType="separate"/>
      </w:r>
      <w:r w:rsidR="006A0D34" w:rsidRPr="006A0D34">
        <w:t>[2]</w:t>
      </w:r>
      <w:r w:rsidR="006A0D34">
        <w:rPr>
          <w:color w:val="000000" w:themeColor="text1"/>
          <w:szCs w:val="24"/>
        </w:rPr>
        <w:fldChar w:fldCharType="end"/>
      </w:r>
      <w:r w:rsidRPr="00CE6763">
        <w:rPr>
          <w:color w:val="000000" w:themeColor="text1"/>
          <w:szCs w:val="24"/>
        </w:rPr>
        <w:t xml:space="preserve"> after Chernobyl addressed safety culture in organizations through proper attitudes and practices of management. WANO started relevant self-regulatory activities. Nevertheless, the situation was as an expert described “In the aftermath of the accident, the focus has been mostly on the machine and how to support the machine with other machines....but what about the people involved?” (UT-UCB report</w:t>
      </w:r>
      <w:r w:rsidR="006A6386">
        <w:rPr>
          <w:color w:val="000000" w:themeColor="text1"/>
          <w:szCs w:val="24"/>
        </w:rPr>
        <w:t xml:space="preserve"> </w:t>
      </w:r>
      <w:r w:rsidR="002848E9">
        <w:rPr>
          <w:color w:val="000000" w:themeColor="text1"/>
          <w:szCs w:val="24"/>
        </w:rPr>
        <w:fldChar w:fldCharType="begin"/>
      </w:r>
      <w:r w:rsidR="002848E9">
        <w:rPr>
          <w:color w:val="000000" w:themeColor="text1"/>
          <w:szCs w:val="24"/>
        </w:rPr>
        <w:instrText xml:space="preserve"> ADDIN ZOTERO_ITEM CSL_CITATION {"citationID":"1Bcnz6r6","properties":{"formattedCitation":"[3]","plainCitation":"[3]","noteIndex":0},"citationItems":[{"id":1061,"uris":["http://zotero.org/users/6184040/items/WBP38JBL"],"uri":["http://zotero.org/users/6184040/items/WBP38JBL"],"itemData":{"id":1061,"type":"book","abstract":"Comprehensive, yet concise summary about the Fukushima Daiichi accident from various viewpoints including technological, organizational, societal and ethical\nViews by various generations and countries, including graduate students, young researchers and faculty members, as well as senior faculty members and their evolution during and after the accident are presented as a basis for considering future nuclear engineering education\nFuture directions for education of nuclear engineers, who will become technically competent and trusted by stakeholders in the society","ISBN":"978-3-319-12089-8","title":"Reflections on Fukushima-Daiichi Nuclear Accident","title-short":"Toward Social-Scientific Literacy and Engineering Resilience","editor":[{"literal":"Joonhong Ahn"},{"literal":"Cathryn Carson"},{"literal":"Mikael Jensen"},{"literal":"Kohta Juraku"},{"literal":"Shinya Nagasaki"},{"literal":"Satoru Tanaka"}],"issued":{"date-parts":[["2015"]]}}}],"schema":"https://github.com/citation-style-language/schema/raw/master/csl-citation.json"} </w:instrText>
      </w:r>
      <w:r w:rsidR="002848E9">
        <w:rPr>
          <w:color w:val="000000" w:themeColor="text1"/>
          <w:szCs w:val="24"/>
        </w:rPr>
        <w:fldChar w:fldCharType="separate"/>
      </w:r>
      <w:r w:rsidR="002848E9" w:rsidRPr="002848E9">
        <w:t>[3]</w:t>
      </w:r>
      <w:r w:rsidR="002848E9">
        <w:rPr>
          <w:color w:val="000000" w:themeColor="text1"/>
          <w:szCs w:val="24"/>
        </w:rPr>
        <w:fldChar w:fldCharType="end"/>
      </w:r>
      <w:r w:rsidRPr="00CE6763">
        <w:rPr>
          <w:color w:val="000000" w:themeColor="text1"/>
          <w:szCs w:val="24"/>
        </w:rPr>
        <w:t>)</w:t>
      </w:r>
    </w:p>
    <w:p w14:paraId="2317DFA6" w14:textId="263F0BA8" w:rsidR="00CE6763" w:rsidRPr="00CE6763" w:rsidRDefault="00CE6763" w:rsidP="004B50A2">
      <w:pPr>
        <w:pStyle w:val="BodyText"/>
        <w:spacing w:after="0"/>
        <w:ind w:firstLine="567"/>
        <w:rPr>
          <w:color w:val="000000" w:themeColor="text1"/>
          <w:szCs w:val="24"/>
        </w:rPr>
      </w:pPr>
      <w:r w:rsidRPr="00CE6763">
        <w:rPr>
          <w:color w:val="000000" w:themeColor="text1"/>
          <w:szCs w:val="24"/>
        </w:rPr>
        <w:t>The IAEA Director General report on the Fukushima Daiichi accident</w:t>
      </w:r>
      <w:r w:rsidR="00D0123B">
        <w:rPr>
          <w:color w:val="000000" w:themeColor="text1"/>
          <w:szCs w:val="24"/>
        </w:rPr>
        <w:t xml:space="preserve"> </w:t>
      </w:r>
      <w:r w:rsidR="00D0123B">
        <w:rPr>
          <w:color w:val="000000" w:themeColor="text1"/>
          <w:szCs w:val="24"/>
        </w:rPr>
        <w:fldChar w:fldCharType="begin"/>
      </w:r>
      <w:r w:rsidR="00D0123B">
        <w:rPr>
          <w:color w:val="000000" w:themeColor="text1"/>
          <w:szCs w:val="24"/>
        </w:rPr>
        <w:instrText xml:space="preserve"> ADDIN ZOTERO_ITEM CSL_CITATION {"citationID":"vwt6bmp1","properties":{"formattedCitation":"[4]","plainCitation":"[4]","noteIndex":0},"citationItems":[{"id":1059,"uris":["http://zotero.org/users/6184040/items/I324TCZJ"],"uri":["http://zotero.org/users/6184040/items/I324TCZJ"],"itemData":{"id":1059,"type":"book","abstract":"The Fukushima Daiichi Accident consists of a Report by the IAEA Director General and five technical volumes. It is the result of an extensive international collaborative effort involving five working groups with about 180 experts from 42 Member States with and without nuclear power programmes and several international bodies. It provides a description of the accident and its causes, evolution and consequences, based on the evaluation of data and information from a large number of sources available at the time of writing","event-place":"Vienna","language":"en-GB","number-of-pages":"1254","publisher":"International Atomic Energy Agency","publisher-place":"Vienna","title":"The Fukushima Daiichi Accident","URL":"https://www.iaea.org/publications/10962/the-fukushima-daiichi-accident","author":[{"family":"International Atomic Energy Agency","given":""}],"issued":{"date-parts":[["2015"]]}}}],"schema":"https://github.com/citation-style-language/schema/raw/master/csl-citation.json"} </w:instrText>
      </w:r>
      <w:r w:rsidR="00D0123B">
        <w:rPr>
          <w:color w:val="000000" w:themeColor="text1"/>
          <w:szCs w:val="24"/>
        </w:rPr>
        <w:fldChar w:fldCharType="separate"/>
      </w:r>
      <w:r w:rsidR="00D0123B" w:rsidRPr="00D0123B">
        <w:t>[4]</w:t>
      </w:r>
      <w:r w:rsidR="00D0123B">
        <w:rPr>
          <w:color w:val="000000" w:themeColor="text1"/>
          <w:szCs w:val="24"/>
        </w:rPr>
        <w:fldChar w:fldCharType="end"/>
      </w:r>
      <w:r w:rsidRPr="00CE6763">
        <w:rPr>
          <w:color w:val="000000" w:themeColor="text1"/>
          <w:szCs w:val="24"/>
        </w:rPr>
        <w:t>, specifically Section 2.6 in Technical Volume 2 highlights the organizational and human aspects and discusses lessons as follows:</w:t>
      </w:r>
    </w:p>
    <w:p w14:paraId="65EBA16B" w14:textId="77777777" w:rsidR="00CE6763" w:rsidRPr="00CE6763" w:rsidRDefault="00CE6763" w:rsidP="00DA762E">
      <w:pPr>
        <w:pStyle w:val="ListParagraph"/>
        <w:numPr>
          <w:ilvl w:val="0"/>
          <w:numId w:val="2"/>
        </w:numPr>
        <w:snapToGrid w:val="0"/>
        <w:spacing w:after="0" w:line="240" w:lineRule="auto"/>
        <w:contextualSpacing w:val="0"/>
        <w:rPr>
          <w:rFonts w:ascii="Times New Roman" w:hAnsi="Times New Roman" w:cs="Times New Roman"/>
          <w:color w:val="000000" w:themeColor="text1"/>
          <w:sz w:val="24"/>
          <w:szCs w:val="24"/>
        </w:rPr>
      </w:pPr>
      <w:r w:rsidRPr="00CE6763">
        <w:rPr>
          <w:rFonts w:ascii="Times New Roman" w:eastAsia="Times New Roman" w:hAnsi="Times New Roman" w:cs="Times New Roman"/>
          <w:color w:val="000000" w:themeColor="text1"/>
          <w:sz w:val="24"/>
          <w:szCs w:val="24"/>
        </w:rPr>
        <w:t>Individuals and organizations need to consciously and continuously question their own basic assumptions and their implications on actions that impact nuclear safety.</w:t>
      </w:r>
    </w:p>
    <w:p w14:paraId="1B9C75F7" w14:textId="77777777" w:rsidR="00CE6763" w:rsidRPr="00CE6763" w:rsidRDefault="00CE6763" w:rsidP="00DA762E">
      <w:pPr>
        <w:pStyle w:val="ListParagraph"/>
        <w:numPr>
          <w:ilvl w:val="0"/>
          <w:numId w:val="2"/>
        </w:numPr>
        <w:snapToGrid w:val="0"/>
        <w:spacing w:after="0" w:line="240" w:lineRule="auto"/>
        <w:contextualSpacing w:val="0"/>
        <w:rPr>
          <w:rFonts w:ascii="Times New Roman" w:hAnsi="Times New Roman" w:cs="Times New Roman"/>
          <w:color w:val="000000" w:themeColor="text1"/>
          <w:sz w:val="24"/>
          <w:szCs w:val="24"/>
          <w:lang w:val="en-US"/>
        </w:rPr>
      </w:pPr>
      <w:r w:rsidRPr="00CE6763">
        <w:rPr>
          <w:rFonts w:ascii="Times New Roman" w:eastAsia="Times New Roman" w:hAnsi="Times New Roman" w:cs="Times New Roman"/>
          <w:color w:val="000000" w:themeColor="text1"/>
          <w:sz w:val="24"/>
          <w:szCs w:val="24"/>
          <w:lang w:val="en-US"/>
        </w:rPr>
        <w:lastRenderedPageBreak/>
        <w:t xml:space="preserve">Nuclear organizations need to critically review their approaches to emergency drills and exercises to ensure that they take due account of harsh complex conditions and unexpected situations. </w:t>
      </w:r>
    </w:p>
    <w:p w14:paraId="5C665461" w14:textId="77777777" w:rsidR="00CE6763" w:rsidRPr="00CE6763" w:rsidRDefault="00CE6763" w:rsidP="00DA762E">
      <w:pPr>
        <w:pStyle w:val="ListParagraph"/>
        <w:numPr>
          <w:ilvl w:val="0"/>
          <w:numId w:val="2"/>
        </w:numPr>
        <w:snapToGrid w:val="0"/>
        <w:spacing w:after="0" w:line="240" w:lineRule="auto"/>
        <w:contextualSpacing w:val="0"/>
        <w:rPr>
          <w:rFonts w:ascii="Times New Roman" w:hAnsi="Times New Roman" w:cs="Times New Roman"/>
          <w:color w:val="000000" w:themeColor="text1"/>
          <w:sz w:val="24"/>
          <w:szCs w:val="24"/>
          <w:lang w:val="en-US"/>
        </w:rPr>
      </w:pPr>
      <w:r w:rsidRPr="00CE6763">
        <w:rPr>
          <w:rFonts w:ascii="Times New Roman" w:eastAsia="Times New Roman" w:hAnsi="Times New Roman" w:cs="Times New Roman"/>
          <w:color w:val="000000" w:themeColor="text1"/>
          <w:sz w:val="24"/>
          <w:szCs w:val="24"/>
        </w:rPr>
        <w:t xml:space="preserve">A systemic approach </w:t>
      </w:r>
      <w:r w:rsidRPr="00CE6763">
        <w:rPr>
          <w:rFonts w:ascii="Times New Roman" w:hAnsi="Times New Roman" w:cs="Times New Roman"/>
          <w:color w:val="000000" w:themeColor="text1"/>
          <w:sz w:val="24"/>
          <w:szCs w:val="24"/>
          <w:lang w:val="en-US" w:eastAsia="ja-JP"/>
        </w:rPr>
        <w:t>needs to consider the interactions between human, organizational and technical factors</w:t>
      </w:r>
      <w:r w:rsidRPr="00CE6763">
        <w:rPr>
          <w:rFonts w:ascii="Times New Roman" w:hAnsi="Times New Roman" w:cs="Times New Roman"/>
          <w:color w:val="000000" w:themeColor="text1"/>
          <w:sz w:val="24"/>
          <w:szCs w:val="24"/>
        </w:rPr>
        <w:t>.</w:t>
      </w:r>
    </w:p>
    <w:p w14:paraId="5CBFEA4C" w14:textId="77777777" w:rsidR="00CE6763" w:rsidRPr="00CE6763" w:rsidRDefault="00CE6763" w:rsidP="00DA762E">
      <w:pPr>
        <w:pStyle w:val="ListParagraph"/>
        <w:numPr>
          <w:ilvl w:val="0"/>
          <w:numId w:val="2"/>
        </w:numPr>
        <w:snapToGrid w:val="0"/>
        <w:spacing w:after="0" w:line="240" w:lineRule="auto"/>
        <w:contextualSpacing w:val="0"/>
        <w:rPr>
          <w:rFonts w:ascii="Times New Roman" w:hAnsi="Times New Roman" w:cs="Times New Roman"/>
          <w:color w:val="000000" w:themeColor="text1"/>
          <w:sz w:val="24"/>
          <w:szCs w:val="24"/>
          <w:lang w:val="en-US"/>
        </w:rPr>
      </w:pPr>
      <w:r w:rsidRPr="00CE6763">
        <w:rPr>
          <w:rFonts w:ascii="Times New Roman" w:hAnsi="Times New Roman" w:cs="Times New Roman"/>
          <w:color w:val="000000" w:themeColor="text1"/>
          <w:sz w:val="24"/>
          <w:szCs w:val="24"/>
        </w:rPr>
        <w:t xml:space="preserve">Licensees, regulators and governments need to conduct a transparent and informed dialogue with the public on an ongoing basis. </w:t>
      </w:r>
    </w:p>
    <w:p w14:paraId="498C5660" w14:textId="77777777" w:rsidR="00CE6763" w:rsidRPr="00CE6763" w:rsidRDefault="00CE6763" w:rsidP="00CE6763">
      <w:pPr>
        <w:snapToGrid w:val="0"/>
        <w:spacing w:after="0"/>
        <w:rPr>
          <w:color w:val="000000" w:themeColor="text1"/>
          <w:szCs w:val="24"/>
        </w:rPr>
      </w:pPr>
      <w:r w:rsidRPr="00CE6763">
        <w:rPr>
          <w:color w:val="000000" w:themeColor="text1"/>
          <w:szCs w:val="24"/>
        </w:rPr>
        <w:t xml:space="preserve">The most essential lesson in this report is that what happened in Japan can happen anywhere, if proactive measures such ISiD is not acted upon. </w:t>
      </w:r>
    </w:p>
    <w:p w14:paraId="05C1D7B7" w14:textId="2E35F020" w:rsidR="00CE6763" w:rsidRPr="00CE6763" w:rsidRDefault="00CE6763" w:rsidP="008F5016">
      <w:pPr>
        <w:pStyle w:val="BodyText"/>
        <w:spacing w:after="0"/>
        <w:ind w:firstLine="567"/>
        <w:rPr>
          <w:rFonts w:eastAsia="MS Mincho"/>
          <w:color w:val="000000" w:themeColor="text1"/>
          <w:szCs w:val="24"/>
          <w:lang w:eastAsia="ja-JP"/>
        </w:rPr>
      </w:pPr>
      <w:r w:rsidRPr="00CE6763">
        <w:rPr>
          <w:rFonts w:eastAsia="MS Mincho"/>
          <w:color w:val="000000" w:themeColor="text1"/>
          <w:szCs w:val="24"/>
          <w:lang w:eastAsia="ja-JP"/>
        </w:rPr>
        <w:t>TEPCO’s Reform Plan (March2013)</w:t>
      </w:r>
      <w:r w:rsidR="00A23E86">
        <w:rPr>
          <w:rFonts w:eastAsia="MS Mincho"/>
          <w:color w:val="000000" w:themeColor="text1"/>
          <w:szCs w:val="24"/>
          <w:lang w:eastAsia="ja-JP"/>
        </w:rPr>
        <w:t xml:space="preserve"> </w:t>
      </w:r>
      <w:r w:rsidR="00A23E86">
        <w:rPr>
          <w:rFonts w:eastAsia="MS Mincho"/>
          <w:color w:val="000000" w:themeColor="text1"/>
          <w:szCs w:val="24"/>
          <w:lang w:eastAsia="ja-JP"/>
        </w:rPr>
        <w:fldChar w:fldCharType="begin"/>
      </w:r>
      <w:r w:rsidR="00A23E86">
        <w:rPr>
          <w:rFonts w:eastAsia="MS Mincho"/>
          <w:color w:val="000000" w:themeColor="text1"/>
          <w:szCs w:val="24"/>
          <w:lang w:eastAsia="ja-JP"/>
        </w:rPr>
        <w:instrText xml:space="preserve"> ADDIN ZOTERO_ITEM CSL_CITATION {"citationID":"J35ZU1hj","properties":{"formattedCitation":"[5]","plainCitation":"[5]","noteIndex":0},"citationItems":[{"id":1062,"uris":["http://zotero.org/users/6184040/items/3Z6ZN28N"],"uri":["http://zotero.org/users/6184040/items/3Z6ZN28N"],"itemData":{"id":1062,"type":"book","title":"Fukushima Nuclear Accident Summary  &amp; Nuclear Safety Reform Plan","author":[{"literal":"Tokyo Electric Power Company, Inc."}],"issued":{"date-parts":[["2013",3,29]]}}}],"schema":"https://github.com/citation-style-language/schema/raw/master/csl-citation.json"} </w:instrText>
      </w:r>
      <w:r w:rsidR="00A23E86">
        <w:rPr>
          <w:rFonts w:eastAsia="MS Mincho"/>
          <w:color w:val="000000" w:themeColor="text1"/>
          <w:szCs w:val="24"/>
          <w:lang w:eastAsia="ja-JP"/>
        </w:rPr>
        <w:fldChar w:fldCharType="separate"/>
      </w:r>
      <w:r w:rsidR="00A23E86" w:rsidRPr="00A23E86">
        <w:rPr>
          <w:rFonts w:eastAsia="MS Mincho"/>
        </w:rPr>
        <w:t>[5]</w:t>
      </w:r>
      <w:r w:rsidR="00A23E86">
        <w:rPr>
          <w:rFonts w:eastAsia="MS Mincho"/>
          <w:color w:val="000000" w:themeColor="text1"/>
          <w:szCs w:val="24"/>
          <w:lang w:eastAsia="ja-JP"/>
        </w:rPr>
        <w:fldChar w:fldCharType="end"/>
      </w:r>
      <w:r w:rsidRPr="00CE6763">
        <w:rPr>
          <w:rFonts w:eastAsia="MS Mincho"/>
          <w:color w:val="000000" w:themeColor="text1"/>
          <w:szCs w:val="24"/>
          <w:lang w:eastAsia="ja-JP"/>
        </w:rPr>
        <w:t xml:space="preserve"> discusses technical issues that led to the accident but also elaborates in depth a) on human and organizational issues - culture for safety, complacency on safety, technical competence, interface with stakeholders including risk communication, priority on plant capacity factor, risk management and governance etc.-. in the background of these technical issues and lack of preparedness to extreme external events, and b) on necessary institutional reform including internal oversight and advices from outside. Independent accident investigation report (</w:t>
      </w:r>
      <w:r w:rsidRPr="00CE6763">
        <w:rPr>
          <w:rFonts w:eastAsia="MS PGothic"/>
          <w:color w:val="000000" w:themeColor="text1"/>
          <w:szCs w:val="24"/>
        </w:rPr>
        <w:t>Accident Investigation Report by</w:t>
      </w:r>
      <w:r w:rsidRPr="00CE6763">
        <w:rPr>
          <w:rFonts w:eastAsia="MS Mincho"/>
          <w:color w:val="000000" w:themeColor="text1"/>
          <w:szCs w:val="24"/>
          <w:lang w:eastAsia="ja-JP"/>
        </w:rPr>
        <w:t xml:space="preserve"> Rebuild Japan, 2012</w:t>
      </w:r>
      <w:r w:rsidR="00A23E86">
        <w:rPr>
          <w:rFonts w:eastAsia="MS Mincho"/>
          <w:color w:val="000000" w:themeColor="text1"/>
          <w:szCs w:val="24"/>
          <w:lang w:eastAsia="ja-JP"/>
        </w:rPr>
        <w:t xml:space="preserve"> </w:t>
      </w:r>
      <w:r w:rsidR="000607F2">
        <w:rPr>
          <w:rFonts w:eastAsia="MS Mincho"/>
          <w:color w:val="000000" w:themeColor="text1"/>
          <w:szCs w:val="24"/>
          <w:lang w:eastAsia="ja-JP"/>
        </w:rPr>
        <w:fldChar w:fldCharType="begin"/>
      </w:r>
      <w:r w:rsidR="000607F2">
        <w:rPr>
          <w:rFonts w:eastAsia="MS Mincho"/>
          <w:color w:val="000000" w:themeColor="text1"/>
          <w:szCs w:val="24"/>
          <w:lang w:eastAsia="ja-JP"/>
        </w:rPr>
        <w:instrText xml:space="preserve"> ADDIN ZOTERO_ITEM CSL_CITATION {"citationID":"IIpc23pF","properties":{"formattedCitation":"[6]","plainCitation":"[6]","noteIndex":0},"citationItems":[{"id":1063,"uris":["http://zotero.org/users/6184040/items/UDIPCUZS"],"uri":["http://zotero.org/users/6184040/items/UDIPCUZS"],"itemData":{"id":1063,"type":"book","title":"Independent Panel Report on the Fukushima Nuclear Accident","author":[{"literal":"Rebuilt Japan Initiative Foundation"}],"issued":{"date-parts":[["2012",3]]}}}],"schema":"https://github.com/citation-style-language/schema/raw/master/csl-citation.json"} </w:instrText>
      </w:r>
      <w:r w:rsidR="000607F2">
        <w:rPr>
          <w:rFonts w:eastAsia="MS Mincho"/>
          <w:color w:val="000000" w:themeColor="text1"/>
          <w:szCs w:val="24"/>
          <w:lang w:eastAsia="ja-JP"/>
        </w:rPr>
        <w:fldChar w:fldCharType="separate"/>
      </w:r>
      <w:r w:rsidR="000607F2" w:rsidRPr="000607F2">
        <w:rPr>
          <w:rFonts w:eastAsia="MS Mincho"/>
        </w:rPr>
        <w:t>[6]</w:t>
      </w:r>
      <w:r w:rsidR="000607F2">
        <w:rPr>
          <w:rFonts w:eastAsia="MS Mincho"/>
          <w:color w:val="000000" w:themeColor="text1"/>
          <w:szCs w:val="24"/>
          <w:lang w:eastAsia="ja-JP"/>
        </w:rPr>
        <w:fldChar w:fldCharType="end"/>
      </w:r>
      <w:r w:rsidR="0067085B">
        <w:rPr>
          <w:rFonts w:eastAsia="MS Mincho"/>
          <w:color w:val="000000" w:themeColor="text1"/>
          <w:szCs w:val="24"/>
          <w:lang w:eastAsia="ja-JP"/>
        </w:rPr>
        <w:t>)</w:t>
      </w:r>
      <w:r w:rsidRPr="00CE6763">
        <w:rPr>
          <w:rFonts w:eastAsia="MS Mincho"/>
          <w:color w:val="000000" w:themeColor="text1"/>
          <w:szCs w:val="24"/>
          <w:lang w:eastAsia="ja-JP"/>
        </w:rPr>
        <w:t xml:space="preserve"> analyzed the history of Japanese nuclear community’s building its silo and complacent view on safety. </w:t>
      </w:r>
    </w:p>
    <w:p w14:paraId="787D2EE4" w14:textId="377A8944" w:rsidR="00CE6763" w:rsidRPr="00CE6763" w:rsidRDefault="00CE6763" w:rsidP="005E6563">
      <w:pPr>
        <w:pStyle w:val="BodyText"/>
        <w:spacing w:after="0"/>
        <w:ind w:firstLine="567"/>
        <w:rPr>
          <w:color w:val="000000" w:themeColor="text1"/>
          <w:szCs w:val="24"/>
        </w:rPr>
      </w:pPr>
      <w:r w:rsidRPr="00CE6763">
        <w:rPr>
          <w:color w:val="000000" w:themeColor="text1"/>
          <w:szCs w:val="24"/>
          <w:lang w:eastAsia="ja-JP"/>
        </w:rPr>
        <w:t>I</w:t>
      </w:r>
      <w:r w:rsidRPr="00CE6763">
        <w:rPr>
          <w:color w:val="000000" w:themeColor="text1"/>
          <w:szCs w:val="24"/>
        </w:rPr>
        <w:t>NPO’s Lessons Learned report</w:t>
      </w:r>
      <w:r w:rsidRPr="00CE6763">
        <w:rPr>
          <w:rFonts w:eastAsia="MS PGothic"/>
          <w:color w:val="000000" w:themeColor="text1"/>
          <w:szCs w:val="24"/>
        </w:rPr>
        <w:t xml:space="preserve">(INPO LL report </w:t>
      </w:r>
      <w:r w:rsidRPr="00CE6763">
        <w:rPr>
          <w:color w:val="000000" w:themeColor="text1"/>
          <w:szCs w:val="24"/>
        </w:rPr>
        <w:t>11-005)</w:t>
      </w:r>
      <w:r w:rsidR="000607F2">
        <w:rPr>
          <w:color w:val="000000" w:themeColor="text1"/>
          <w:szCs w:val="24"/>
        </w:rPr>
        <w:t xml:space="preserve"> </w:t>
      </w:r>
      <w:r w:rsidR="000607F2">
        <w:rPr>
          <w:color w:val="000000" w:themeColor="text1"/>
          <w:szCs w:val="24"/>
        </w:rPr>
        <w:fldChar w:fldCharType="begin"/>
      </w:r>
      <w:r w:rsidR="000A28BE">
        <w:rPr>
          <w:color w:val="000000" w:themeColor="text1"/>
          <w:szCs w:val="24"/>
        </w:rPr>
        <w:instrText xml:space="preserve"> ADDIN ZOTERO_ITEM CSL_CITATION {"citationID":"kKv5yHJU","properties":{"formattedCitation":"[7]","plainCitation":"[7]","noteIndex":0},"citationItems":[{"id":1064,"uris":["http://zotero.org/users/6184040/items/KGHCPR5X"],"uri":["http://zotero.org/users/6184040/items/KGHCPR5X"],"itemData":{"id":1064,"type":"book","collection-number":"INPO 11-005 Addendum","title":"Lessons Learned from th Fukushima Daiichi Nuclear Power Station","author":[{"literal":"INSTITUTE OF NUCLEAR POWER OPERATIONS"}],"issued":{"date-parts":[["2012",8]]}}}],"schema":"https://github.com/citation-style-language/schema/raw/master/csl-citation.json"} </w:instrText>
      </w:r>
      <w:r w:rsidR="000607F2">
        <w:rPr>
          <w:color w:val="000000" w:themeColor="text1"/>
          <w:szCs w:val="24"/>
        </w:rPr>
        <w:fldChar w:fldCharType="separate"/>
      </w:r>
      <w:r w:rsidR="000607F2" w:rsidRPr="000607F2">
        <w:t>[7]</w:t>
      </w:r>
      <w:r w:rsidR="000607F2">
        <w:rPr>
          <w:color w:val="000000" w:themeColor="text1"/>
          <w:szCs w:val="24"/>
        </w:rPr>
        <w:fldChar w:fldCharType="end"/>
      </w:r>
      <w:r w:rsidRPr="00CE6763">
        <w:rPr>
          <w:color w:val="000000" w:themeColor="text1"/>
          <w:szCs w:val="24"/>
        </w:rPr>
        <w:t xml:space="preserve"> also discusses in depth the human, organizational and cultural aspect. </w:t>
      </w:r>
    </w:p>
    <w:p w14:paraId="2639D884" w14:textId="53C440F5" w:rsidR="6138AEC7" w:rsidRPr="00CE6763" w:rsidRDefault="6138AEC7" w:rsidP="6138AEC7">
      <w:pPr>
        <w:pStyle w:val="BodyText"/>
        <w:rPr>
          <w:szCs w:val="24"/>
          <w:lang w:val="en-GB"/>
        </w:rPr>
      </w:pPr>
    </w:p>
    <w:p w14:paraId="18BE9C07" w14:textId="51C9DCDC" w:rsidR="009E7F82" w:rsidRPr="00123851" w:rsidRDefault="009E7F82" w:rsidP="00B23C71">
      <w:pPr>
        <w:pStyle w:val="Heading2"/>
        <w:rPr>
          <w:rFonts w:eastAsia="MS PGothic"/>
          <w:color w:val="000000" w:themeColor="text1"/>
          <w:szCs w:val="24"/>
        </w:rPr>
      </w:pPr>
      <w:bookmarkStart w:id="21" w:name="_Toc87627659"/>
      <w:bookmarkStart w:id="22" w:name="_Toc59107656"/>
      <w:r w:rsidRPr="00123851">
        <w:rPr>
          <w:rFonts w:eastAsia="MS PGothic"/>
          <w:color w:val="000000" w:themeColor="text1"/>
          <w:szCs w:val="24"/>
        </w:rPr>
        <w:t>Key identified or recognized issues</w:t>
      </w:r>
      <w:bookmarkEnd w:id="21"/>
    </w:p>
    <w:p w14:paraId="1C4A6B48" w14:textId="77777777" w:rsidR="009F4015" w:rsidRPr="009F4015" w:rsidRDefault="009F4015" w:rsidP="003C634F">
      <w:pPr>
        <w:pStyle w:val="BodyText"/>
        <w:spacing w:after="120"/>
        <w:ind w:firstLine="567"/>
        <w:rPr>
          <w:rFonts w:eastAsia="MS PGothic"/>
          <w:color w:val="000000" w:themeColor="text1"/>
          <w:szCs w:val="24"/>
        </w:rPr>
      </w:pPr>
      <w:r w:rsidRPr="009F4015">
        <w:rPr>
          <w:rFonts w:eastAsia="MS PGothic"/>
          <w:color w:val="000000" w:themeColor="text1"/>
          <w:szCs w:val="24"/>
        </w:rPr>
        <w:t xml:space="preserve">Below are some listing of specific examples; </w:t>
      </w:r>
    </w:p>
    <w:p w14:paraId="6E492642" w14:textId="0ADAA3B1" w:rsidR="009F4015" w:rsidRPr="00246CD9" w:rsidRDefault="009F4015" w:rsidP="00AC768F">
      <w:pPr>
        <w:pStyle w:val="ListParagraph"/>
        <w:numPr>
          <w:ilvl w:val="0"/>
          <w:numId w:val="11"/>
        </w:numPr>
        <w:overflowPunct/>
        <w:autoSpaceDE/>
        <w:autoSpaceDN/>
        <w:adjustRightInd/>
        <w:snapToGrid w:val="0"/>
        <w:spacing w:after="0" w:line="240" w:lineRule="auto"/>
        <w:contextualSpacing w:val="0"/>
        <w:jc w:val="left"/>
        <w:textAlignment w:val="auto"/>
        <w:rPr>
          <w:rFonts w:ascii="Times New Roman" w:eastAsia="MS PGothic" w:hAnsi="Times New Roman" w:cs="Times New Roman"/>
          <w:color w:val="000000" w:themeColor="text1"/>
          <w:sz w:val="24"/>
          <w:szCs w:val="24"/>
          <w:lang w:val="en-US" w:eastAsia="ja-JP"/>
        </w:rPr>
      </w:pPr>
      <w:r w:rsidRPr="00246CD9">
        <w:rPr>
          <w:rFonts w:ascii="Times New Roman" w:eastAsia="MS PGothic" w:hAnsi="Times New Roman" w:cs="Times New Roman"/>
          <w:color w:val="000000" w:themeColor="text1"/>
          <w:sz w:val="24"/>
          <w:szCs w:val="24"/>
          <w:lang w:val="en-US" w:eastAsia="ja-JP"/>
        </w:rPr>
        <w:t>High priority placed on economics and decision &amp; actions for safety improvement were delayed when cost and possible interruption of operation by modification work were significant in the course of analysis of hazards, consequences and coping strategies. (Japanese Diet’s Accident Investigation report</w:t>
      </w:r>
      <w:r w:rsidR="00F31EE5" w:rsidRPr="00246CD9">
        <w:rPr>
          <w:rFonts w:ascii="Times New Roman" w:eastAsia="MS PGothic" w:hAnsi="Times New Roman" w:cs="Times New Roman"/>
          <w:color w:val="000000" w:themeColor="text1"/>
          <w:sz w:val="24"/>
          <w:szCs w:val="24"/>
          <w:lang w:val="en-US" w:eastAsia="ja-JP"/>
        </w:rPr>
        <w:t xml:space="preserve"> </w:t>
      </w:r>
      <w:r w:rsidR="002A0892" w:rsidRPr="00246CD9">
        <w:rPr>
          <w:rFonts w:ascii="Times New Roman" w:eastAsia="MS PGothic" w:hAnsi="Times New Roman" w:cs="Times New Roman"/>
          <w:color w:val="000000" w:themeColor="text1"/>
          <w:sz w:val="24"/>
          <w:szCs w:val="24"/>
          <w:lang w:val="en-US" w:eastAsia="ja-JP"/>
        </w:rPr>
        <w:fldChar w:fldCharType="begin"/>
      </w:r>
      <w:r w:rsidR="002A0892" w:rsidRPr="00246CD9">
        <w:rPr>
          <w:rFonts w:ascii="Times New Roman" w:eastAsia="MS PGothic" w:hAnsi="Times New Roman" w:cs="Times New Roman"/>
          <w:color w:val="000000" w:themeColor="text1"/>
          <w:sz w:val="24"/>
          <w:szCs w:val="24"/>
          <w:lang w:val="en-US" w:eastAsia="ja-JP"/>
        </w:rPr>
        <w:instrText xml:space="preserve"> ADDIN ZOTERO_ITEM CSL_CITATION {"citationID":"I8mTTgzG","properties":{"formattedCitation":"[8]","plainCitation":"[8]","noteIndex":0},"citationItems":[{"id":1065,"uris":["http://zotero.org/users/6184040/items/52IC5ICC"],"uri":["http://zotero.org/users/6184040/items/52IC5ICC"],"itemData":{"id":1065,"type":"book","publisher":"The National Diet of Japan","title":"The official report of The Fukushima Nuclear Accident Independent Investigation Commission","author":[{"literal":"The National Diet of Japan"}],"issued":{"date-parts":[["2012"]]}}}],"schema":"https://github.com/citation-style-language/schema/raw/master/csl-citation.json"} </w:instrText>
      </w:r>
      <w:r w:rsidR="002A0892" w:rsidRPr="00246CD9">
        <w:rPr>
          <w:rFonts w:ascii="Times New Roman" w:eastAsia="MS PGothic" w:hAnsi="Times New Roman" w:cs="Times New Roman"/>
          <w:color w:val="000000" w:themeColor="text1"/>
          <w:sz w:val="24"/>
          <w:szCs w:val="24"/>
          <w:lang w:val="en-US" w:eastAsia="ja-JP"/>
        </w:rPr>
        <w:fldChar w:fldCharType="separate"/>
      </w:r>
      <w:r w:rsidR="002A0892" w:rsidRPr="00246CD9">
        <w:rPr>
          <w:rFonts w:ascii="Times New Roman" w:hAnsi="Times New Roman" w:cs="Times New Roman"/>
          <w:sz w:val="24"/>
        </w:rPr>
        <w:t>[8]</w:t>
      </w:r>
      <w:r w:rsidR="002A0892" w:rsidRPr="00246CD9">
        <w:rPr>
          <w:rFonts w:ascii="Times New Roman" w:eastAsia="MS PGothic" w:hAnsi="Times New Roman" w:cs="Times New Roman"/>
          <w:color w:val="000000" w:themeColor="text1"/>
          <w:sz w:val="24"/>
          <w:szCs w:val="24"/>
          <w:lang w:val="en-US" w:eastAsia="ja-JP"/>
        </w:rPr>
        <w:fldChar w:fldCharType="end"/>
      </w:r>
      <w:r w:rsidRPr="00246CD9">
        <w:rPr>
          <w:rFonts w:ascii="Times New Roman" w:eastAsia="MS PGothic" w:hAnsi="Times New Roman" w:cs="Times New Roman"/>
          <w:color w:val="000000" w:themeColor="text1"/>
          <w:sz w:val="24"/>
          <w:szCs w:val="24"/>
          <w:lang w:val="en-US" w:eastAsia="ja-JP"/>
        </w:rPr>
        <w:t>)</w:t>
      </w:r>
      <w:r w:rsidR="002A0892" w:rsidRPr="00246CD9">
        <w:rPr>
          <w:rFonts w:ascii="Times New Roman" w:eastAsia="MS PGothic" w:hAnsi="Times New Roman" w:cs="Times New Roman"/>
          <w:color w:val="000000" w:themeColor="text1"/>
          <w:sz w:val="24"/>
          <w:szCs w:val="24"/>
          <w:lang w:val="en-US" w:eastAsia="ja-JP"/>
        </w:rPr>
        <w:t xml:space="preserve"> </w:t>
      </w:r>
      <w:r w:rsidRPr="00246CD9">
        <w:rPr>
          <w:rFonts w:ascii="Times New Roman" w:eastAsia="MS PGothic" w:hAnsi="Times New Roman" w:cs="Times New Roman"/>
          <w:color w:val="000000" w:themeColor="text1"/>
          <w:sz w:val="24"/>
          <w:szCs w:val="24"/>
          <w:lang w:val="en-US" w:eastAsia="ja-JP"/>
        </w:rPr>
        <w:t>(TEPCO’s reform plan</w:t>
      </w:r>
      <w:r w:rsidR="00E97DE4" w:rsidRPr="00246CD9">
        <w:rPr>
          <w:rFonts w:ascii="Times New Roman" w:eastAsia="MS PGothic" w:hAnsi="Times New Roman" w:cs="Times New Roman"/>
          <w:color w:val="000000" w:themeColor="text1"/>
          <w:sz w:val="24"/>
          <w:szCs w:val="24"/>
          <w:lang w:val="en-US" w:eastAsia="ja-JP"/>
        </w:rPr>
        <w:t xml:space="preserve"> </w:t>
      </w:r>
      <w:r w:rsidR="00E97DE4" w:rsidRPr="00246CD9">
        <w:rPr>
          <w:rFonts w:ascii="Times New Roman" w:eastAsia="MS PGothic" w:hAnsi="Times New Roman" w:cs="Times New Roman"/>
          <w:color w:val="000000" w:themeColor="text1"/>
          <w:sz w:val="24"/>
          <w:szCs w:val="24"/>
          <w:lang w:val="en-US" w:eastAsia="ja-JP"/>
        </w:rPr>
        <w:fldChar w:fldCharType="begin"/>
      </w:r>
      <w:r w:rsidR="00E97DE4" w:rsidRPr="00246CD9">
        <w:rPr>
          <w:rFonts w:ascii="Times New Roman" w:eastAsia="MS PGothic" w:hAnsi="Times New Roman" w:cs="Times New Roman"/>
          <w:color w:val="000000" w:themeColor="text1"/>
          <w:sz w:val="24"/>
          <w:szCs w:val="24"/>
          <w:lang w:val="en-US" w:eastAsia="ja-JP"/>
        </w:rPr>
        <w:instrText xml:space="preserve"> ADDIN ZOTERO_ITEM CSL_CITATION {"citationID":"4VlT1Ou3","properties":{"formattedCitation":"[5]","plainCitation":"[5]","noteIndex":0},"citationItems":[{"id":1062,"uris":["http://zotero.org/users/6184040/items/3Z6ZN28N"],"uri":["http://zotero.org/users/6184040/items/3Z6ZN28N"],"itemData":{"id":1062,"type":"book","title":"Fukushima Nuclear Accident Summary  &amp; Nuclear Safety Reform Plan","author":[{"literal":"Tokyo Electric Power Company, Inc."}],"issued":{"date-parts":[["2013",3,29]]}}}],"schema":"https://github.com/citation-style-language/schema/raw/master/csl-citation.json"} </w:instrText>
      </w:r>
      <w:r w:rsidR="00E97DE4" w:rsidRPr="00246CD9">
        <w:rPr>
          <w:rFonts w:ascii="Times New Roman" w:eastAsia="MS PGothic" w:hAnsi="Times New Roman" w:cs="Times New Roman"/>
          <w:color w:val="000000" w:themeColor="text1"/>
          <w:sz w:val="24"/>
          <w:szCs w:val="24"/>
          <w:lang w:val="en-US" w:eastAsia="ja-JP"/>
        </w:rPr>
        <w:fldChar w:fldCharType="separate"/>
      </w:r>
      <w:r w:rsidR="00E97DE4" w:rsidRPr="00246CD9">
        <w:rPr>
          <w:rFonts w:ascii="Times New Roman" w:hAnsi="Times New Roman" w:cs="Times New Roman"/>
          <w:sz w:val="24"/>
        </w:rPr>
        <w:t>[5]</w:t>
      </w:r>
      <w:r w:rsidR="00E97DE4" w:rsidRPr="00246CD9">
        <w:rPr>
          <w:rFonts w:ascii="Times New Roman" w:eastAsia="MS PGothic" w:hAnsi="Times New Roman" w:cs="Times New Roman"/>
          <w:color w:val="000000" w:themeColor="text1"/>
          <w:sz w:val="24"/>
          <w:szCs w:val="24"/>
          <w:lang w:val="en-US" w:eastAsia="ja-JP"/>
        </w:rPr>
        <w:fldChar w:fldCharType="end"/>
      </w:r>
      <w:r w:rsidRPr="00246CD9">
        <w:rPr>
          <w:rFonts w:ascii="Times New Roman" w:eastAsia="MS PGothic" w:hAnsi="Times New Roman" w:cs="Times New Roman"/>
          <w:color w:val="000000" w:themeColor="text1"/>
          <w:sz w:val="24"/>
          <w:szCs w:val="24"/>
          <w:lang w:val="en-US" w:eastAsia="ja-JP"/>
        </w:rPr>
        <w:t xml:space="preserve">)This decision-making approach did not provide for independent challenge or second checks by other groups within the organization as are seen for site ERC in the decisions to stop  Unit 1 Isolation Condensers, to stop </w:t>
      </w:r>
      <w:r w:rsidRPr="00246CD9">
        <w:rPr>
          <w:rFonts w:ascii="Times New Roman" w:hAnsi="Times New Roman" w:cs="Times New Roman"/>
          <w:color w:val="000000" w:themeColor="text1"/>
          <w:sz w:val="24"/>
          <w:szCs w:val="24"/>
        </w:rPr>
        <w:t xml:space="preserve">Unit 3 HPCI pump </w:t>
      </w:r>
      <w:r w:rsidRPr="00246CD9">
        <w:rPr>
          <w:rFonts w:ascii="Times New Roman" w:eastAsia="MS PGothic" w:hAnsi="Times New Roman" w:cs="Times New Roman"/>
          <w:color w:val="000000" w:themeColor="text1"/>
          <w:sz w:val="24"/>
          <w:szCs w:val="24"/>
        </w:rPr>
        <w:t xml:space="preserve">(INPO </w:t>
      </w:r>
      <w:r w:rsidR="004673C6">
        <w:rPr>
          <w:rFonts w:ascii="Times New Roman" w:eastAsia="MS PGothic" w:hAnsi="Times New Roman" w:cs="Times New Roman"/>
          <w:color w:val="000000" w:themeColor="text1"/>
          <w:sz w:val="24"/>
          <w:szCs w:val="24"/>
        </w:rPr>
        <w:fldChar w:fldCharType="begin"/>
      </w:r>
      <w:r w:rsidR="000A28BE">
        <w:rPr>
          <w:rFonts w:ascii="Times New Roman" w:eastAsia="MS PGothic" w:hAnsi="Times New Roman" w:cs="Times New Roman"/>
          <w:color w:val="000000" w:themeColor="text1"/>
          <w:sz w:val="24"/>
          <w:szCs w:val="24"/>
        </w:rPr>
        <w:instrText xml:space="preserve"> ADDIN ZOTERO_ITEM CSL_CITATION {"citationID":"nOOwVRB4","properties":{"formattedCitation":"[7]","plainCitation":"[7]","noteIndex":0},"citationItems":[{"id":1064,"uris":["http://zotero.org/users/6184040/items/KGHCPR5X"],"uri":["http://zotero.org/users/6184040/items/KGHCPR5X"],"itemData":{"id":1064,"type":"book","collection-number":"INPO 11-005 Addendum","title":"Lessons Learned from th Fukushima Daiichi Nuclear Power Station","author":[{"literal":"INSTITUTE OF NUCLEAR POWER OPERATIONS"}],"issued":{"date-parts":[["2012",8]]}}}],"schema":"https://github.com/citation-style-language/schema/raw/master/csl-citation.json"} </w:instrText>
      </w:r>
      <w:r w:rsidR="004673C6">
        <w:rPr>
          <w:rFonts w:ascii="Times New Roman" w:eastAsia="MS PGothic" w:hAnsi="Times New Roman" w:cs="Times New Roman"/>
          <w:color w:val="000000" w:themeColor="text1"/>
          <w:sz w:val="24"/>
          <w:szCs w:val="24"/>
        </w:rPr>
        <w:fldChar w:fldCharType="separate"/>
      </w:r>
      <w:r w:rsidR="004673C6" w:rsidRPr="004673C6">
        <w:rPr>
          <w:rFonts w:ascii="Times New Roman" w:hAnsi="Times New Roman" w:cs="Times New Roman"/>
          <w:sz w:val="24"/>
        </w:rPr>
        <w:t>[7]</w:t>
      </w:r>
      <w:r w:rsidR="004673C6">
        <w:rPr>
          <w:rFonts w:ascii="Times New Roman" w:eastAsia="MS PGothic" w:hAnsi="Times New Roman" w:cs="Times New Roman"/>
          <w:color w:val="000000" w:themeColor="text1"/>
          <w:sz w:val="24"/>
          <w:szCs w:val="24"/>
        </w:rPr>
        <w:fldChar w:fldCharType="end"/>
      </w:r>
      <w:r w:rsidRPr="00246CD9">
        <w:rPr>
          <w:rFonts w:ascii="Times New Roman" w:eastAsia="MS PGothic" w:hAnsi="Times New Roman" w:cs="Times New Roman"/>
          <w:color w:val="000000" w:themeColor="text1"/>
          <w:sz w:val="24"/>
          <w:szCs w:val="24"/>
        </w:rPr>
        <w:t>). Nuclear Division of Japanese Utilities as well as nuclear experts as a whole generally kept autonomy</w:t>
      </w:r>
      <w:r w:rsidRPr="009F4015">
        <w:rPr>
          <w:rStyle w:val="FootnoteReference"/>
          <w:rFonts w:ascii="Times New Roman" w:eastAsia="MS PGothic" w:hAnsi="Times New Roman" w:cs="Times New Roman"/>
          <w:color w:val="000000" w:themeColor="text1"/>
          <w:sz w:val="24"/>
          <w:szCs w:val="24"/>
          <w:lang w:val="en-US" w:eastAsia="ja-JP"/>
        </w:rPr>
        <w:footnoteReference w:id="2"/>
      </w:r>
      <w:r w:rsidRPr="00246CD9">
        <w:rPr>
          <w:rFonts w:ascii="Times New Roman" w:eastAsia="MS PGothic" w:hAnsi="Times New Roman" w:cs="Times New Roman"/>
          <w:color w:val="000000" w:themeColor="text1"/>
          <w:sz w:val="24"/>
          <w:szCs w:val="24"/>
        </w:rPr>
        <w:t xml:space="preserve"> by limited scrutiny from corporate level management and outside of the company to the level often </w:t>
      </w:r>
      <w:r w:rsidRPr="00246CD9">
        <w:rPr>
          <w:rFonts w:ascii="Times New Roman" w:eastAsia="MS PGothic" w:hAnsi="Times New Roman" w:cs="Times New Roman"/>
          <w:color w:val="000000" w:themeColor="text1"/>
          <w:sz w:val="24"/>
          <w:szCs w:val="24"/>
          <w:lang w:val="en-US" w:eastAsia="ja-JP"/>
        </w:rPr>
        <w:t>ridiculed as “nuclear village”</w:t>
      </w:r>
      <w:r w:rsidRPr="00246CD9">
        <w:rPr>
          <w:rFonts w:ascii="Times New Roman" w:eastAsia="MS PGothic" w:hAnsi="Times New Roman" w:cs="Times New Roman"/>
          <w:color w:val="000000" w:themeColor="text1"/>
          <w:sz w:val="24"/>
          <w:szCs w:val="24"/>
          <w:lang w:eastAsia="ja-JP"/>
        </w:rPr>
        <w:t>.</w:t>
      </w:r>
      <w:r w:rsidRPr="00246CD9">
        <w:rPr>
          <w:rFonts w:ascii="Times New Roman" w:eastAsia="MS PGothic" w:hAnsi="Times New Roman" w:cs="Times New Roman"/>
          <w:color w:val="000000" w:themeColor="text1"/>
          <w:sz w:val="24"/>
          <w:szCs w:val="24"/>
        </w:rPr>
        <w:t xml:space="preserve"> (Accident Investigation Report by Rebuild Japan, 2012</w:t>
      </w:r>
      <w:r w:rsidR="00545F86">
        <w:rPr>
          <w:rFonts w:ascii="Times New Roman" w:eastAsia="MS PGothic" w:hAnsi="Times New Roman" w:cs="Times New Roman"/>
          <w:color w:val="000000" w:themeColor="text1"/>
          <w:sz w:val="24"/>
          <w:szCs w:val="24"/>
        </w:rPr>
        <w:t xml:space="preserve"> </w:t>
      </w:r>
      <w:r w:rsidR="00545F86">
        <w:rPr>
          <w:rFonts w:ascii="Times New Roman" w:eastAsia="MS PGothic" w:hAnsi="Times New Roman" w:cs="Times New Roman"/>
          <w:color w:val="000000" w:themeColor="text1"/>
          <w:sz w:val="24"/>
          <w:szCs w:val="24"/>
        </w:rPr>
        <w:fldChar w:fldCharType="begin"/>
      </w:r>
      <w:r w:rsidR="00545F86">
        <w:rPr>
          <w:rFonts w:ascii="Times New Roman" w:eastAsia="MS PGothic" w:hAnsi="Times New Roman" w:cs="Times New Roman"/>
          <w:color w:val="000000" w:themeColor="text1"/>
          <w:sz w:val="24"/>
          <w:szCs w:val="24"/>
        </w:rPr>
        <w:instrText xml:space="preserve"> ADDIN ZOTERO_ITEM CSL_CITATION {"citationID":"m7Y87Qe1","properties":{"formattedCitation":"[6]","plainCitation":"[6]","noteIndex":0},"citationItems":[{"id":1063,"uris":["http://zotero.org/users/6184040/items/UDIPCUZS"],"uri":["http://zotero.org/users/6184040/items/UDIPCUZS"],"itemData":{"id":1063,"type":"book","title":"Independent Panel Report on the Fukushima Nuclear Accident","author":[{"literal":"Rebuilt Japan Initiative Foundation"}],"issued":{"date-parts":[["2012",3]]}}}],"schema":"https://github.com/citation-style-language/schema/raw/master/csl-citation.json"} </w:instrText>
      </w:r>
      <w:r w:rsidR="00545F86">
        <w:rPr>
          <w:rFonts w:ascii="Times New Roman" w:eastAsia="MS PGothic" w:hAnsi="Times New Roman" w:cs="Times New Roman"/>
          <w:color w:val="000000" w:themeColor="text1"/>
          <w:sz w:val="24"/>
          <w:szCs w:val="24"/>
        </w:rPr>
        <w:fldChar w:fldCharType="separate"/>
      </w:r>
      <w:r w:rsidR="00545F86" w:rsidRPr="00545F86">
        <w:rPr>
          <w:rFonts w:ascii="Times New Roman" w:hAnsi="Times New Roman" w:cs="Times New Roman"/>
          <w:sz w:val="24"/>
        </w:rPr>
        <w:t>[6]</w:t>
      </w:r>
      <w:r w:rsidR="00545F86">
        <w:rPr>
          <w:rFonts w:ascii="Times New Roman" w:eastAsia="MS PGothic" w:hAnsi="Times New Roman" w:cs="Times New Roman"/>
          <w:color w:val="000000" w:themeColor="text1"/>
          <w:sz w:val="24"/>
          <w:szCs w:val="24"/>
        </w:rPr>
        <w:fldChar w:fldCharType="end"/>
      </w:r>
      <w:r w:rsidRPr="00246CD9">
        <w:rPr>
          <w:rFonts w:ascii="Times New Roman" w:eastAsia="MS PGothic" w:hAnsi="Times New Roman" w:cs="Times New Roman"/>
          <w:color w:val="000000" w:themeColor="text1"/>
          <w:sz w:val="24"/>
          <w:szCs w:val="24"/>
        </w:rPr>
        <w:t>)</w:t>
      </w:r>
    </w:p>
    <w:p w14:paraId="074DAC7D" w14:textId="0E8DC5DF" w:rsidR="009F4015" w:rsidRPr="009F4015" w:rsidRDefault="009F4015" w:rsidP="00AC768F">
      <w:pPr>
        <w:pStyle w:val="Default"/>
        <w:numPr>
          <w:ilvl w:val="0"/>
          <w:numId w:val="11"/>
        </w:numPr>
        <w:autoSpaceDE/>
        <w:autoSpaceDN/>
        <w:adjustRightInd/>
        <w:snapToGrid w:val="0"/>
        <w:rPr>
          <w:rFonts w:ascii="Times New Roman" w:eastAsia="MS PGothic" w:hAnsi="Times New Roman" w:cs="Times New Roman"/>
          <w:color w:val="000000" w:themeColor="text1"/>
        </w:rPr>
      </w:pPr>
      <w:r w:rsidRPr="009F4015">
        <w:rPr>
          <w:rFonts w:ascii="Times New Roman" w:eastAsia="MS PGothic" w:hAnsi="Times New Roman" w:cs="Times New Roman"/>
          <w:color w:val="000000" w:themeColor="text1"/>
        </w:rPr>
        <w:t>No independent oversight nor external advisory group on nuclear safety has ever been installed in TEPCO (TEPCO’s reform plan</w:t>
      </w:r>
      <w:r w:rsidR="000E2AF0">
        <w:rPr>
          <w:rFonts w:ascii="Times New Roman" w:eastAsia="MS PGothic" w:hAnsi="Times New Roman" w:cs="Times New Roman"/>
          <w:color w:val="000000" w:themeColor="text1"/>
        </w:rPr>
        <w:t xml:space="preserve"> </w:t>
      </w:r>
      <w:r w:rsidR="000E2AF0">
        <w:rPr>
          <w:rFonts w:ascii="Times New Roman" w:eastAsia="MS PGothic" w:hAnsi="Times New Roman" w:cs="Times New Roman"/>
          <w:color w:val="000000" w:themeColor="text1"/>
        </w:rPr>
        <w:fldChar w:fldCharType="begin"/>
      </w:r>
      <w:r w:rsidR="000E2AF0">
        <w:rPr>
          <w:rFonts w:ascii="Times New Roman" w:eastAsia="MS PGothic" w:hAnsi="Times New Roman" w:cs="Times New Roman"/>
          <w:color w:val="000000" w:themeColor="text1"/>
        </w:rPr>
        <w:instrText xml:space="preserve"> ADDIN ZOTERO_ITEM CSL_CITATION {"citationID":"4L48tPIi","properties":{"formattedCitation":"[5]","plainCitation":"[5]","noteIndex":0},"citationItems":[{"id":1062,"uris":["http://zotero.org/users/6184040/items/3Z6ZN28N"],"uri":["http://zotero.org/users/6184040/items/3Z6ZN28N"],"itemData":{"id":1062,"type":"book","title":"Fukushima Nuclear Accident Summary  &amp; Nuclear Safety Reform Plan","author":[{"literal":"Tokyo Electric Power Company, Inc."}],"issued":{"date-parts":[["2013",3,29]]}}}],"schema":"https://github.com/citation-style-language/schema/raw/master/csl-citation.json"} </w:instrText>
      </w:r>
      <w:r w:rsidR="000E2AF0">
        <w:rPr>
          <w:rFonts w:ascii="Times New Roman" w:eastAsia="MS PGothic" w:hAnsi="Times New Roman" w:cs="Times New Roman"/>
          <w:color w:val="000000" w:themeColor="text1"/>
        </w:rPr>
        <w:fldChar w:fldCharType="separate"/>
      </w:r>
      <w:r w:rsidR="000E2AF0" w:rsidRPr="000E2AF0">
        <w:rPr>
          <w:rFonts w:ascii="Times New Roman" w:hAnsi="Times New Roman" w:cs="Times New Roman"/>
        </w:rPr>
        <w:t>[5]</w:t>
      </w:r>
      <w:r w:rsidR="000E2AF0">
        <w:rPr>
          <w:rFonts w:ascii="Times New Roman" w:eastAsia="MS PGothic" w:hAnsi="Times New Roman" w:cs="Times New Roman"/>
          <w:color w:val="000000" w:themeColor="text1"/>
        </w:rPr>
        <w:fldChar w:fldCharType="end"/>
      </w:r>
      <w:r w:rsidRPr="009F4015">
        <w:rPr>
          <w:rFonts w:ascii="Times New Roman" w:eastAsia="MS PGothic" w:hAnsi="Times New Roman" w:cs="Times New Roman"/>
          <w:color w:val="000000" w:themeColor="text1"/>
        </w:rPr>
        <w:t>)</w:t>
      </w:r>
      <w:r w:rsidRPr="009F4015">
        <w:rPr>
          <w:rFonts w:ascii="Times New Roman" w:eastAsia="MS PGothic" w:hAnsi="Times New Roman" w:cs="Times New Roman"/>
          <w:color w:val="000000" w:themeColor="text1"/>
          <w:vertAlign w:val="superscript"/>
        </w:rPr>
        <w:t xml:space="preserve"> </w:t>
      </w:r>
      <w:r w:rsidRPr="009F4015">
        <w:rPr>
          <w:rFonts w:ascii="Times New Roman" w:eastAsia="MS PGothic" w:hAnsi="Times New Roman" w:cs="Times New Roman"/>
          <w:color w:val="000000" w:themeColor="text1"/>
        </w:rPr>
        <w:t>except for the case of an advisory and training group after falsification issue of inspection records had surfaced in 2002(IAEA DG report</w:t>
      </w:r>
      <w:r w:rsidR="003B4FAF">
        <w:rPr>
          <w:rFonts w:ascii="Times New Roman" w:eastAsia="MS PGothic" w:hAnsi="Times New Roman" w:cs="Times New Roman"/>
          <w:color w:val="000000" w:themeColor="text1"/>
        </w:rPr>
        <w:t xml:space="preserve"> </w:t>
      </w:r>
      <w:r w:rsidR="003B4FAF">
        <w:rPr>
          <w:rFonts w:ascii="Times New Roman" w:eastAsia="MS PGothic" w:hAnsi="Times New Roman" w:cs="Times New Roman"/>
          <w:color w:val="000000" w:themeColor="text1"/>
        </w:rPr>
        <w:fldChar w:fldCharType="begin"/>
      </w:r>
      <w:r w:rsidR="003B4FAF">
        <w:rPr>
          <w:rFonts w:ascii="Times New Roman" w:eastAsia="MS PGothic" w:hAnsi="Times New Roman" w:cs="Times New Roman"/>
          <w:color w:val="000000" w:themeColor="text1"/>
        </w:rPr>
        <w:instrText xml:space="preserve"> ADDIN ZOTERO_ITEM CSL_CITATION {"citationID":"dn6NybfI","properties":{"formattedCitation":"[4]","plainCitation":"[4]","noteIndex":0},"citationItems":[{"id":1059,"uris":["http://zotero.org/users/6184040/items/I324TCZJ"],"uri":["http://zotero.org/users/6184040/items/I324TCZJ"],"itemData":{"id":1059,"type":"book","abstract":"The Fukushima Daiichi Accident consists of a Report by the IAEA Director General and five technical volumes. It is the result of an extensive international collaborative effort involving five working groups with about 180 experts from 42 Member States with and without nuclear power programmes and several international bodies. It provides a description of the accident and its causes, evolution and consequences, based on the evaluation of data and information from a large number of sources available at the time of writing","event-place":"Vienna","language":"en-GB","number-of-pages":"1254","publisher":"International Atomic Energy Agency","publisher-place":"Vienna","title":"The Fukushima Daiichi Accident","URL":"https://www.iaea.org/publications/10962/the-fukushima-daiichi-accident","author":[{"family":"International Atomic Energy Agency","given":""}],"issued":{"date-parts":[["2015"]]}}}],"schema":"https://github.com/citation-style-language/schema/raw/master/csl-citation.json"} </w:instrText>
      </w:r>
      <w:r w:rsidR="003B4FAF">
        <w:rPr>
          <w:rFonts w:ascii="Times New Roman" w:eastAsia="MS PGothic" w:hAnsi="Times New Roman" w:cs="Times New Roman"/>
          <w:color w:val="000000" w:themeColor="text1"/>
        </w:rPr>
        <w:fldChar w:fldCharType="separate"/>
      </w:r>
      <w:r w:rsidR="003B4FAF" w:rsidRPr="003B4FAF">
        <w:rPr>
          <w:rFonts w:ascii="Times New Roman" w:hAnsi="Times New Roman" w:cs="Times New Roman"/>
        </w:rPr>
        <w:t>[4]</w:t>
      </w:r>
      <w:r w:rsidR="003B4FAF">
        <w:rPr>
          <w:rFonts w:ascii="Times New Roman" w:eastAsia="MS PGothic" w:hAnsi="Times New Roman" w:cs="Times New Roman"/>
          <w:color w:val="000000" w:themeColor="text1"/>
        </w:rPr>
        <w:fldChar w:fldCharType="end"/>
      </w:r>
      <w:r w:rsidRPr="009F4015">
        <w:rPr>
          <w:rFonts w:ascii="Times New Roman" w:eastAsia="MS PGothic" w:hAnsi="Times New Roman" w:cs="Times New Roman"/>
          <w:color w:val="000000" w:themeColor="text1"/>
        </w:rPr>
        <w:t>). Oversight by regulatory body did not function well (IAEA DG report</w:t>
      </w:r>
      <w:r w:rsidR="003B4FAF">
        <w:rPr>
          <w:rFonts w:ascii="Times New Roman" w:eastAsia="MS PGothic" w:hAnsi="Times New Roman" w:cs="Times New Roman"/>
          <w:color w:val="000000" w:themeColor="text1"/>
        </w:rPr>
        <w:t xml:space="preserve"> </w:t>
      </w:r>
      <w:r w:rsidR="003B4FAF">
        <w:rPr>
          <w:rFonts w:ascii="Times New Roman" w:eastAsia="MS PGothic" w:hAnsi="Times New Roman" w:cs="Times New Roman"/>
          <w:color w:val="000000" w:themeColor="text1"/>
        </w:rPr>
        <w:fldChar w:fldCharType="begin"/>
      </w:r>
      <w:r w:rsidR="003B4FAF">
        <w:rPr>
          <w:rFonts w:ascii="Times New Roman" w:eastAsia="MS PGothic" w:hAnsi="Times New Roman" w:cs="Times New Roman"/>
          <w:color w:val="000000" w:themeColor="text1"/>
        </w:rPr>
        <w:instrText xml:space="preserve"> ADDIN ZOTERO_ITEM CSL_CITATION {"citationID":"R0NqSaYo","properties":{"formattedCitation":"[4]","plainCitation":"[4]","noteIndex":0},"citationItems":[{"id":1059,"uris":["http://zotero.org/users/6184040/items/I324TCZJ"],"uri":["http://zotero.org/users/6184040/items/I324TCZJ"],"itemData":{"id":1059,"type":"book","abstract":"The Fukushima Daiichi Accident consists of a Report by the IAEA Director General and five technical volumes. It is the result of an extensive international collaborative effort involving five working groups with about 180 experts from 42 Member States with and without nuclear power programmes and several international bodies. It provides a description of the accident and its causes, evolution and consequences, based on the evaluation of data and information from a large number of sources available at the time of writing","event-place":"Vienna","language":"en-GB","number-of-pages":"1254","publisher":"International Atomic Energy Agency","publisher-place":"Vienna","title":"The Fukushima Daiichi Accident","URL":"https://www.iaea.org/publications/10962/the-fukushima-daiichi-accident","author":[{"family":"International Atomic Energy Agency","given":""}],"issued":{"date-parts":[["2015"]]}}}],"schema":"https://github.com/citation-style-language/schema/raw/master/csl-citation.json"} </w:instrText>
      </w:r>
      <w:r w:rsidR="003B4FAF">
        <w:rPr>
          <w:rFonts w:ascii="Times New Roman" w:eastAsia="MS PGothic" w:hAnsi="Times New Roman" w:cs="Times New Roman"/>
          <w:color w:val="000000" w:themeColor="text1"/>
        </w:rPr>
        <w:fldChar w:fldCharType="separate"/>
      </w:r>
      <w:r w:rsidR="003B4FAF" w:rsidRPr="003B4FAF">
        <w:rPr>
          <w:rFonts w:ascii="Times New Roman" w:hAnsi="Times New Roman" w:cs="Times New Roman"/>
        </w:rPr>
        <w:t>[4]</w:t>
      </w:r>
      <w:r w:rsidR="003B4FAF">
        <w:rPr>
          <w:rFonts w:ascii="Times New Roman" w:eastAsia="MS PGothic" w:hAnsi="Times New Roman" w:cs="Times New Roman"/>
          <w:color w:val="000000" w:themeColor="text1"/>
        </w:rPr>
        <w:fldChar w:fldCharType="end"/>
      </w:r>
      <w:r w:rsidRPr="009F4015">
        <w:rPr>
          <w:rFonts w:ascii="Times New Roman" w:eastAsia="MS PGothic" w:hAnsi="Times New Roman" w:cs="Times New Roman"/>
          <w:color w:val="000000" w:themeColor="text1"/>
        </w:rPr>
        <w:t>)</w:t>
      </w:r>
    </w:p>
    <w:p w14:paraId="49DEEA49" w14:textId="18D759EE" w:rsidR="009F4015" w:rsidRPr="009F4015" w:rsidRDefault="009F4015" w:rsidP="00AC768F">
      <w:pPr>
        <w:pStyle w:val="ListParagraph"/>
        <w:numPr>
          <w:ilvl w:val="0"/>
          <w:numId w:val="11"/>
        </w:numPr>
        <w:overflowPunct/>
        <w:autoSpaceDE/>
        <w:autoSpaceDN/>
        <w:adjustRightInd/>
        <w:snapToGrid w:val="0"/>
        <w:spacing w:after="0" w:line="240" w:lineRule="auto"/>
        <w:contextualSpacing w:val="0"/>
        <w:jc w:val="left"/>
        <w:textAlignment w:val="auto"/>
        <w:rPr>
          <w:rFonts w:ascii="Times New Roman" w:eastAsia="MS PGothic" w:hAnsi="Times New Roman" w:cs="Times New Roman"/>
          <w:color w:val="000000" w:themeColor="text1"/>
          <w:sz w:val="24"/>
          <w:szCs w:val="24"/>
          <w:lang w:val="en-US" w:eastAsia="ja-JP"/>
        </w:rPr>
      </w:pPr>
      <w:r w:rsidRPr="009F4015">
        <w:rPr>
          <w:rFonts w:ascii="Times New Roman" w:eastAsia="MS PGothic" w:hAnsi="Times New Roman" w:cs="Times New Roman"/>
          <w:color w:val="000000" w:themeColor="text1"/>
          <w:sz w:val="24"/>
          <w:szCs w:val="24"/>
        </w:rPr>
        <w:t>Nurturing questioning attitude and raising concern was not a part of training</w:t>
      </w:r>
      <w:r w:rsidRPr="009F4015">
        <w:rPr>
          <w:rFonts w:ascii="Times New Roman" w:hAnsi="Times New Roman" w:cs="Times New Roman"/>
          <w:color w:val="000000" w:themeColor="text1"/>
          <w:sz w:val="24"/>
          <w:szCs w:val="24"/>
        </w:rPr>
        <w:t xml:space="preserve"> </w:t>
      </w:r>
      <w:r w:rsidRPr="009F4015">
        <w:rPr>
          <w:rFonts w:ascii="Times New Roman" w:eastAsia="MS PGothic" w:hAnsi="Times New Roman" w:cs="Times New Roman"/>
          <w:color w:val="000000" w:themeColor="text1"/>
          <w:sz w:val="24"/>
          <w:szCs w:val="24"/>
        </w:rPr>
        <w:t xml:space="preserve">(INPO </w:t>
      </w:r>
      <w:r w:rsidR="00545F86">
        <w:rPr>
          <w:rFonts w:ascii="Times New Roman" w:eastAsia="MS PGothic" w:hAnsi="Times New Roman" w:cs="Times New Roman"/>
          <w:color w:val="000000" w:themeColor="text1"/>
          <w:sz w:val="24"/>
          <w:szCs w:val="24"/>
        </w:rPr>
        <w:fldChar w:fldCharType="begin"/>
      </w:r>
      <w:r w:rsidR="000A28BE">
        <w:rPr>
          <w:rFonts w:ascii="Times New Roman" w:eastAsia="MS PGothic" w:hAnsi="Times New Roman" w:cs="Times New Roman"/>
          <w:color w:val="000000" w:themeColor="text1"/>
          <w:sz w:val="24"/>
          <w:szCs w:val="24"/>
        </w:rPr>
        <w:instrText xml:space="preserve"> ADDIN ZOTERO_ITEM CSL_CITATION {"citationID":"YmFGAUZW","properties":{"formattedCitation":"[7]","plainCitation":"[7]","noteIndex":0},"citationItems":[{"id":1064,"uris":["http://zotero.org/users/6184040/items/KGHCPR5X"],"uri":["http://zotero.org/users/6184040/items/KGHCPR5X"],"itemData":{"id":1064,"type":"book","collection-number":"INPO 11-005 Addendum","title":"Lessons Learned from th Fukushima Daiichi Nuclear Power Station","author":[{"literal":"INSTITUTE OF NUCLEAR POWER OPERATIONS"}],"issued":{"date-parts":[["2012",8]]}}}],"schema":"https://github.com/citation-style-language/schema/raw/master/csl-citation.json"} </w:instrText>
      </w:r>
      <w:r w:rsidR="00545F86">
        <w:rPr>
          <w:rFonts w:ascii="Times New Roman" w:eastAsia="MS PGothic" w:hAnsi="Times New Roman" w:cs="Times New Roman"/>
          <w:color w:val="000000" w:themeColor="text1"/>
          <w:sz w:val="24"/>
          <w:szCs w:val="24"/>
        </w:rPr>
        <w:fldChar w:fldCharType="separate"/>
      </w:r>
      <w:r w:rsidR="00545F86" w:rsidRPr="00545F86">
        <w:rPr>
          <w:rFonts w:ascii="Times New Roman" w:hAnsi="Times New Roman" w:cs="Times New Roman"/>
          <w:sz w:val="24"/>
        </w:rPr>
        <w:t>[7]</w:t>
      </w:r>
      <w:r w:rsidR="00545F86">
        <w:rPr>
          <w:rFonts w:ascii="Times New Roman" w:eastAsia="MS PGothic" w:hAnsi="Times New Roman" w:cs="Times New Roman"/>
          <w:color w:val="000000" w:themeColor="text1"/>
          <w:sz w:val="24"/>
          <w:szCs w:val="24"/>
        </w:rPr>
        <w:fldChar w:fldCharType="end"/>
      </w:r>
      <w:r w:rsidRPr="009F4015">
        <w:rPr>
          <w:rFonts w:ascii="Times New Roman" w:eastAsia="MS PGothic" w:hAnsi="Times New Roman" w:cs="Times New Roman"/>
          <w:color w:val="000000" w:themeColor="text1"/>
          <w:sz w:val="24"/>
          <w:szCs w:val="24"/>
        </w:rPr>
        <w:t>)</w:t>
      </w:r>
    </w:p>
    <w:p w14:paraId="07CED92D" w14:textId="4D6509AF" w:rsidR="009F4015" w:rsidRPr="009F4015" w:rsidRDefault="009F4015" w:rsidP="00AC768F">
      <w:pPr>
        <w:pStyle w:val="ListParagraph"/>
        <w:widowControl w:val="0"/>
        <w:numPr>
          <w:ilvl w:val="0"/>
          <w:numId w:val="11"/>
        </w:numPr>
        <w:overflowPunct/>
        <w:snapToGrid w:val="0"/>
        <w:spacing w:after="0" w:line="240" w:lineRule="auto"/>
        <w:contextualSpacing w:val="0"/>
        <w:jc w:val="left"/>
        <w:textAlignment w:val="auto"/>
        <w:rPr>
          <w:rFonts w:ascii="Times New Roman" w:hAnsi="Times New Roman" w:cs="Times New Roman"/>
          <w:color w:val="000000" w:themeColor="text1"/>
          <w:sz w:val="24"/>
          <w:szCs w:val="24"/>
          <w:lang w:val="en-US" w:eastAsia="ja-JP"/>
        </w:rPr>
      </w:pPr>
      <w:r w:rsidRPr="009F4015">
        <w:rPr>
          <w:rFonts w:ascii="Times New Roman" w:hAnsi="Times New Roman" w:cs="Times New Roman"/>
          <w:color w:val="000000" w:themeColor="text1"/>
          <w:sz w:val="24"/>
          <w:szCs w:val="24"/>
          <w:lang w:val="en-US" w:eastAsia="ja-JP"/>
        </w:rPr>
        <w:t>Reduced sense of ownership for resolving potential nuclear safety issues in a timely manner (INPO</w:t>
      </w:r>
      <w:r w:rsidR="000E2AF0">
        <w:rPr>
          <w:rFonts w:ascii="Times New Roman" w:hAnsi="Times New Roman" w:cs="Times New Roman"/>
          <w:color w:val="000000" w:themeColor="text1"/>
          <w:sz w:val="24"/>
          <w:szCs w:val="24"/>
          <w:lang w:val="en-US" w:eastAsia="ja-JP"/>
        </w:rPr>
        <w:t xml:space="preserve"> </w:t>
      </w:r>
      <w:r w:rsidR="000E2AF0">
        <w:rPr>
          <w:rFonts w:ascii="Times New Roman" w:hAnsi="Times New Roman" w:cs="Times New Roman"/>
          <w:color w:val="000000" w:themeColor="text1"/>
          <w:sz w:val="24"/>
          <w:szCs w:val="24"/>
          <w:lang w:val="en-US" w:eastAsia="ja-JP"/>
        </w:rPr>
        <w:fldChar w:fldCharType="begin"/>
      </w:r>
      <w:r w:rsidR="000A28BE">
        <w:rPr>
          <w:rFonts w:ascii="Times New Roman" w:hAnsi="Times New Roman" w:cs="Times New Roman"/>
          <w:color w:val="000000" w:themeColor="text1"/>
          <w:sz w:val="24"/>
          <w:szCs w:val="24"/>
          <w:lang w:val="en-US" w:eastAsia="ja-JP"/>
        </w:rPr>
        <w:instrText xml:space="preserve"> ADDIN ZOTERO_ITEM CSL_CITATION {"citationID":"3cUoo224","properties":{"formattedCitation":"[7]","plainCitation":"[7]","noteIndex":0},"citationItems":[{"id":1064,"uris":["http://zotero.org/users/6184040/items/KGHCPR5X"],"uri":["http://zotero.org/users/6184040/items/KGHCPR5X"],"itemData":{"id":1064,"type":"book","collection-number":"INPO 11-005 Addendum","title":"Lessons Learned from th Fukushima Daiichi Nuclear Power Station","author":[{"literal":"INSTITUTE OF NUCLEAR POWER OPERATIONS"}],"issued":{"date-parts":[["2012",8]]}}}],"schema":"https://github.com/citation-style-language/schema/raw/master/csl-citation.json"} </w:instrText>
      </w:r>
      <w:r w:rsidR="000E2AF0">
        <w:rPr>
          <w:rFonts w:ascii="Times New Roman" w:hAnsi="Times New Roman" w:cs="Times New Roman"/>
          <w:color w:val="000000" w:themeColor="text1"/>
          <w:sz w:val="24"/>
          <w:szCs w:val="24"/>
          <w:lang w:val="en-US" w:eastAsia="ja-JP"/>
        </w:rPr>
        <w:fldChar w:fldCharType="separate"/>
      </w:r>
      <w:r w:rsidR="000E2AF0" w:rsidRPr="000E2AF0">
        <w:rPr>
          <w:rFonts w:ascii="Times New Roman" w:hAnsi="Times New Roman" w:cs="Times New Roman"/>
          <w:sz w:val="24"/>
        </w:rPr>
        <w:t>[7]</w:t>
      </w:r>
      <w:r w:rsidR="000E2AF0">
        <w:rPr>
          <w:rFonts w:ascii="Times New Roman" w:hAnsi="Times New Roman" w:cs="Times New Roman"/>
          <w:color w:val="000000" w:themeColor="text1"/>
          <w:sz w:val="24"/>
          <w:szCs w:val="24"/>
          <w:lang w:val="en-US" w:eastAsia="ja-JP"/>
        </w:rPr>
        <w:fldChar w:fldCharType="end"/>
      </w:r>
      <w:r w:rsidRPr="009F4015">
        <w:rPr>
          <w:rFonts w:ascii="Times New Roman" w:hAnsi="Times New Roman" w:cs="Times New Roman"/>
          <w:color w:val="000000" w:themeColor="text1"/>
          <w:sz w:val="24"/>
          <w:szCs w:val="24"/>
          <w:lang w:val="en-US" w:eastAsia="ja-JP"/>
        </w:rPr>
        <w:t>)</w:t>
      </w:r>
    </w:p>
    <w:p w14:paraId="256E40FB" w14:textId="69CBBB04" w:rsidR="009F4015" w:rsidRPr="009F4015" w:rsidRDefault="009F4015" w:rsidP="00AC768F">
      <w:pPr>
        <w:pStyle w:val="ListParagraph"/>
        <w:numPr>
          <w:ilvl w:val="0"/>
          <w:numId w:val="11"/>
        </w:numPr>
        <w:overflowPunct/>
        <w:autoSpaceDE/>
        <w:autoSpaceDN/>
        <w:adjustRightInd/>
        <w:snapToGrid w:val="0"/>
        <w:spacing w:after="0" w:line="240" w:lineRule="auto"/>
        <w:contextualSpacing w:val="0"/>
        <w:jc w:val="left"/>
        <w:textAlignment w:val="auto"/>
        <w:rPr>
          <w:rFonts w:ascii="Times New Roman" w:eastAsia="MS PGothic" w:hAnsi="Times New Roman" w:cs="Times New Roman"/>
          <w:color w:val="000000" w:themeColor="text1"/>
          <w:sz w:val="24"/>
          <w:szCs w:val="24"/>
        </w:rPr>
      </w:pPr>
      <w:r w:rsidRPr="009F4015">
        <w:rPr>
          <w:rFonts w:ascii="Times New Roman" w:eastAsia="MS PGothic" w:hAnsi="Times New Roman" w:cs="Times New Roman"/>
          <w:color w:val="000000" w:themeColor="text1"/>
          <w:sz w:val="24"/>
          <w:szCs w:val="24"/>
        </w:rPr>
        <w:lastRenderedPageBreak/>
        <w:t>TEPCO had multiple unit installation for its three nuclear plant sites and the number of staffers was significantly low as compared with global standards (IAEA TECDOC-1052</w:t>
      </w:r>
      <w:r w:rsidR="00EF5208">
        <w:rPr>
          <w:rFonts w:ascii="Times New Roman" w:eastAsia="MS PGothic" w:hAnsi="Times New Roman" w:cs="Times New Roman"/>
          <w:color w:val="000000" w:themeColor="text1"/>
          <w:sz w:val="24"/>
          <w:szCs w:val="24"/>
        </w:rPr>
        <w:t xml:space="preserve"> </w:t>
      </w:r>
      <w:r w:rsidR="00EF5208">
        <w:rPr>
          <w:rFonts w:ascii="Times New Roman" w:eastAsia="MS PGothic" w:hAnsi="Times New Roman" w:cs="Times New Roman"/>
          <w:color w:val="000000" w:themeColor="text1"/>
          <w:sz w:val="24"/>
          <w:szCs w:val="24"/>
        </w:rPr>
        <w:fldChar w:fldCharType="begin"/>
      </w:r>
      <w:r w:rsidR="00EF5208">
        <w:rPr>
          <w:rFonts w:ascii="Times New Roman" w:eastAsia="MS PGothic" w:hAnsi="Times New Roman" w:cs="Times New Roman"/>
          <w:color w:val="000000" w:themeColor="text1"/>
          <w:sz w:val="24"/>
          <w:szCs w:val="24"/>
        </w:rPr>
        <w:instrText xml:space="preserve"> ADDIN ZOTERO_ITEM CSL_CITATION {"citationID":"LY17bZKa","properties":{"formattedCitation":"[9]","plainCitation":"[9]","noteIndex":0},"citationItems":[{"id":1066,"uris":["http://zotero.org/users/6184040/items/3AAKXLCZ"],"uri":["http://zotero.org/users/6184040/items/3AAKXLCZ"],"itemData":{"id":1066,"type":"book","collection-number":"IAEA-TECDOC-1052","event-place":"Vienna","language":"en-US","number-of-pages":"87","publisher":"IAEA","publisher-place":"Vienna","title":"Nuclear power plant organization and staffing for improved performance: lessons learned","title-short":"organization and staffing for improved performance","URL":"https://www-pub.iaea.org/MTCD/publications/PDF/te_1052_prn.pdf","author":[{"family":"International Atomic Energy Agency","given":""}],"issued":{"date-parts":[["1998"]]}}}],"schema":"https://github.com/citation-style-language/schema/raw/master/csl-citation.json"} </w:instrText>
      </w:r>
      <w:r w:rsidR="00EF5208">
        <w:rPr>
          <w:rFonts w:ascii="Times New Roman" w:eastAsia="MS PGothic" w:hAnsi="Times New Roman" w:cs="Times New Roman"/>
          <w:color w:val="000000" w:themeColor="text1"/>
          <w:sz w:val="24"/>
          <w:szCs w:val="24"/>
        </w:rPr>
        <w:fldChar w:fldCharType="separate"/>
      </w:r>
      <w:r w:rsidR="00EF5208" w:rsidRPr="00EF5208">
        <w:rPr>
          <w:rFonts w:ascii="Times New Roman" w:hAnsi="Times New Roman" w:cs="Times New Roman"/>
          <w:sz w:val="24"/>
        </w:rPr>
        <w:t>[9]</w:t>
      </w:r>
      <w:r w:rsidR="00EF5208">
        <w:rPr>
          <w:rFonts w:ascii="Times New Roman" w:eastAsia="MS PGothic" w:hAnsi="Times New Roman" w:cs="Times New Roman"/>
          <w:color w:val="000000" w:themeColor="text1"/>
          <w:sz w:val="24"/>
          <w:szCs w:val="24"/>
        </w:rPr>
        <w:fldChar w:fldCharType="end"/>
      </w:r>
      <w:r w:rsidRPr="009F4015">
        <w:rPr>
          <w:rFonts w:ascii="Times New Roman" w:eastAsia="MS PGothic" w:hAnsi="Times New Roman" w:cs="Times New Roman"/>
          <w:color w:val="000000" w:themeColor="text1"/>
          <w:sz w:val="24"/>
          <w:szCs w:val="24"/>
        </w:rPr>
        <w:t>), presumably due to size effect and heavy outsourcing to Contractors and Sub-contractors for practical works. Outsourcing to Contractors and Sub-contractors was recognized at the time of accident (INPO</w:t>
      </w:r>
      <w:r w:rsidR="00C05F7C">
        <w:rPr>
          <w:rFonts w:ascii="Times New Roman" w:eastAsia="MS PGothic" w:hAnsi="Times New Roman" w:cs="Times New Roman"/>
          <w:color w:val="000000" w:themeColor="text1"/>
          <w:sz w:val="24"/>
          <w:szCs w:val="24"/>
        </w:rPr>
        <w:t xml:space="preserve"> </w:t>
      </w:r>
      <w:r w:rsidR="00C05F7C">
        <w:rPr>
          <w:rFonts w:ascii="Times New Roman" w:eastAsia="MS PGothic" w:hAnsi="Times New Roman" w:cs="Times New Roman"/>
          <w:color w:val="000000" w:themeColor="text1"/>
          <w:sz w:val="24"/>
          <w:szCs w:val="24"/>
        </w:rPr>
        <w:fldChar w:fldCharType="begin"/>
      </w:r>
      <w:r w:rsidR="000A28BE">
        <w:rPr>
          <w:rFonts w:ascii="Times New Roman" w:eastAsia="MS PGothic" w:hAnsi="Times New Roman" w:cs="Times New Roman"/>
          <w:color w:val="000000" w:themeColor="text1"/>
          <w:sz w:val="24"/>
          <w:szCs w:val="24"/>
        </w:rPr>
        <w:instrText xml:space="preserve"> ADDIN ZOTERO_ITEM CSL_CITATION {"citationID":"tvJbTu9v","properties":{"formattedCitation":"[7]","plainCitation":"[7]","noteIndex":0},"citationItems":[{"id":1064,"uris":["http://zotero.org/users/6184040/items/KGHCPR5X"],"uri":["http://zotero.org/users/6184040/items/KGHCPR5X"],"itemData":{"id":1064,"type":"book","collection-number":"INPO 11-005 Addendum","title":"Lessons Learned from th Fukushima Daiichi Nuclear Power Station","author":[{"literal":"INSTITUTE OF NUCLEAR POWER OPERATIONS"}],"issued":{"date-parts":[["2012",8]]}}}],"schema":"https://github.com/citation-style-language/schema/raw/master/csl-citation.json"} </w:instrText>
      </w:r>
      <w:r w:rsidR="00C05F7C">
        <w:rPr>
          <w:rFonts w:ascii="Times New Roman" w:eastAsia="MS PGothic" w:hAnsi="Times New Roman" w:cs="Times New Roman"/>
          <w:color w:val="000000" w:themeColor="text1"/>
          <w:sz w:val="24"/>
          <w:szCs w:val="24"/>
        </w:rPr>
        <w:fldChar w:fldCharType="separate"/>
      </w:r>
      <w:r w:rsidR="00C05F7C" w:rsidRPr="00C05F7C">
        <w:rPr>
          <w:rFonts w:ascii="Times New Roman" w:hAnsi="Times New Roman" w:cs="Times New Roman"/>
          <w:sz w:val="24"/>
        </w:rPr>
        <w:t>[7]</w:t>
      </w:r>
      <w:r w:rsidR="00C05F7C">
        <w:rPr>
          <w:rFonts w:ascii="Times New Roman" w:eastAsia="MS PGothic" w:hAnsi="Times New Roman" w:cs="Times New Roman"/>
          <w:color w:val="000000" w:themeColor="text1"/>
          <w:sz w:val="24"/>
          <w:szCs w:val="24"/>
        </w:rPr>
        <w:fldChar w:fldCharType="end"/>
      </w:r>
      <w:r w:rsidRPr="009F4015">
        <w:rPr>
          <w:rFonts w:ascii="Times New Roman" w:eastAsia="MS PGothic" w:hAnsi="Times New Roman" w:cs="Times New Roman"/>
          <w:color w:val="000000" w:themeColor="text1"/>
          <w:sz w:val="24"/>
          <w:szCs w:val="24"/>
        </w:rPr>
        <w:t>, Japanese Diet’s accident investigation report</w:t>
      </w:r>
      <w:r w:rsidR="00C05F7C">
        <w:rPr>
          <w:rFonts w:ascii="Times New Roman" w:eastAsia="MS PGothic" w:hAnsi="Times New Roman" w:cs="Times New Roman"/>
          <w:color w:val="000000" w:themeColor="text1"/>
          <w:sz w:val="24"/>
          <w:szCs w:val="24"/>
        </w:rPr>
        <w:t xml:space="preserve"> </w:t>
      </w:r>
      <w:r w:rsidR="00C05F7C">
        <w:rPr>
          <w:rFonts w:ascii="Times New Roman" w:eastAsia="MS PGothic" w:hAnsi="Times New Roman" w:cs="Times New Roman"/>
          <w:color w:val="000000" w:themeColor="text1"/>
          <w:sz w:val="24"/>
          <w:szCs w:val="24"/>
        </w:rPr>
        <w:fldChar w:fldCharType="begin"/>
      </w:r>
      <w:r w:rsidR="00C05F7C">
        <w:rPr>
          <w:rFonts w:ascii="Times New Roman" w:eastAsia="MS PGothic" w:hAnsi="Times New Roman" w:cs="Times New Roman"/>
          <w:color w:val="000000" w:themeColor="text1"/>
          <w:sz w:val="24"/>
          <w:szCs w:val="24"/>
        </w:rPr>
        <w:instrText xml:space="preserve"> ADDIN ZOTERO_ITEM CSL_CITATION {"citationID":"3L0swThh","properties":{"formattedCitation":"[8]","plainCitation":"[8]","noteIndex":0},"citationItems":[{"id":1065,"uris":["http://zotero.org/users/6184040/items/52IC5ICC"],"uri":["http://zotero.org/users/6184040/items/52IC5ICC"],"itemData":{"id":1065,"type":"book","publisher":"The National Diet of Japan","title":"The official report of The Fukushima Nuclear Accident Independent Investigation Commission","author":[{"literal":"The National Diet of Japan"}],"issued":{"date-parts":[["2012"]]}}}],"schema":"https://github.com/citation-style-language/schema/raw/master/csl-citation.json"} </w:instrText>
      </w:r>
      <w:r w:rsidR="00C05F7C">
        <w:rPr>
          <w:rFonts w:ascii="Times New Roman" w:eastAsia="MS PGothic" w:hAnsi="Times New Roman" w:cs="Times New Roman"/>
          <w:color w:val="000000" w:themeColor="text1"/>
          <w:sz w:val="24"/>
          <w:szCs w:val="24"/>
        </w:rPr>
        <w:fldChar w:fldCharType="separate"/>
      </w:r>
      <w:r w:rsidR="00C05F7C" w:rsidRPr="00C05F7C">
        <w:rPr>
          <w:rFonts w:ascii="Times New Roman" w:hAnsi="Times New Roman" w:cs="Times New Roman"/>
          <w:sz w:val="24"/>
        </w:rPr>
        <w:t>[8]</w:t>
      </w:r>
      <w:r w:rsidR="00C05F7C">
        <w:rPr>
          <w:rFonts w:ascii="Times New Roman" w:eastAsia="MS PGothic" w:hAnsi="Times New Roman" w:cs="Times New Roman"/>
          <w:color w:val="000000" w:themeColor="text1"/>
          <w:sz w:val="24"/>
          <w:szCs w:val="24"/>
        </w:rPr>
        <w:fldChar w:fldCharType="end"/>
      </w:r>
      <w:r w:rsidRPr="009F4015">
        <w:rPr>
          <w:rFonts w:ascii="Times New Roman" w:eastAsia="MS PGothic" w:hAnsi="Times New Roman" w:cs="Times New Roman"/>
          <w:color w:val="000000" w:themeColor="text1"/>
          <w:sz w:val="24"/>
          <w:szCs w:val="24"/>
        </w:rPr>
        <w:t>). There is a concern that his heavy outsourcing, generally speaking, tends to</w:t>
      </w:r>
      <w:r w:rsidRPr="002C276F">
        <w:rPr>
          <w:rFonts w:ascii="Times New Roman" w:eastAsia="MS PGothic" w:hAnsi="Times New Roman" w:cs="Times New Roman"/>
          <w:sz w:val="24"/>
          <w:szCs w:val="24"/>
        </w:rPr>
        <w:t xml:space="preserve"> lead </w:t>
      </w:r>
      <w:r w:rsidRPr="009F4015">
        <w:rPr>
          <w:rFonts w:ascii="Times New Roman" w:eastAsia="MS PGothic" w:hAnsi="Times New Roman" w:cs="Times New Roman"/>
          <w:color w:val="000000" w:themeColor="text1"/>
          <w:sz w:val="24"/>
          <w:szCs w:val="24"/>
        </w:rPr>
        <w:t>to reduced level of ownership, governance</w:t>
      </w:r>
      <w:r w:rsidRPr="009F4015">
        <w:rPr>
          <w:rStyle w:val="FootnoteReference"/>
          <w:rFonts w:ascii="Times New Roman" w:eastAsia="MS PGothic" w:hAnsi="Times New Roman" w:cs="Times New Roman"/>
          <w:color w:val="000000" w:themeColor="text1"/>
          <w:sz w:val="24"/>
          <w:szCs w:val="24"/>
        </w:rPr>
        <w:footnoteReference w:id="3"/>
      </w:r>
      <w:r w:rsidRPr="009F4015">
        <w:rPr>
          <w:rFonts w:ascii="Times New Roman" w:eastAsia="MS PGothic" w:hAnsi="Times New Roman" w:cs="Times New Roman"/>
          <w:color w:val="000000" w:themeColor="text1"/>
          <w:sz w:val="24"/>
          <w:szCs w:val="24"/>
        </w:rPr>
        <w:t xml:space="preserve"> and technical competence, sense of responsibility, design knowledge training, risk management capability.</w:t>
      </w:r>
    </w:p>
    <w:p w14:paraId="11BFA86A" w14:textId="10CF0255" w:rsidR="009F4015" w:rsidRPr="009F4015" w:rsidRDefault="009F4015" w:rsidP="00AC768F">
      <w:pPr>
        <w:pStyle w:val="ListParagraph"/>
        <w:numPr>
          <w:ilvl w:val="0"/>
          <w:numId w:val="11"/>
        </w:numPr>
        <w:overflowPunct/>
        <w:autoSpaceDE/>
        <w:autoSpaceDN/>
        <w:adjustRightInd/>
        <w:snapToGrid w:val="0"/>
        <w:spacing w:after="0" w:line="240" w:lineRule="auto"/>
        <w:contextualSpacing w:val="0"/>
        <w:jc w:val="left"/>
        <w:textAlignment w:val="auto"/>
        <w:rPr>
          <w:rFonts w:ascii="Times New Roman" w:eastAsia="MS PGothic" w:hAnsi="Times New Roman" w:cs="Times New Roman"/>
          <w:color w:val="000000" w:themeColor="text1"/>
          <w:sz w:val="24"/>
          <w:szCs w:val="24"/>
        </w:rPr>
      </w:pPr>
      <w:r w:rsidRPr="009F4015">
        <w:rPr>
          <w:rFonts w:ascii="Times New Roman" w:eastAsia="MS PGothic" w:hAnsi="Times New Roman" w:cs="Times New Roman"/>
          <w:color w:val="000000" w:themeColor="text1"/>
          <w:sz w:val="24"/>
          <w:szCs w:val="24"/>
        </w:rPr>
        <w:t>Limited governance by corporate management on nuclear issues as a whole by allowing sort of autonomy to Nuclear Division</w:t>
      </w:r>
      <w:r w:rsidR="002C276F">
        <w:rPr>
          <w:rFonts w:ascii="Times New Roman" w:eastAsia="MS PGothic" w:hAnsi="Times New Roman" w:cs="Times New Roman"/>
          <w:color w:val="000000" w:themeColor="text1"/>
          <w:sz w:val="24"/>
          <w:szCs w:val="24"/>
        </w:rPr>
        <w:t xml:space="preserve"> </w:t>
      </w:r>
      <w:r w:rsidRPr="009F4015">
        <w:rPr>
          <w:rFonts w:ascii="Times New Roman" w:eastAsia="MS PGothic" w:hAnsi="Times New Roman" w:cs="Times New Roman"/>
          <w:color w:val="000000" w:themeColor="text1"/>
          <w:sz w:val="24"/>
          <w:szCs w:val="24"/>
        </w:rPr>
        <w:t>(TEPCO reform plan report</w:t>
      </w:r>
      <w:r w:rsidR="00C57733">
        <w:rPr>
          <w:rFonts w:ascii="Times New Roman" w:eastAsia="MS PGothic" w:hAnsi="Times New Roman" w:cs="Times New Roman"/>
          <w:color w:val="000000" w:themeColor="text1"/>
          <w:sz w:val="24"/>
          <w:szCs w:val="24"/>
        </w:rPr>
        <w:t xml:space="preserve"> </w:t>
      </w:r>
      <w:r w:rsidR="00C57733">
        <w:rPr>
          <w:rFonts w:ascii="Times New Roman" w:eastAsia="MS PGothic" w:hAnsi="Times New Roman" w:cs="Times New Roman"/>
          <w:color w:val="000000" w:themeColor="text1"/>
          <w:sz w:val="24"/>
          <w:szCs w:val="24"/>
        </w:rPr>
        <w:fldChar w:fldCharType="begin"/>
      </w:r>
      <w:r w:rsidR="00C57733">
        <w:rPr>
          <w:rFonts w:ascii="Times New Roman" w:eastAsia="MS PGothic" w:hAnsi="Times New Roman" w:cs="Times New Roman"/>
          <w:color w:val="000000" w:themeColor="text1"/>
          <w:sz w:val="24"/>
          <w:szCs w:val="24"/>
        </w:rPr>
        <w:instrText xml:space="preserve"> ADDIN ZOTERO_ITEM CSL_CITATION {"citationID":"LMz5HgFK","properties":{"formattedCitation":"[5]","plainCitation":"[5]","noteIndex":0},"citationItems":[{"id":1062,"uris":["http://zotero.org/users/6184040/items/3Z6ZN28N"],"uri":["http://zotero.org/users/6184040/items/3Z6ZN28N"],"itemData":{"id":1062,"type":"book","title":"Fukushima Nuclear Accident Summary  &amp; Nuclear Safety Reform Plan","author":[{"literal":"Tokyo Electric Power Company, Inc."}],"issued":{"date-parts":[["2013",3,29]]}}}],"schema":"https://github.com/citation-style-language/schema/raw/master/csl-citation.json"} </w:instrText>
      </w:r>
      <w:r w:rsidR="00C57733">
        <w:rPr>
          <w:rFonts w:ascii="Times New Roman" w:eastAsia="MS PGothic" w:hAnsi="Times New Roman" w:cs="Times New Roman"/>
          <w:color w:val="000000" w:themeColor="text1"/>
          <w:sz w:val="24"/>
          <w:szCs w:val="24"/>
        </w:rPr>
        <w:fldChar w:fldCharType="separate"/>
      </w:r>
      <w:r w:rsidR="00C57733" w:rsidRPr="00C57733">
        <w:rPr>
          <w:rFonts w:ascii="Times New Roman" w:hAnsi="Times New Roman" w:cs="Times New Roman"/>
          <w:sz w:val="24"/>
        </w:rPr>
        <w:t>[5]</w:t>
      </w:r>
      <w:r w:rsidR="00C57733">
        <w:rPr>
          <w:rFonts w:ascii="Times New Roman" w:eastAsia="MS PGothic" w:hAnsi="Times New Roman" w:cs="Times New Roman"/>
          <w:color w:val="000000" w:themeColor="text1"/>
          <w:sz w:val="24"/>
          <w:szCs w:val="24"/>
        </w:rPr>
        <w:fldChar w:fldCharType="end"/>
      </w:r>
      <w:r w:rsidRPr="009F4015">
        <w:rPr>
          <w:rFonts w:ascii="Times New Roman" w:eastAsia="MS PGothic" w:hAnsi="Times New Roman" w:cs="Times New Roman"/>
          <w:color w:val="000000" w:themeColor="text1"/>
          <w:sz w:val="24"/>
          <w:szCs w:val="24"/>
          <w:lang w:val="en-US" w:eastAsia="ja-JP"/>
        </w:rPr>
        <w:t>).</w:t>
      </w:r>
    </w:p>
    <w:p w14:paraId="00ACAC13" w14:textId="305D019C" w:rsidR="009F4015" w:rsidRPr="009F4015" w:rsidRDefault="009F4015" w:rsidP="00AC768F">
      <w:pPr>
        <w:pStyle w:val="Default"/>
        <w:numPr>
          <w:ilvl w:val="0"/>
          <w:numId w:val="11"/>
        </w:numPr>
        <w:autoSpaceDE/>
        <w:autoSpaceDN/>
        <w:adjustRightInd/>
        <w:snapToGrid w:val="0"/>
        <w:rPr>
          <w:rFonts w:ascii="Times New Roman" w:eastAsia="MS PGothic" w:hAnsi="Times New Roman" w:cs="Times New Roman"/>
          <w:color w:val="000000" w:themeColor="text1"/>
        </w:rPr>
      </w:pPr>
      <w:r w:rsidRPr="009F4015">
        <w:rPr>
          <w:rFonts w:ascii="Times New Roman" w:eastAsia="MS PGothic" w:hAnsi="Times New Roman" w:cs="Times New Roman"/>
          <w:color w:val="000000" w:themeColor="text1"/>
        </w:rPr>
        <w:t>Limited risk communication with the public (IAEA DG report</w:t>
      </w:r>
      <w:r w:rsidR="00AB4C77">
        <w:rPr>
          <w:rFonts w:ascii="Times New Roman" w:eastAsia="MS PGothic" w:hAnsi="Times New Roman" w:cs="Times New Roman"/>
          <w:color w:val="000000" w:themeColor="text1"/>
        </w:rPr>
        <w:t xml:space="preserve"> </w:t>
      </w:r>
      <w:r w:rsidR="00AB4C77">
        <w:rPr>
          <w:rFonts w:ascii="Times New Roman" w:eastAsia="MS PGothic" w:hAnsi="Times New Roman" w:cs="Times New Roman"/>
          <w:color w:val="000000" w:themeColor="text1"/>
        </w:rPr>
        <w:fldChar w:fldCharType="begin"/>
      </w:r>
      <w:r w:rsidR="00AB4C77">
        <w:rPr>
          <w:rFonts w:ascii="Times New Roman" w:eastAsia="MS PGothic" w:hAnsi="Times New Roman" w:cs="Times New Roman"/>
          <w:color w:val="000000" w:themeColor="text1"/>
        </w:rPr>
        <w:instrText xml:space="preserve"> ADDIN ZOTERO_ITEM CSL_CITATION {"citationID":"h7wfDmCj","properties":{"formattedCitation":"[4]","plainCitation":"[4]","noteIndex":0},"citationItems":[{"id":1059,"uris":["http://zotero.org/users/6184040/items/I324TCZJ"],"uri":["http://zotero.org/users/6184040/items/I324TCZJ"],"itemData":{"id":1059,"type":"book","abstract":"The Fukushima Daiichi Accident consists of a Report by the IAEA Director General and five technical volumes. It is the result of an extensive international collaborative effort involving five working groups with about 180 experts from 42 Member States with and without nuclear power programmes and several international bodies. It provides a description of the accident and its causes, evolution and consequences, based on the evaluation of data and information from a large number of sources available at the time of writing","event-place":"Vienna","language":"en-GB","number-of-pages":"1254","publisher":"International Atomic Energy Agency","publisher-place":"Vienna","title":"The Fukushima Daiichi Accident","URL":"https://www.iaea.org/publications/10962/the-fukushima-daiichi-accident","author":[{"family":"International Atomic Energy Agency","given":""}],"issued":{"date-parts":[["2015"]]}}}],"schema":"https://github.com/citation-style-language/schema/raw/master/csl-citation.json"} </w:instrText>
      </w:r>
      <w:r w:rsidR="00AB4C77">
        <w:rPr>
          <w:rFonts w:ascii="Times New Roman" w:eastAsia="MS PGothic" w:hAnsi="Times New Roman" w:cs="Times New Roman"/>
          <w:color w:val="000000" w:themeColor="text1"/>
        </w:rPr>
        <w:fldChar w:fldCharType="separate"/>
      </w:r>
      <w:r w:rsidR="00AB4C77" w:rsidRPr="00AB4C77">
        <w:rPr>
          <w:rFonts w:ascii="Times New Roman" w:hAnsi="Times New Roman" w:cs="Times New Roman"/>
        </w:rPr>
        <w:t>[4]</w:t>
      </w:r>
      <w:r w:rsidR="00AB4C77">
        <w:rPr>
          <w:rFonts w:ascii="Times New Roman" w:eastAsia="MS PGothic" w:hAnsi="Times New Roman" w:cs="Times New Roman"/>
          <w:color w:val="000000" w:themeColor="text1"/>
        </w:rPr>
        <w:fldChar w:fldCharType="end"/>
      </w:r>
      <w:r w:rsidRPr="009F4015">
        <w:rPr>
          <w:rFonts w:ascii="Times New Roman" w:eastAsia="MS PGothic" w:hAnsi="Times New Roman" w:cs="Times New Roman"/>
          <w:color w:val="000000" w:themeColor="text1"/>
        </w:rPr>
        <w:t>) (TEPCO’s reform plan report</w:t>
      </w:r>
      <w:r w:rsidR="00AB4C77">
        <w:rPr>
          <w:rFonts w:ascii="Times New Roman" w:eastAsia="MS PGothic" w:hAnsi="Times New Roman" w:cs="Times New Roman"/>
          <w:color w:val="000000" w:themeColor="text1"/>
        </w:rPr>
        <w:t xml:space="preserve"> </w:t>
      </w:r>
      <w:r w:rsidR="00AB4C77">
        <w:rPr>
          <w:rFonts w:ascii="Times New Roman" w:eastAsia="MS PGothic" w:hAnsi="Times New Roman" w:cs="Times New Roman"/>
          <w:color w:val="000000" w:themeColor="text1"/>
        </w:rPr>
        <w:fldChar w:fldCharType="begin"/>
      </w:r>
      <w:r w:rsidR="00AB4C77">
        <w:rPr>
          <w:rFonts w:ascii="Times New Roman" w:eastAsia="MS PGothic" w:hAnsi="Times New Roman" w:cs="Times New Roman"/>
          <w:color w:val="000000" w:themeColor="text1"/>
        </w:rPr>
        <w:instrText xml:space="preserve"> ADDIN ZOTERO_ITEM CSL_CITATION {"citationID":"NEIwEsiF","properties":{"formattedCitation":"[5]","plainCitation":"[5]","noteIndex":0},"citationItems":[{"id":1062,"uris":["http://zotero.org/users/6184040/items/3Z6ZN28N"],"uri":["http://zotero.org/users/6184040/items/3Z6ZN28N"],"itemData":{"id":1062,"type":"book","title":"Fukushima Nuclear Accident Summary  &amp; Nuclear Safety Reform Plan","author":[{"literal":"Tokyo Electric Power Company, Inc."}],"issued":{"date-parts":[["2013",3,29]]}}}],"schema":"https://github.com/citation-style-language/schema/raw/master/csl-citation.json"} </w:instrText>
      </w:r>
      <w:r w:rsidR="00AB4C77">
        <w:rPr>
          <w:rFonts w:ascii="Times New Roman" w:eastAsia="MS PGothic" w:hAnsi="Times New Roman" w:cs="Times New Roman"/>
          <w:color w:val="000000" w:themeColor="text1"/>
        </w:rPr>
        <w:fldChar w:fldCharType="separate"/>
      </w:r>
      <w:r w:rsidR="00AB4C77" w:rsidRPr="00AB4C77">
        <w:rPr>
          <w:rFonts w:ascii="Times New Roman" w:hAnsi="Times New Roman" w:cs="Times New Roman"/>
        </w:rPr>
        <w:t>[5]</w:t>
      </w:r>
      <w:r w:rsidR="00AB4C77">
        <w:rPr>
          <w:rFonts w:ascii="Times New Roman" w:eastAsia="MS PGothic" w:hAnsi="Times New Roman" w:cs="Times New Roman"/>
          <w:color w:val="000000" w:themeColor="text1"/>
        </w:rPr>
        <w:fldChar w:fldCharType="end"/>
      </w:r>
      <w:r w:rsidRPr="009F4015">
        <w:rPr>
          <w:rFonts w:ascii="Times New Roman" w:eastAsia="MS PGothic" w:hAnsi="Times New Roman" w:cs="Times New Roman"/>
          <w:color w:val="000000" w:themeColor="text1"/>
        </w:rPr>
        <w:t>)</w:t>
      </w:r>
      <w:r w:rsidRPr="009F4015">
        <w:rPr>
          <w:rFonts w:ascii="Times New Roman" w:eastAsia="MS PGothic" w:hAnsi="Times New Roman" w:cs="Times New Roman"/>
          <w:color w:val="000000" w:themeColor="text1"/>
          <w:vertAlign w:val="superscript"/>
        </w:rPr>
        <w:t xml:space="preserve"> </w:t>
      </w:r>
      <w:r w:rsidRPr="009F4015">
        <w:rPr>
          <w:rFonts w:ascii="Times New Roman" w:hAnsi="Times New Roman" w:cs="Times New Roman"/>
          <w:color w:val="FF0000"/>
        </w:rPr>
        <w:t xml:space="preserve">. </w:t>
      </w:r>
      <w:r w:rsidRPr="002C276F">
        <w:rPr>
          <w:rFonts w:ascii="Times New Roman" w:hAnsi="Times New Roman" w:cs="Times New Roman"/>
          <w:color w:val="auto"/>
        </w:rPr>
        <w:t>When TEPCO considered risks related to natural disasters, they were considered primarily in terms of jeopardizing public trust and increasing legislation.</w:t>
      </w:r>
    </w:p>
    <w:p w14:paraId="7B5205E7" w14:textId="5DFB66C2" w:rsidR="009F4015" w:rsidRPr="009F4015" w:rsidRDefault="009F4015" w:rsidP="00AC768F">
      <w:pPr>
        <w:pStyle w:val="ListParagraph"/>
        <w:numPr>
          <w:ilvl w:val="0"/>
          <w:numId w:val="11"/>
        </w:numPr>
        <w:overflowPunct/>
        <w:autoSpaceDE/>
        <w:autoSpaceDN/>
        <w:adjustRightInd/>
        <w:snapToGrid w:val="0"/>
        <w:spacing w:after="0" w:line="240" w:lineRule="auto"/>
        <w:contextualSpacing w:val="0"/>
        <w:jc w:val="left"/>
        <w:textAlignment w:val="auto"/>
        <w:rPr>
          <w:rFonts w:ascii="Times New Roman" w:eastAsia="MS PGothic" w:hAnsi="Times New Roman" w:cs="Times New Roman"/>
          <w:color w:val="000000" w:themeColor="text1"/>
          <w:sz w:val="24"/>
          <w:szCs w:val="24"/>
        </w:rPr>
      </w:pPr>
      <w:r w:rsidRPr="009F4015">
        <w:rPr>
          <w:rFonts w:ascii="Times New Roman" w:eastAsia="MS PGothic" w:hAnsi="Times New Roman" w:cs="Times New Roman"/>
          <w:color w:val="000000" w:themeColor="text1"/>
          <w:sz w:val="24"/>
          <w:szCs w:val="24"/>
        </w:rPr>
        <w:t>Japanese nuclear power plants are known for heavy preventative maintenance by thinking component reliability assures not only high availability but also safety, which led to over-confidence on safety as basic assumption (IAEA DG report</w:t>
      </w:r>
      <w:r w:rsidR="00117911">
        <w:rPr>
          <w:rFonts w:ascii="Times New Roman" w:eastAsia="MS PGothic" w:hAnsi="Times New Roman" w:cs="Times New Roman"/>
          <w:color w:val="000000" w:themeColor="text1"/>
          <w:sz w:val="24"/>
          <w:szCs w:val="24"/>
        </w:rPr>
        <w:t xml:space="preserve"> </w:t>
      </w:r>
      <w:r w:rsidR="00117911">
        <w:rPr>
          <w:rFonts w:ascii="Times New Roman" w:eastAsia="MS PGothic" w:hAnsi="Times New Roman" w:cs="Times New Roman"/>
          <w:color w:val="000000" w:themeColor="text1"/>
          <w:sz w:val="24"/>
          <w:szCs w:val="24"/>
        </w:rPr>
        <w:fldChar w:fldCharType="begin"/>
      </w:r>
      <w:r w:rsidR="00117911">
        <w:rPr>
          <w:rFonts w:ascii="Times New Roman" w:eastAsia="MS PGothic" w:hAnsi="Times New Roman" w:cs="Times New Roman"/>
          <w:color w:val="000000" w:themeColor="text1"/>
          <w:sz w:val="24"/>
          <w:szCs w:val="24"/>
        </w:rPr>
        <w:instrText xml:space="preserve"> ADDIN ZOTERO_ITEM CSL_CITATION {"citationID":"jqzU3Cfv","properties":{"formattedCitation":"[4]","plainCitation":"[4]","noteIndex":0},"citationItems":[{"id":1059,"uris":["http://zotero.org/users/6184040/items/I324TCZJ"],"uri":["http://zotero.org/users/6184040/items/I324TCZJ"],"itemData":{"id":1059,"type":"book","abstract":"The Fukushima Daiichi Accident consists of a Report by the IAEA Director General and five technical volumes. It is the result of an extensive international collaborative effort involving five working groups with about 180 experts from 42 Member States with and without nuclear power programmes and several international bodies. It provides a description of the accident and its causes, evolution and consequences, based on the evaluation of data and information from a large number of sources available at the time of writing","event-place":"Vienna","language":"en-GB","number-of-pages":"1254","publisher":"International Atomic Energy Agency","publisher-place":"Vienna","title":"The Fukushima Daiichi Accident","URL":"https://www.iaea.org/publications/10962/the-fukushima-daiichi-accident","author":[{"family":"International Atomic Energy Agency","given":""}],"issued":{"date-parts":[["2015"]]}}}],"schema":"https://github.com/citation-style-language/schema/raw/master/csl-citation.json"} </w:instrText>
      </w:r>
      <w:r w:rsidR="00117911">
        <w:rPr>
          <w:rFonts w:ascii="Times New Roman" w:eastAsia="MS PGothic" w:hAnsi="Times New Roman" w:cs="Times New Roman"/>
          <w:color w:val="000000" w:themeColor="text1"/>
          <w:sz w:val="24"/>
          <w:szCs w:val="24"/>
        </w:rPr>
        <w:fldChar w:fldCharType="separate"/>
      </w:r>
      <w:r w:rsidR="00117911" w:rsidRPr="00117911">
        <w:rPr>
          <w:rFonts w:ascii="Times New Roman" w:hAnsi="Times New Roman" w:cs="Times New Roman"/>
          <w:sz w:val="24"/>
        </w:rPr>
        <w:t>[4]</w:t>
      </w:r>
      <w:r w:rsidR="00117911">
        <w:rPr>
          <w:rFonts w:ascii="Times New Roman" w:eastAsia="MS PGothic" w:hAnsi="Times New Roman" w:cs="Times New Roman"/>
          <w:color w:val="000000" w:themeColor="text1"/>
          <w:sz w:val="24"/>
          <w:szCs w:val="24"/>
        </w:rPr>
        <w:fldChar w:fldCharType="end"/>
      </w:r>
      <w:r w:rsidRPr="009F4015">
        <w:rPr>
          <w:rFonts w:ascii="Times New Roman" w:eastAsia="MS PGothic" w:hAnsi="Times New Roman" w:cs="Times New Roman"/>
          <w:color w:val="000000" w:themeColor="text1"/>
          <w:sz w:val="24"/>
          <w:szCs w:val="24"/>
        </w:rPr>
        <w:t>) and weakness as a learning organization. Examples include gaps from IAEA standards and BWR-OG standard procedures, and weak</w:t>
      </w:r>
      <w:r w:rsidRPr="002C276F">
        <w:rPr>
          <w:rFonts w:ascii="Times New Roman" w:eastAsia="MS PGothic" w:hAnsi="Times New Roman" w:cs="Times New Roman"/>
          <w:sz w:val="24"/>
          <w:szCs w:val="24"/>
        </w:rPr>
        <w:t xml:space="preserve"> learning </w:t>
      </w:r>
      <w:r w:rsidRPr="009F4015">
        <w:rPr>
          <w:rFonts w:ascii="Times New Roman" w:eastAsia="MS PGothic" w:hAnsi="Times New Roman" w:cs="Times New Roman"/>
          <w:color w:val="000000" w:themeColor="text1"/>
          <w:sz w:val="24"/>
          <w:szCs w:val="24"/>
        </w:rPr>
        <w:t>from OE (</w:t>
      </w:r>
      <w:r w:rsidRPr="009F4015">
        <w:rPr>
          <w:rFonts w:ascii="Times New Roman" w:hAnsi="Times New Roman" w:cs="Times New Roman"/>
          <w:color w:val="000000" w:themeColor="text1"/>
          <w:sz w:val="24"/>
          <w:szCs w:val="24"/>
        </w:rPr>
        <w:t>Blayais, INPO</w:t>
      </w:r>
      <w:r w:rsidRPr="009F4015">
        <w:rPr>
          <w:rFonts w:ascii="Times New Roman" w:eastAsia="MS PGothic" w:hAnsi="Times New Roman" w:cs="Times New Roman"/>
          <w:color w:val="000000" w:themeColor="text1"/>
          <w:sz w:val="24"/>
          <w:szCs w:val="24"/>
        </w:rPr>
        <w:t xml:space="preserve"> LL report</w:t>
      </w:r>
      <w:r w:rsidR="00117911">
        <w:rPr>
          <w:rFonts w:ascii="Times New Roman" w:eastAsia="MS PGothic" w:hAnsi="Times New Roman" w:cs="Times New Roman"/>
          <w:color w:val="000000" w:themeColor="text1"/>
          <w:sz w:val="24"/>
          <w:szCs w:val="24"/>
        </w:rPr>
        <w:t xml:space="preserve"> </w:t>
      </w:r>
      <w:r w:rsidR="00117911">
        <w:rPr>
          <w:rFonts w:ascii="Times New Roman" w:eastAsia="MS PGothic" w:hAnsi="Times New Roman" w:cs="Times New Roman"/>
          <w:color w:val="000000" w:themeColor="text1"/>
          <w:sz w:val="24"/>
          <w:szCs w:val="24"/>
        </w:rPr>
        <w:fldChar w:fldCharType="begin"/>
      </w:r>
      <w:r w:rsidR="000A28BE">
        <w:rPr>
          <w:rFonts w:ascii="Times New Roman" w:eastAsia="MS PGothic" w:hAnsi="Times New Roman" w:cs="Times New Roman"/>
          <w:color w:val="000000" w:themeColor="text1"/>
          <w:sz w:val="24"/>
          <w:szCs w:val="24"/>
        </w:rPr>
        <w:instrText xml:space="preserve"> ADDIN ZOTERO_ITEM CSL_CITATION {"citationID":"rLLhiaeo","properties":{"formattedCitation":"[7]","plainCitation":"[7]","noteIndex":0},"citationItems":[{"id":1064,"uris":["http://zotero.org/users/6184040/items/KGHCPR5X"],"uri":["http://zotero.org/users/6184040/items/KGHCPR5X"],"itemData":{"id":1064,"type":"book","collection-number":"INPO 11-005 Addendum","title":"Lessons Learned from th Fukushima Daiichi Nuclear Power Station","author":[{"literal":"INSTITUTE OF NUCLEAR POWER OPERATIONS"}],"issued":{"date-parts":[["2012",8]]}}}],"schema":"https://github.com/citation-style-language/schema/raw/master/csl-citation.json"} </w:instrText>
      </w:r>
      <w:r w:rsidR="00117911">
        <w:rPr>
          <w:rFonts w:ascii="Times New Roman" w:eastAsia="MS PGothic" w:hAnsi="Times New Roman" w:cs="Times New Roman"/>
          <w:color w:val="000000" w:themeColor="text1"/>
          <w:sz w:val="24"/>
          <w:szCs w:val="24"/>
        </w:rPr>
        <w:fldChar w:fldCharType="separate"/>
      </w:r>
      <w:r w:rsidR="00117911" w:rsidRPr="00117911">
        <w:rPr>
          <w:rFonts w:ascii="Times New Roman" w:hAnsi="Times New Roman" w:cs="Times New Roman"/>
          <w:sz w:val="24"/>
        </w:rPr>
        <w:t>[7]</w:t>
      </w:r>
      <w:r w:rsidR="00117911">
        <w:rPr>
          <w:rFonts w:ascii="Times New Roman" w:eastAsia="MS PGothic" w:hAnsi="Times New Roman" w:cs="Times New Roman"/>
          <w:color w:val="000000" w:themeColor="text1"/>
          <w:sz w:val="24"/>
          <w:szCs w:val="24"/>
        </w:rPr>
        <w:fldChar w:fldCharType="end"/>
      </w:r>
      <w:r w:rsidRPr="009F4015">
        <w:rPr>
          <w:rFonts w:ascii="Times New Roman" w:eastAsia="MS PGothic" w:hAnsi="Times New Roman" w:cs="Times New Roman"/>
          <w:color w:val="000000" w:themeColor="text1"/>
          <w:sz w:val="24"/>
          <w:szCs w:val="24"/>
        </w:rPr>
        <w:t>).</w:t>
      </w:r>
    </w:p>
    <w:p w14:paraId="14B9672F" w14:textId="75892435" w:rsidR="009F4015" w:rsidRPr="009F4015" w:rsidRDefault="009F4015" w:rsidP="00AC768F">
      <w:pPr>
        <w:pStyle w:val="Default"/>
        <w:numPr>
          <w:ilvl w:val="0"/>
          <w:numId w:val="11"/>
        </w:numPr>
        <w:autoSpaceDE/>
        <w:autoSpaceDN/>
        <w:adjustRightInd/>
        <w:snapToGrid w:val="0"/>
        <w:rPr>
          <w:rFonts w:ascii="Times New Roman" w:eastAsia="MS PGothic" w:hAnsi="Times New Roman" w:cs="Times New Roman"/>
          <w:color w:val="000000" w:themeColor="text1"/>
        </w:rPr>
      </w:pPr>
      <w:r w:rsidRPr="009F4015">
        <w:rPr>
          <w:rFonts w:ascii="Times New Roman" w:hAnsi="Times New Roman" w:cs="Times New Roman"/>
          <w:color w:val="000000" w:themeColor="text1"/>
        </w:rPr>
        <w:t xml:space="preserve">There has been observed “group think” or accepting unverified assumptions when making decisions </w:t>
      </w:r>
      <w:r w:rsidRPr="009F4015">
        <w:rPr>
          <w:rFonts w:ascii="Times New Roman" w:eastAsia="MS PGothic" w:hAnsi="Times New Roman" w:cs="Times New Roman"/>
          <w:color w:val="000000" w:themeColor="text1"/>
        </w:rPr>
        <w:t>(INPO LL report</w:t>
      </w:r>
      <w:r w:rsidR="00117911">
        <w:rPr>
          <w:rFonts w:ascii="Times New Roman" w:eastAsia="MS PGothic" w:hAnsi="Times New Roman" w:cs="Times New Roman"/>
          <w:color w:val="000000" w:themeColor="text1"/>
        </w:rPr>
        <w:t xml:space="preserve"> </w:t>
      </w:r>
      <w:r w:rsidR="00117911">
        <w:rPr>
          <w:rFonts w:ascii="Times New Roman" w:eastAsia="MS PGothic" w:hAnsi="Times New Roman" w:cs="Times New Roman"/>
          <w:color w:val="000000" w:themeColor="text1"/>
        </w:rPr>
        <w:fldChar w:fldCharType="begin"/>
      </w:r>
      <w:r w:rsidR="000A28BE">
        <w:rPr>
          <w:rFonts w:ascii="Times New Roman" w:eastAsia="MS PGothic" w:hAnsi="Times New Roman" w:cs="Times New Roman"/>
          <w:color w:val="000000" w:themeColor="text1"/>
        </w:rPr>
        <w:instrText xml:space="preserve"> ADDIN ZOTERO_ITEM CSL_CITATION {"citationID":"l1RrQ64S","properties":{"formattedCitation":"[7]","plainCitation":"[7]","noteIndex":0},"citationItems":[{"id":1064,"uris":["http://zotero.org/users/6184040/items/KGHCPR5X"],"uri":["http://zotero.org/users/6184040/items/KGHCPR5X"],"itemData":{"id":1064,"type":"book","collection-number":"INPO 11-005 Addendum","title":"Lessons Learned from th Fukushima Daiichi Nuclear Power Station","author":[{"literal":"INSTITUTE OF NUCLEAR POWER OPERATIONS"}],"issued":{"date-parts":[["2012",8]]}}}],"schema":"https://github.com/citation-style-language/schema/raw/master/csl-citation.json"} </w:instrText>
      </w:r>
      <w:r w:rsidR="00117911">
        <w:rPr>
          <w:rFonts w:ascii="Times New Roman" w:eastAsia="MS PGothic" w:hAnsi="Times New Roman" w:cs="Times New Roman"/>
          <w:color w:val="000000" w:themeColor="text1"/>
        </w:rPr>
        <w:fldChar w:fldCharType="separate"/>
      </w:r>
      <w:r w:rsidR="00117911" w:rsidRPr="00117911">
        <w:rPr>
          <w:rFonts w:ascii="Times New Roman" w:hAnsi="Times New Roman" w:cs="Times New Roman"/>
        </w:rPr>
        <w:t>[7]</w:t>
      </w:r>
      <w:r w:rsidR="00117911">
        <w:rPr>
          <w:rFonts w:ascii="Times New Roman" w:eastAsia="MS PGothic" w:hAnsi="Times New Roman" w:cs="Times New Roman"/>
          <w:color w:val="000000" w:themeColor="text1"/>
        </w:rPr>
        <w:fldChar w:fldCharType="end"/>
      </w:r>
      <w:r w:rsidRPr="009F4015">
        <w:rPr>
          <w:rFonts w:ascii="Times New Roman" w:eastAsia="MS PGothic" w:hAnsi="Times New Roman" w:cs="Times New Roman"/>
          <w:color w:val="000000" w:themeColor="text1"/>
        </w:rPr>
        <w:t xml:space="preserve">) </w:t>
      </w:r>
    </w:p>
    <w:p w14:paraId="27B82342" w14:textId="09CD45F8" w:rsidR="009F4015" w:rsidRPr="009F4015" w:rsidRDefault="009F4015" w:rsidP="00AC768F">
      <w:pPr>
        <w:pStyle w:val="ListParagraph"/>
        <w:widowControl w:val="0"/>
        <w:numPr>
          <w:ilvl w:val="0"/>
          <w:numId w:val="11"/>
        </w:numPr>
        <w:overflowPunct/>
        <w:autoSpaceDE/>
        <w:autoSpaceDN/>
        <w:adjustRightInd/>
        <w:snapToGrid w:val="0"/>
        <w:spacing w:after="0" w:line="240" w:lineRule="auto"/>
        <w:contextualSpacing w:val="0"/>
        <w:textAlignment w:val="auto"/>
        <w:rPr>
          <w:rFonts w:ascii="Times New Roman" w:hAnsi="Times New Roman" w:cs="Times New Roman"/>
          <w:color w:val="000000" w:themeColor="text1"/>
          <w:sz w:val="24"/>
          <w:szCs w:val="24"/>
        </w:rPr>
      </w:pPr>
      <w:r w:rsidRPr="009F4015">
        <w:rPr>
          <w:rFonts w:ascii="Times New Roman" w:eastAsia="MS PGothic" w:hAnsi="Times New Roman" w:cs="Times New Roman"/>
          <w:color w:val="000000" w:themeColor="text1"/>
          <w:sz w:val="24"/>
          <w:szCs w:val="24"/>
        </w:rPr>
        <w:t>Risk-related decision-making: Most of the PRA in TEPCO was outsourced to the original Supplier of the plant and there was limited risk analysis by its affiliate. TEPCO’s management failed to add tsunami to risk matrix because of uncertainties over assumptions and methodology. (INPO</w:t>
      </w:r>
      <w:r w:rsidR="00B657F6">
        <w:rPr>
          <w:rFonts w:ascii="Times New Roman" w:eastAsia="MS PGothic" w:hAnsi="Times New Roman" w:cs="Times New Roman"/>
          <w:color w:val="000000" w:themeColor="text1"/>
          <w:sz w:val="24"/>
          <w:szCs w:val="24"/>
        </w:rPr>
        <w:t xml:space="preserve"> </w:t>
      </w:r>
      <w:r w:rsidR="00B657F6">
        <w:rPr>
          <w:rFonts w:ascii="Times New Roman" w:eastAsia="MS PGothic" w:hAnsi="Times New Roman" w:cs="Times New Roman"/>
          <w:color w:val="000000" w:themeColor="text1"/>
          <w:sz w:val="24"/>
          <w:szCs w:val="24"/>
        </w:rPr>
        <w:fldChar w:fldCharType="begin"/>
      </w:r>
      <w:r w:rsidR="000A28BE">
        <w:rPr>
          <w:rFonts w:ascii="Times New Roman" w:eastAsia="MS PGothic" w:hAnsi="Times New Roman" w:cs="Times New Roman"/>
          <w:color w:val="000000" w:themeColor="text1"/>
          <w:sz w:val="24"/>
          <w:szCs w:val="24"/>
        </w:rPr>
        <w:instrText xml:space="preserve"> ADDIN ZOTERO_ITEM CSL_CITATION {"citationID":"gtJ6Q16r","properties":{"formattedCitation":"[7]","plainCitation":"[7]","noteIndex":0},"citationItems":[{"id":1064,"uris":["http://zotero.org/users/6184040/items/KGHCPR5X"],"uri":["http://zotero.org/users/6184040/items/KGHCPR5X"],"itemData":{"id":1064,"type":"book","collection-number":"INPO 11-005 Addendum","title":"Lessons Learned from th Fukushima Daiichi Nuclear Power Station","author":[{"literal":"INSTITUTE OF NUCLEAR POWER OPERATIONS"}],"issued":{"date-parts":[["2012",8]]}}}],"schema":"https://github.com/citation-style-language/schema/raw/master/csl-citation.json"} </w:instrText>
      </w:r>
      <w:r w:rsidR="00B657F6">
        <w:rPr>
          <w:rFonts w:ascii="Times New Roman" w:eastAsia="MS PGothic" w:hAnsi="Times New Roman" w:cs="Times New Roman"/>
          <w:color w:val="000000" w:themeColor="text1"/>
          <w:sz w:val="24"/>
          <w:szCs w:val="24"/>
        </w:rPr>
        <w:fldChar w:fldCharType="separate"/>
      </w:r>
      <w:r w:rsidR="00B657F6" w:rsidRPr="00B657F6">
        <w:rPr>
          <w:rFonts w:ascii="Times New Roman" w:hAnsi="Times New Roman" w:cs="Times New Roman"/>
          <w:sz w:val="24"/>
        </w:rPr>
        <w:t>[7]</w:t>
      </w:r>
      <w:r w:rsidR="00B657F6">
        <w:rPr>
          <w:rFonts w:ascii="Times New Roman" w:eastAsia="MS PGothic" w:hAnsi="Times New Roman" w:cs="Times New Roman"/>
          <w:color w:val="000000" w:themeColor="text1"/>
          <w:sz w:val="24"/>
          <w:szCs w:val="24"/>
        </w:rPr>
        <w:fldChar w:fldCharType="end"/>
      </w:r>
      <w:r w:rsidRPr="009F4015">
        <w:rPr>
          <w:rFonts w:ascii="Times New Roman" w:eastAsia="MS PGothic" w:hAnsi="Times New Roman" w:cs="Times New Roman"/>
          <w:color w:val="000000" w:themeColor="text1"/>
          <w:sz w:val="24"/>
          <w:szCs w:val="24"/>
        </w:rPr>
        <w:t>) Attention in PRA to extreme external events was limited</w:t>
      </w:r>
      <w:r w:rsidR="002C276F">
        <w:rPr>
          <w:rFonts w:ascii="Times New Roman" w:eastAsia="MS PGothic" w:hAnsi="Times New Roman" w:cs="Times New Roman"/>
          <w:color w:val="000000" w:themeColor="text1"/>
          <w:sz w:val="24"/>
          <w:szCs w:val="24"/>
        </w:rPr>
        <w:t xml:space="preserve"> </w:t>
      </w:r>
      <w:r w:rsidRPr="009F4015">
        <w:rPr>
          <w:rFonts w:ascii="Times New Roman" w:eastAsia="MS PGothic" w:hAnsi="Times New Roman" w:cs="Times New Roman"/>
          <w:color w:val="000000" w:themeColor="text1"/>
          <w:sz w:val="24"/>
          <w:szCs w:val="24"/>
        </w:rPr>
        <w:t>(IAEA DG report</w:t>
      </w:r>
      <w:r w:rsidR="00B657F6">
        <w:rPr>
          <w:rFonts w:ascii="Times New Roman" w:eastAsia="MS PGothic" w:hAnsi="Times New Roman" w:cs="Times New Roman"/>
          <w:color w:val="000000" w:themeColor="text1"/>
          <w:sz w:val="24"/>
          <w:szCs w:val="24"/>
        </w:rPr>
        <w:t xml:space="preserve"> </w:t>
      </w:r>
      <w:r w:rsidR="00B657F6">
        <w:rPr>
          <w:rFonts w:ascii="Times New Roman" w:eastAsia="MS PGothic" w:hAnsi="Times New Roman" w:cs="Times New Roman"/>
          <w:color w:val="000000" w:themeColor="text1"/>
          <w:sz w:val="24"/>
          <w:szCs w:val="24"/>
        </w:rPr>
        <w:fldChar w:fldCharType="begin"/>
      </w:r>
      <w:r w:rsidR="00B657F6">
        <w:rPr>
          <w:rFonts w:ascii="Times New Roman" w:eastAsia="MS PGothic" w:hAnsi="Times New Roman" w:cs="Times New Roman"/>
          <w:color w:val="000000" w:themeColor="text1"/>
          <w:sz w:val="24"/>
          <w:szCs w:val="24"/>
        </w:rPr>
        <w:instrText xml:space="preserve"> ADDIN ZOTERO_ITEM CSL_CITATION {"citationID":"sM0MEOxq","properties":{"formattedCitation":"[4]","plainCitation":"[4]","noteIndex":0},"citationItems":[{"id":1059,"uris":["http://zotero.org/users/6184040/items/I324TCZJ"],"uri":["http://zotero.org/users/6184040/items/I324TCZJ"],"itemData":{"id":1059,"type":"book","abstract":"The Fukushima Daiichi Accident consists of a Report by the IAEA Director General and five technical volumes. It is the result of an extensive international collaborative effort involving five working groups with about 180 experts from 42 Member States with and without nuclear power programmes and several international bodies. It provides a description of the accident and its causes, evolution and consequences, based on the evaluation of data and information from a large number of sources available at the time of writing","event-place":"Vienna","language":"en-GB","number-of-pages":"1254","publisher":"International Atomic Energy Agency","publisher-place":"Vienna","title":"The Fukushima Daiichi Accident","URL":"https://www.iaea.org/publications/10962/the-fukushima-daiichi-accident","author":[{"family":"International Atomic Energy Agency","given":""}],"issued":{"date-parts":[["2015"]]}}}],"schema":"https://github.com/citation-style-language/schema/raw/master/csl-citation.json"} </w:instrText>
      </w:r>
      <w:r w:rsidR="00B657F6">
        <w:rPr>
          <w:rFonts w:ascii="Times New Roman" w:eastAsia="MS PGothic" w:hAnsi="Times New Roman" w:cs="Times New Roman"/>
          <w:color w:val="000000" w:themeColor="text1"/>
          <w:sz w:val="24"/>
          <w:szCs w:val="24"/>
        </w:rPr>
        <w:fldChar w:fldCharType="separate"/>
      </w:r>
      <w:r w:rsidR="00B657F6" w:rsidRPr="00B657F6">
        <w:rPr>
          <w:rFonts w:ascii="Times New Roman" w:hAnsi="Times New Roman" w:cs="Times New Roman"/>
          <w:sz w:val="24"/>
        </w:rPr>
        <w:t>[4]</w:t>
      </w:r>
      <w:r w:rsidR="00B657F6">
        <w:rPr>
          <w:rFonts w:ascii="Times New Roman" w:eastAsia="MS PGothic" w:hAnsi="Times New Roman" w:cs="Times New Roman"/>
          <w:color w:val="000000" w:themeColor="text1"/>
          <w:sz w:val="24"/>
          <w:szCs w:val="24"/>
        </w:rPr>
        <w:fldChar w:fldCharType="end"/>
      </w:r>
      <w:r w:rsidRPr="009F4015">
        <w:rPr>
          <w:rFonts w:ascii="Times New Roman" w:eastAsia="MS PGothic" w:hAnsi="Times New Roman" w:cs="Times New Roman"/>
          <w:color w:val="000000" w:themeColor="text1"/>
          <w:sz w:val="24"/>
          <w:szCs w:val="24"/>
        </w:rPr>
        <w:t>) and consideration to cliff-edge effect</w:t>
      </w:r>
      <w:r w:rsidRPr="009F4015">
        <w:rPr>
          <w:rStyle w:val="FootnoteReference"/>
          <w:rFonts w:ascii="Times New Roman" w:eastAsia="MS PGothic" w:hAnsi="Times New Roman" w:cs="Times New Roman"/>
          <w:color w:val="000000" w:themeColor="text1"/>
          <w:sz w:val="24"/>
          <w:szCs w:val="24"/>
        </w:rPr>
        <w:footnoteReference w:id="4"/>
      </w:r>
      <w:r w:rsidRPr="009F4015">
        <w:rPr>
          <w:rFonts w:ascii="Times New Roman" w:eastAsia="MS PGothic" w:hAnsi="Times New Roman" w:cs="Times New Roman"/>
          <w:color w:val="000000" w:themeColor="text1"/>
          <w:sz w:val="24"/>
          <w:szCs w:val="24"/>
        </w:rPr>
        <w:t xml:space="preserve"> was not given even though TEPCO completed tsunami PRA</w:t>
      </w:r>
      <w:r w:rsidR="00E64273">
        <w:rPr>
          <w:rFonts w:ascii="Times New Roman" w:eastAsia="MS PGothic" w:hAnsi="Times New Roman" w:cs="Times New Roman"/>
          <w:color w:val="000000" w:themeColor="text1"/>
          <w:sz w:val="24"/>
          <w:szCs w:val="24"/>
        </w:rPr>
        <w:t xml:space="preserve"> </w:t>
      </w:r>
      <w:r w:rsidRPr="009F4015">
        <w:rPr>
          <w:rFonts w:ascii="Times New Roman" w:eastAsia="MS PGothic" w:hAnsi="Times New Roman" w:cs="Times New Roman"/>
          <w:color w:val="000000" w:themeColor="text1"/>
          <w:sz w:val="24"/>
          <w:szCs w:val="24"/>
        </w:rPr>
        <w:t>(Sakai, ICONE-14, 2006</w:t>
      </w:r>
      <w:r w:rsidR="00E64273">
        <w:rPr>
          <w:rFonts w:ascii="Times New Roman" w:eastAsia="MS PGothic" w:hAnsi="Times New Roman" w:cs="Times New Roman"/>
          <w:color w:val="000000" w:themeColor="text1"/>
          <w:sz w:val="24"/>
          <w:szCs w:val="24"/>
        </w:rPr>
        <w:t xml:space="preserve"> </w:t>
      </w:r>
      <w:r w:rsidR="00E64273">
        <w:rPr>
          <w:rFonts w:ascii="Times New Roman" w:eastAsia="MS PGothic" w:hAnsi="Times New Roman" w:cs="Times New Roman"/>
          <w:color w:val="000000" w:themeColor="text1"/>
          <w:sz w:val="24"/>
          <w:szCs w:val="24"/>
        </w:rPr>
        <w:fldChar w:fldCharType="begin"/>
      </w:r>
      <w:r w:rsidR="00E64273">
        <w:rPr>
          <w:rFonts w:ascii="Times New Roman" w:eastAsia="MS PGothic" w:hAnsi="Times New Roman" w:cs="Times New Roman"/>
          <w:color w:val="000000" w:themeColor="text1"/>
          <w:sz w:val="24"/>
          <w:szCs w:val="24"/>
        </w:rPr>
        <w:instrText xml:space="preserve"> ADDIN ZOTERO_ITEM CSL_CITATION {"citationID":"un6Vu01w","properties":{"formattedCitation":"[10]","plainCitation":"[10]","noteIndex":0},"citationItems":[{"id":1068,"uris":["http://zotero.org/users/6184040/items/EVXBBTGR"],"uri":["http://zotero.org/users/6184040/items/EVXBBTGR"],"itemData":{"id":1068,"type":"paper-conference","abstract":"It is meaningful for tsunami assessment to evaluate phenomena beyond the design basis as well as seismic design. Because once we set the design basis tsunami height, we still have possibilities tsunami height may exceeds the determined design tsunami height due to uncertainties regarding the tsunami phenomena. Probabilistic tsunami risk assessment consists of estimating for tsunami hazard and fragility of structures and executing system analysis. In this report, we apply a method for probabilistic tsunami hazard analysis (PTHA). We introduce a logic tree approach to estimate tsunami hazard curves (relationships between tsunami height and probability of excess) and present an example for Japan. Examples of tsunami hazard curves are illustrated, and uncertainty in the tsunami hazard is displayed by 5-, 16-, 50-, 84- and 95-percentile and mean hazard curves. The result of PTHA will be used for quantitative assessment of the tsunami risk for important facilities located on coastal area. Tsunami hazard curves are the reasonable input data for structures and system analysis. However the evaluation method for estimating fragility of structures and the procedure of system analysis is now being developed.","DOI":"10.1115/ICONE14-89183","event":"14th International Conference on Nuclear Engineering","page":"69-75","title":"Development of a Probabilistic Tsunami Hazard Analysis in Japan","URL":"https://doi.org/10.1115/ICONE14-89183","author":[{"family":"Sakai","given":"Toshiaki"},{"family":"Takeda","given":"Tomoyoshi"},{"family":"Soraoka","given":"Hiroshi"},{"family":"Yanagisawa","given":"Ken"},{"family":"Annaka","given":"Tadashi"}],"accessed":{"date-parts":[["2021",11,2]]},"issued":{"date-parts":[["2006",7,17]]}}}],"schema":"https://github.com/citation-style-language/schema/raw/master/csl-citation.json"} </w:instrText>
      </w:r>
      <w:r w:rsidR="00E64273">
        <w:rPr>
          <w:rFonts w:ascii="Times New Roman" w:eastAsia="MS PGothic" w:hAnsi="Times New Roman" w:cs="Times New Roman"/>
          <w:color w:val="000000" w:themeColor="text1"/>
          <w:sz w:val="24"/>
          <w:szCs w:val="24"/>
        </w:rPr>
        <w:fldChar w:fldCharType="separate"/>
      </w:r>
      <w:r w:rsidR="00E64273" w:rsidRPr="00E64273">
        <w:rPr>
          <w:rFonts w:ascii="Times New Roman" w:hAnsi="Times New Roman" w:cs="Times New Roman"/>
          <w:sz w:val="24"/>
        </w:rPr>
        <w:t>[10]</w:t>
      </w:r>
      <w:r w:rsidR="00E64273">
        <w:rPr>
          <w:rFonts w:ascii="Times New Roman" w:eastAsia="MS PGothic" w:hAnsi="Times New Roman" w:cs="Times New Roman"/>
          <w:color w:val="000000" w:themeColor="text1"/>
          <w:sz w:val="24"/>
          <w:szCs w:val="24"/>
        </w:rPr>
        <w:fldChar w:fldCharType="end"/>
      </w:r>
      <w:r w:rsidRPr="009F4015">
        <w:rPr>
          <w:rFonts w:ascii="Times New Roman" w:eastAsia="MS PGothic" w:hAnsi="Times New Roman" w:cs="Times New Roman"/>
          <w:color w:val="000000" w:themeColor="text1"/>
          <w:sz w:val="24"/>
          <w:szCs w:val="24"/>
        </w:rPr>
        <w:t>) and possibility of 15.7m tsunami inundation height was calculated (hypothetical tsunami calculation, 2008,</w:t>
      </w:r>
      <w:r w:rsidRPr="009F4015">
        <w:rPr>
          <w:rFonts w:ascii="Times New Roman" w:hAnsi="Times New Roman" w:cs="Times New Roman"/>
          <w:color w:val="000000" w:themeColor="text1"/>
          <w:sz w:val="24"/>
          <w:szCs w:val="24"/>
        </w:rPr>
        <w:t xml:space="preserve"> TEPCO’s Accident Analysis report</w:t>
      </w:r>
      <w:r w:rsidR="003D1B46">
        <w:rPr>
          <w:rFonts w:ascii="Times New Roman" w:hAnsi="Times New Roman" w:cs="Times New Roman"/>
          <w:color w:val="000000" w:themeColor="text1"/>
          <w:sz w:val="24"/>
          <w:szCs w:val="24"/>
        </w:rPr>
        <w:t xml:space="preserve"> </w:t>
      </w:r>
      <w:r w:rsidR="003D1B46">
        <w:rPr>
          <w:rFonts w:ascii="Times New Roman" w:hAnsi="Times New Roman" w:cs="Times New Roman"/>
          <w:color w:val="000000" w:themeColor="text1"/>
          <w:sz w:val="24"/>
          <w:szCs w:val="24"/>
        </w:rPr>
        <w:fldChar w:fldCharType="begin"/>
      </w:r>
      <w:r w:rsidR="003D1B46">
        <w:rPr>
          <w:rFonts w:ascii="Times New Roman" w:hAnsi="Times New Roman" w:cs="Times New Roman"/>
          <w:color w:val="000000" w:themeColor="text1"/>
          <w:sz w:val="24"/>
          <w:szCs w:val="24"/>
        </w:rPr>
        <w:instrText xml:space="preserve"> ADDIN ZOTERO_ITEM CSL_CITATION {"citationID":"JXCfGwMQ","properties":{"formattedCitation":"[11]","plainCitation":"[11]","noteIndex":0},"citationItems":[{"id":1069,"uris":["http://zotero.org/users/6184040/items/YX35BFJT"],"uri":["http://zotero.org/users/6184040/items/YX35BFJT"],"itemData":{"id":1069,"type":"book","title":"Fukushima Nuclear Accident Analysis Report","author":[{"literal":"Tokyo Electric Power Company, Inc."}],"issued":{"date-parts":[["2012",6,20]]}}}],"schema":"https://github.com/citation-style-language/schema/raw/master/csl-citation.json"} </w:instrText>
      </w:r>
      <w:r w:rsidR="003D1B46">
        <w:rPr>
          <w:rFonts w:ascii="Times New Roman" w:hAnsi="Times New Roman" w:cs="Times New Roman"/>
          <w:color w:val="000000" w:themeColor="text1"/>
          <w:sz w:val="24"/>
          <w:szCs w:val="24"/>
        </w:rPr>
        <w:fldChar w:fldCharType="separate"/>
      </w:r>
      <w:r w:rsidR="003D1B46" w:rsidRPr="003D1B46">
        <w:rPr>
          <w:rFonts w:ascii="Times New Roman" w:hAnsi="Times New Roman" w:cs="Times New Roman"/>
          <w:sz w:val="24"/>
        </w:rPr>
        <w:t>[11]</w:t>
      </w:r>
      <w:r w:rsidR="003D1B46">
        <w:rPr>
          <w:rFonts w:ascii="Times New Roman" w:hAnsi="Times New Roman" w:cs="Times New Roman"/>
          <w:color w:val="000000" w:themeColor="text1"/>
          <w:sz w:val="24"/>
          <w:szCs w:val="24"/>
        </w:rPr>
        <w:fldChar w:fldCharType="end"/>
      </w:r>
      <w:r w:rsidRPr="009F4015">
        <w:rPr>
          <w:rFonts w:ascii="Times New Roman" w:eastAsia="MS PGothic" w:hAnsi="Times New Roman" w:cs="Times New Roman"/>
          <w:color w:val="000000" w:themeColor="text1"/>
          <w:sz w:val="24"/>
          <w:szCs w:val="24"/>
        </w:rPr>
        <w:t xml:space="preserve">), both before the accident. </w:t>
      </w:r>
      <w:r w:rsidRPr="002C276F">
        <w:rPr>
          <w:rFonts w:ascii="Times New Roman" w:eastAsia="MS PGothic" w:hAnsi="Times New Roman" w:cs="Times New Roman"/>
          <w:sz w:val="24"/>
          <w:szCs w:val="24"/>
        </w:rPr>
        <w:t xml:space="preserve">There was no implementation </w:t>
      </w:r>
      <w:r w:rsidRPr="009F4015">
        <w:rPr>
          <w:rFonts w:ascii="Times New Roman" w:eastAsia="MS PGothic" w:hAnsi="Times New Roman" w:cs="Times New Roman"/>
          <w:color w:val="000000"/>
          <w:sz w:val="24"/>
          <w:szCs w:val="24"/>
        </w:rPr>
        <w:t xml:space="preserve">after recognizing the potential risks. </w:t>
      </w:r>
      <w:r w:rsidRPr="009F4015">
        <w:rPr>
          <w:rFonts w:ascii="Times New Roman" w:eastAsia="MS PGothic" w:hAnsi="Times New Roman" w:cs="Times New Roman"/>
          <w:color w:val="000000" w:themeColor="text1"/>
          <w:sz w:val="24"/>
          <w:szCs w:val="24"/>
        </w:rPr>
        <w:t>No consideration of multiple unit accident possible by extreme external event due to common cause failure was given in PRA.</w:t>
      </w:r>
    </w:p>
    <w:p w14:paraId="5E2D62C2" w14:textId="50B2E132" w:rsidR="009F4015" w:rsidRPr="002C276F" w:rsidRDefault="009F4015" w:rsidP="00AC768F">
      <w:pPr>
        <w:pStyle w:val="ListParagraph"/>
        <w:widowControl w:val="0"/>
        <w:numPr>
          <w:ilvl w:val="0"/>
          <w:numId w:val="11"/>
        </w:numPr>
        <w:overflowPunct/>
        <w:autoSpaceDE/>
        <w:autoSpaceDN/>
        <w:adjustRightInd/>
        <w:snapToGrid w:val="0"/>
        <w:spacing w:after="0" w:line="240" w:lineRule="auto"/>
        <w:contextualSpacing w:val="0"/>
        <w:textAlignment w:val="auto"/>
        <w:rPr>
          <w:rFonts w:ascii="Times New Roman" w:hAnsi="Times New Roman" w:cs="Times New Roman"/>
          <w:sz w:val="24"/>
          <w:szCs w:val="24"/>
        </w:rPr>
      </w:pPr>
      <w:r w:rsidRPr="002C276F">
        <w:rPr>
          <w:rFonts w:ascii="Times New Roman" w:hAnsi="Times New Roman" w:cs="Times New Roman"/>
          <w:sz w:val="24"/>
          <w:szCs w:val="24"/>
        </w:rPr>
        <w:t xml:space="preserve">Due to lack of regulatory framework for uprating and upgrading plant safety in relation to the characteristics of the site, </w:t>
      </w:r>
      <w:r w:rsidRPr="002C276F">
        <w:rPr>
          <w:rFonts w:ascii="Times New Roman" w:hAnsi="Times New Roman" w:cs="Times New Roman"/>
          <w:sz w:val="24"/>
          <w:szCs w:val="24"/>
          <w:lang w:val="en-US" w:eastAsia="ja-JP"/>
        </w:rPr>
        <w:t>the Fukushima Daiichi NPP’s site related characteristics (external events and environmental issues) were not reassessed in a systematic and comprehensive manner. (IAEA DG report</w:t>
      </w:r>
      <w:r w:rsidR="00EE6ACC">
        <w:rPr>
          <w:rFonts w:ascii="Times New Roman" w:hAnsi="Times New Roman" w:cs="Times New Roman"/>
          <w:sz w:val="24"/>
          <w:szCs w:val="24"/>
          <w:lang w:val="en-US" w:eastAsia="ja-JP"/>
        </w:rPr>
        <w:t xml:space="preserve"> </w:t>
      </w:r>
      <w:r w:rsidR="00EE6ACC">
        <w:rPr>
          <w:rFonts w:ascii="Times New Roman" w:hAnsi="Times New Roman" w:cs="Times New Roman"/>
          <w:sz w:val="24"/>
          <w:szCs w:val="24"/>
          <w:lang w:val="en-US" w:eastAsia="ja-JP"/>
        </w:rPr>
        <w:fldChar w:fldCharType="begin"/>
      </w:r>
      <w:r w:rsidR="00EE6ACC">
        <w:rPr>
          <w:rFonts w:ascii="Times New Roman" w:hAnsi="Times New Roman" w:cs="Times New Roman"/>
          <w:sz w:val="24"/>
          <w:szCs w:val="24"/>
          <w:lang w:val="en-US" w:eastAsia="ja-JP"/>
        </w:rPr>
        <w:instrText xml:space="preserve"> ADDIN ZOTERO_ITEM CSL_CITATION {"citationID":"NMj3VmaN","properties":{"formattedCitation":"[4]","plainCitation":"[4]","noteIndex":0},"citationItems":[{"id":1059,"uris":["http://zotero.org/users/6184040/items/I324TCZJ"],"uri":["http://zotero.org/users/6184040/items/I324TCZJ"],"itemData":{"id":1059,"type":"book","abstract":"The Fukushima Daiichi Accident consists of a Report by the IAEA Director General and five technical volumes. It is the result of an extensive international collaborative effort involving five working groups with about 180 experts from 42 Member States with and without nuclear power programmes and several international bodies. It provides a description of the accident and its causes, evolution and consequences, based on the evaluation of data and information from a large number of sources available at the time of writing","event-place":"Vienna","language":"en-GB","number-of-pages":"1254","publisher":"International Atomic Energy Agency","publisher-place":"Vienna","title":"The Fukushima Daiichi Accident","URL":"https://www.iaea.org/publications/10962/the-fukushima-daiichi-accident","author":[{"family":"International Atomic Energy Agency","given":""}],"issued":{"date-parts":[["2015"]]}}}],"schema":"https://github.com/citation-style-language/schema/raw/master/csl-citation.json"} </w:instrText>
      </w:r>
      <w:r w:rsidR="00EE6ACC">
        <w:rPr>
          <w:rFonts w:ascii="Times New Roman" w:hAnsi="Times New Roman" w:cs="Times New Roman"/>
          <w:sz w:val="24"/>
          <w:szCs w:val="24"/>
          <w:lang w:val="en-US" w:eastAsia="ja-JP"/>
        </w:rPr>
        <w:fldChar w:fldCharType="separate"/>
      </w:r>
      <w:r w:rsidR="00EE6ACC" w:rsidRPr="00EE6ACC">
        <w:rPr>
          <w:rFonts w:ascii="Times New Roman" w:hAnsi="Times New Roman" w:cs="Times New Roman"/>
          <w:sz w:val="24"/>
        </w:rPr>
        <w:t>[4]</w:t>
      </w:r>
      <w:r w:rsidR="00EE6ACC">
        <w:rPr>
          <w:rFonts w:ascii="Times New Roman" w:hAnsi="Times New Roman" w:cs="Times New Roman"/>
          <w:sz w:val="24"/>
          <w:szCs w:val="24"/>
          <w:lang w:val="en-US" w:eastAsia="ja-JP"/>
        </w:rPr>
        <w:fldChar w:fldCharType="end"/>
      </w:r>
      <w:r w:rsidRPr="002C276F">
        <w:rPr>
          <w:rFonts w:ascii="Times New Roman" w:hAnsi="Times New Roman" w:cs="Times New Roman"/>
          <w:sz w:val="24"/>
          <w:szCs w:val="24"/>
        </w:rPr>
        <w:t>)</w:t>
      </w:r>
    </w:p>
    <w:p w14:paraId="0E3286C5" w14:textId="5D1DB6D2" w:rsidR="009F4015" w:rsidRPr="009F4015" w:rsidRDefault="009F4015" w:rsidP="00AC768F">
      <w:pPr>
        <w:pStyle w:val="ListParagraph"/>
        <w:widowControl w:val="0"/>
        <w:numPr>
          <w:ilvl w:val="0"/>
          <w:numId w:val="11"/>
        </w:numPr>
        <w:overflowPunct/>
        <w:snapToGrid w:val="0"/>
        <w:spacing w:after="0"/>
        <w:contextualSpacing w:val="0"/>
        <w:jc w:val="left"/>
        <w:textAlignment w:val="auto"/>
        <w:rPr>
          <w:rFonts w:ascii="Times New Roman" w:hAnsi="Times New Roman" w:cs="Times New Roman"/>
          <w:color w:val="000000" w:themeColor="text1"/>
          <w:sz w:val="24"/>
          <w:szCs w:val="24"/>
          <w:lang w:val="en-US" w:eastAsia="ja-JP"/>
        </w:rPr>
      </w:pPr>
      <w:r w:rsidRPr="009F4015">
        <w:rPr>
          <w:rFonts w:ascii="Times New Roman" w:hAnsi="Times New Roman" w:cs="Times New Roman"/>
          <w:color w:val="000000" w:themeColor="text1"/>
          <w:sz w:val="24"/>
          <w:szCs w:val="24"/>
          <w:lang w:val="en-US" w:eastAsia="ja-JP"/>
        </w:rPr>
        <w:t>Limited training, for example, on how to manually operate systems such as the Unit 1 isolation condenser and fire trucks as an alternative source for low pressure water injection. (IAEA DG report</w:t>
      </w:r>
      <w:r w:rsidR="00EE6ACC">
        <w:rPr>
          <w:rFonts w:ascii="Times New Roman" w:hAnsi="Times New Roman" w:cs="Times New Roman"/>
          <w:color w:val="000000" w:themeColor="text1"/>
          <w:sz w:val="24"/>
          <w:szCs w:val="24"/>
          <w:lang w:val="en-US" w:eastAsia="ja-JP"/>
        </w:rPr>
        <w:t xml:space="preserve"> </w:t>
      </w:r>
      <w:r w:rsidR="00EE6ACC">
        <w:rPr>
          <w:rFonts w:ascii="Times New Roman" w:hAnsi="Times New Roman" w:cs="Times New Roman"/>
          <w:color w:val="000000" w:themeColor="text1"/>
          <w:sz w:val="24"/>
          <w:szCs w:val="24"/>
          <w:lang w:val="en-US" w:eastAsia="ja-JP"/>
        </w:rPr>
        <w:fldChar w:fldCharType="begin"/>
      </w:r>
      <w:r w:rsidR="00EE6ACC">
        <w:rPr>
          <w:rFonts w:ascii="Times New Roman" w:hAnsi="Times New Roman" w:cs="Times New Roman"/>
          <w:color w:val="000000" w:themeColor="text1"/>
          <w:sz w:val="24"/>
          <w:szCs w:val="24"/>
          <w:lang w:val="en-US" w:eastAsia="ja-JP"/>
        </w:rPr>
        <w:instrText xml:space="preserve"> ADDIN ZOTERO_ITEM CSL_CITATION {"citationID":"HJ8FgXpc","properties":{"formattedCitation":"[4]","plainCitation":"[4]","noteIndex":0},"citationItems":[{"id":1059,"uris":["http://zotero.org/users/6184040/items/I324TCZJ"],"uri":["http://zotero.org/users/6184040/items/I324TCZJ"],"itemData":{"id":1059,"type":"book","abstract":"The Fukushima Daiichi Accident consists of a Report by the IAEA Director General and five technical volumes. It is the result of an extensive international collaborative effort involving five working groups with about 180 experts from 42 Member States with and without nuclear power programmes and several international bodies. It provides a description of the accident and its causes, evolution and consequences, based on the evaluation of data and information from a large number of sources available at the time of writing","event-place":"Vienna","language":"en-GB","number-of-pages":"1254","publisher":"International Atomic Energy Agency","publisher-place":"Vienna","title":"The Fukushima Daiichi Accident","URL":"https://www.iaea.org/publications/10962/the-fukushima-daiichi-accident","author":[{"family":"International Atomic Energy Agency","given":""}],"issued":{"date-parts":[["2015"]]}}}],"schema":"https://github.com/citation-style-language/schema/raw/master/csl-citation.json"} </w:instrText>
      </w:r>
      <w:r w:rsidR="00EE6ACC">
        <w:rPr>
          <w:rFonts w:ascii="Times New Roman" w:hAnsi="Times New Roman" w:cs="Times New Roman"/>
          <w:color w:val="000000" w:themeColor="text1"/>
          <w:sz w:val="24"/>
          <w:szCs w:val="24"/>
          <w:lang w:val="en-US" w:eastAsia="ja-JP"/>
        </w:rPr>
        <w:fldChar w:fldCharType="separate"/>
      </w:r>
      <w:r w:rsidR="00EE6ACC" w:rsidRPr="00EE6ACC">
        <w:rPr>
          <w:rFonts w:ascii="Times New Roman" w:hAnsi="Times New Roman" w:cs="Times New Roman"/>
          <w:sz w:val="24"/>
        </w:rPr>
        <w:t>[4]</w:t>
      </w:r>
      <w:r w:rsidR="00EE6ACC">
        <w:rPr>
          <w:rFonts w:ascii="Times New Roman" w:hAnsi="Times New Roman" w:cs="Times New Roman"/>
          <w:color w:val="000000" w:themeColor="text1"/>
          <w:sz w:val="24"/>
          <w:szCs w:val="24"/>
          <w:lang w:val="en-US" w:eastAsia="ja-JP"/>
        </w:rPr>
        <w:fldChar w:fldCharType="end"/>
      </w:r>
      <w:r w:rsidRPr="009F4015">
        <w:rPr>
          <w:rFonts w:ascii="Times New Roman" w:hAnsi="Times New Roman" w:cs="Times New Roman"/>
          <w:color w:val="000000" w:themeColor="text1"/>
          <w:sz w:val="24"/>
          <w:szCs w:val="24"/>
          <w:lang w:val="en-US" w:eastAsia="ja-JP"/>
        </w:rPr>
        <w:t>)</w:t>
      </w:r>
    </w:p>
    <w:p w14:paraId="4368E252" w14:textId="50B9B899" w:rsidR="009F4015" w:rsidRPr="009F4015" w:rsidRDefault="009F4015" w:rsidP="00AC768F">
      <w:pPr>
        <w:pStyle w:val="ListParagraph"/>
        <w:numPr>
          <w:ilvl w:val="0"/>
          <w:numId w:val="11"/>
        </w:numPr>
        <w:overflowPunct/>
        <w:autoSpaceDE/>
        <w:autoSpaceDN/>
        <w:adjustRightInd/>
        <w:snapToGrid w:val="0"/>
        <w:spacing w:after="120"/>
        <w:jc w:val="left"/>
        <w:textAlignment w:val="auto"/>
        <w:rPr>
          <w:rFonts w:ascii="Times New Roman" w:eastAsia="MS PGothic" w:hAnsi="Times New Roman" w:cs="Times New Roman"/>
          <w:color w:val="000000"/>
          <w:sz w:val="24"/>
          <w:szCs w:val="24"/>
        </w:rPr>
      </w:pPr>
      <w:r w:rsidRPr="009F4015">
        <w:rPr>
          <w:rFonts w:ascii="Times New Roman" w:eastAsia="MS PGothic" w:hAnsi="Times New Roman" w:cs="Times New Roman"/>
          <w:color w:val="000000"/>
          <w:sz w:val="24"/>
          <w:szCs w:val="24"/>
        </w:rPr>
        <w:lastRenderedPageBreak/>
        <w:t xml:space="preserve">During the course of accident, cases of confusion of role and responsibility including Prime Minister. </w:t>
      </w:r>
      <w:r w:rsidRPr="000E2AF0">
        <w:rPr>
          <w:rFonts w:ascii="Times New Roman" w:eastAsia="MS PGothic" w:hAnsi="Times New Roman" w:cs="Times New Roman"/>
          <w:sz w:val="24"/>
          <w:szCs w:val="24"/>
        </w:rPr>
        <w:t>Leadership</w:t>
      </w:r>
      <w:r w:rsidRPr="009F4015">
        <w:rPr>
          <w:rFonts w:ascii="Times New Roman" w:eastAsia="MS PGothic" w:hAnsi="Times New Roman" w:cs="Times New Roman"/>
          <w:color w:val="000000"/>
          <w:sz w:val="24"/>
          <w:szCs w:val="24"/>
        </w:rPr>
        <w:t xml:space="preserve"> was not clear. (IAEA DG report</w:t>
      </w:r>
      <w:r w:rsidR="006A1DC2">
        <w:rPr>
          <w:rFonts w:ascii="Times New Roman" w:eastAsia="MS PGothic" w:hAnsi="Times New Roman" w:cs="Times New Roman"/>
          <w:color w:val="000000"/>
          <w:sz w:val="24"/>
          <w:szCs w:val="24"/>
        </w:rPr>
        <w:t xml:space="preserve"> </w:t>
      </w:r>
      <w:r w:rsidR="006A1DC2">
        <w:rPr>
          <w:rFonts w:ascii="Times New Roman" w:eastAsia="MS PGothic" w:hAnsi="Times New Roman" w:cs="Times New Roman"/>
          <w:color w:val="000000"/>
          <w:sz w:val="24"/>
          <w:szCs w:val="24"/>
        </w:rPr>
        <w:fldChar w:fldCharType="begin"/>
      </w:r>
      <w:r w:rsidR="006A1DC2">
        <w:rPr>
          <w:rFonts w:ascii="Times New Roman" w:eastAsia="MS PGothic" w:hAnsi="Times New Roman" w:cs="Times New Roman"/>
          <w:color w:val="000000"/>
          <w:sz w:val="24"/>
          <w:szCs w:val="24"/>
        </w:rPr>
        <w:instrText xml:space="preserve"> ADDIN ZOTERO_ITEM CSL_CITATION {"citationID":"5DIisggw","properties":{"formattedCitation":"[4]","plainCitation":"[4]","noteIndex":0},"citationItems":[{"id":1059,"uris":["http://zotero.org/users/6184040/items/I324TCZJ"],"uri":["http://zotero.org/users/6184040/items/I324TCZJ"],"itemData":{"id":1059,"type":"book","abstract":"The Fukushima Daiichi Accident consists of a Report by the IAEA Director General and five technical volumes. It is the result of an extensive international collaborative effort involving five working groups with about 180 experts from 42 Member States with and without nuclear power programmes and several international bodies. It provides a description of the accident and its causes, evolution and consequences, based on the evaluation of data and information from a large number of sources available at the time of writing","event-place":"Vienna","language":"en-GB","number-of-pages":"1254","publisher":"International Atomic Energy Agency","publisher-place":"Vienna","title":"The Fukushima Daiichi Accident","URL":"https://www.iaea.org/publications/10962/the-fukushima-daiichi-accident","author":[{"family":"International Atomic Energy Agency","given":""}],"issued":{"date-parts":[["2015"]]}}}],"schema":"https://github.com/citation-style-language/schema/raw/master/csl-citation.json"} </w:instrText>
      </w:r>
      <w:r w:rsidR="006A1DC2">
        <w:rPr>
          <w:rFonts w:ascii="Times New Roman" w:eastAsia="MS PGothic" w:hAnsi="Times New Roman" w:cs="Times New Roman"/>
          <w:color w:val="000000"/>
          <w:sz w:val="24"/>
          <w:szCs w:val="24"/>
        </w:rPr>
        <w:fldChar w:fldCharType="separate"/>
      </w:r>
      <w:r w:rsidR="006A1DC2" w:rsidRPr="006A1DC2">
        <w:rPr>
          <w:rFonts w:ascii="Times New Roman" w:hAnsi="Times New Roman" w:cs="Times New Roman"/>
          <w:sz w:val="24"/>
        </w:rPr>
        <w:t>[4]</w:t>
      </w:r>
      <w:r w:rsidR="006A1DC2">
        <w:rPr>
          <w:rFonts w:ascii="Times New Roman" w:eastAsia="MS PGothic" w:hAnsi="Times New Roman" w:cs="Times New Roman"/>
          <w:color w:val="000000"/>
          <w:sz w:val="24"/>
          <w:szCs w:val="24"/>
        </w:rPr>
        <w:fldChar w:fldCharType="end"/>
      </w:r>
      <w:r w:rsidRPr="009F4015">
        <w:rPr>
          <w:rFonts w:ascii="Times New Roman" w:eastAsia="MS PGothic" w:hAnsi="Times New Roman" w:cs="Times New Roman"/>
          <w:color w:val="000000"/>
          <w:sz w:val="24"/>
          <w:szCs w:val="24"/>
        </w:rPr>
        <w:t>)</w:t>
      </w:r>
    </w:p>
    <w:p w14:paraId="2AA60467" w14:textId="3596D12D" w:rsidR="009F4015" w:rsidRPr="009F4015" w:rsidRDefault="009F4015" w:rsidP="003C634F">
      <w:pPr>
        <w:pStyle w:val="BodyText"/>
        <w:spacing w:after="120"/>
        <w:ind w:firstLine="567"/>
        <w:rPr>
          <w:color w:val="000000" w:themeColor="text1"/>
          <w:szCs w:val="24"/>
        </w:rPr>
      </w:pPr>
      <w:r w:rsidRPr="009F4015">
        <w:rPr>
          <w:color w:val="000000" w:themeColor="text1"/>
          <w:szCs w:val="24"/>
        </w:rPr>
        <w:t>Although most post-Fukushima Lessons Learned reports looked at what went wrong, it is inappropriate not to look at what went right</w:t>
      </w:r>
      <w:r w:rsidR="00231DF6">
        <w:rPr>
          <w:color w:val="000000" w:themeColor="text1"/>
          <w:szCs w:val="24"/>
        </w:rPr>
        <w:t xml:space="preserve"> </w:t>
      </w:r>
      <w:r w:rsidR="00231DF6">
        <w:rPr>
          <w:color w:val="000000" w:themeColor="text1"/>
          <w:szCs w:val="24"/>
        </w:rPr>
        <w:fldChar w:fldCharType="begin"/>
      </w:r>
      <w:r w:rsidR="00231DF6">
        <w:rPr>
          <w:color w:val="000000" w:themeColor="text1"/>
          <w:szCs w:val="24"/>
        </w:rPr>
        <w:instrText xml:space="preserve"> ADDIN ZOTERO_ITEM CSL_CITATION {"citationID":"iLuxytgR","properties":{"formattedCitation":"[12]","plainCitation":"[12]","noteIndex":0},"citationItems":[{"id":1070,"uris":["http://zotero.org/users/6184040/items/DFJU4QKS"],"uri":["http://zotero.org/users/6184040/items/DFJU4QKS"],"itemData":{"id":1070,"type":"book","ISBN":"978-1-4724-2308-5","title":"Safety-I and Safety-II","title-short":"The Past and Future of Safety Management","author":[{"literal":"Erik Hollnagel"}],"issued":{"date-parts":[["2014",5,28]]}}}],"schema":"https://github.com/citation-style-language/schema/raw/master/csl-citation.json"} </w:instrText>
      </w:r>
      <w:r w:rsidR="00231DF6">
        <w:rPr>
          <w:color w:val="000000" w:themeColor="text1"/>
          <w:szCs w:val="24"/>
        </w:rPr>
        <w:fldChar w:fldCharType="separate"/>
      </w:r>
      <w:r w:rsidR="00231DF6" w:rsidRPr="00231DF6">
        <w:t>[12]</w:t>
      </w:r>
      <w:r w:rsidR="00231DF6">
        <w:rPr>
          <w:color w:val="000000" w:themeColor="text1"/>
          <w:szCs w:val="24"/>
        </w:rPr>
        <w:fldChar w:fldCharType="end"/>
      </w:r>
      <w:r w:rsidRPr="009F4015">
        <w:rPr>
          <w:color w:val="000000" w:themeColor="text1"/>
          <w:szCs w:val="24"/>
        </w:rPr>
        <w:t>. This applies to human and organizational aspects as well. TEPCO’s Accident Analysis Report raised team efforts (TEPCO’s Accident Analysis report</w:t>
      </w:r>
      <w:r w:rsidR="006A1DC2">
        <w:rPr>
          <w:color w:val="000000" w:themeColor="text1"/>
          <w:szCs w:val="24"/>
        </w:rPr>
        <w:t xml:space="preserve"> </w:t>
      </w:r>
      <w:r w:rsidR="006A1DC2">
        <w:rPr>
          <w:color w:val="000000" w:themeColor="text1"/>
          <w:szCs w:val="24"/>
        </w:rPr>
        <w:fldChar w:fldCharType="begin"/>
      </w:r>
      <w:r w:rsidR="006A1DC2">
        <w:rPr>
          <w:color w:val="000000" w:themeColor="text1"/>
          <w:szCs w:val="24"/>
        </w:rPr>
        <w:instrText xml:space="preserve"> ADDIN ZOTERO_ITEM CSL_CITATION {"citationID":"oAwUGjaG","properties":{"formattedCitation":"[11]","plainCitation":"[11]","noteIndex":0},"citationItems":[{"id":1069,"uris":["http://zotero.org/users/6184040/items/YX35BFJT"],"uri":["http://zotero.org/users/6184040/items/YX35BFJT"],"itemData":{"id":1069,"type":"book","title":"Fukushima Nuclear Accident Analysis Report","author":[{"literal":"Tokyo Electric Power Company, Inc."}],"issued":{"date-parts":[["2012",6,20]]}}}],"schema":"https://github.com/citation-style-language/schema/raw/master/csl-citation.json"} </w:instrText>
      </w:r>
      <w:r w:rsidR="006A1DC2">
        <w:rPr>
          <w:color w:val="000000" w:themeColor="text1"/>
          <w:szCs w:val="24"/>
        </w:rPr>
        <w:fldChar w:fldCharType="separate"/>
      </w:r>
      <w:r w:rsidR="006A1DC2" w:rsidRPr="006A1DC2">
        <w:t>[11]</w:t>
      </w:r>
      <w:r w:rsidR="006A1DC2">
        <w:rPr>
          <w:color w:val="000000" w:themeColor="text1"/>
          <w:szCs w:val="24"/>
        </w:rPr>
        <w:fldChar w:fldCharType="end"/>
      </w:r>
      <w:r w:rsidRPr="009F4015">
        <w:rPr>
          <w:color w:val="000000" w:themeColor="text1"/>
          <w:szCs w:val="24"/>
        </w:rPr>
        <w:t xml:space="preserve">) and willingness to sacrifice. Contractors and sub-contractors were willing to support TEPCO at the time of accident, in spite of no contract beforehand. On the part of design, there were continued efforts to reassess design basis external events based on new findings and modify, including seismic design and tsunami. </w:t>
      </w:r>
    </w:p>
    <w:p w14:paraId="3E039A0B" w14:textId="77777777" w:rsidR="009F4015" w:rsidRPr="009F4015" w:rsidRDefault="009F4015" w:rsidP="003C634F">
      <w:pPr>
        <w:pStyle w:val="BodyText"/>
        <w:spacing w:after="120"/>
        <w:ind w:firstLine="567"/>
        <w:rPr>
          <w:color w:val="000000" w:themeColor="text1"/>
          <w:szCs w:val="24"/>
        </w:rPr>
      </w:pPr>
      <w:r w:rsidRPr="009F4015">
        <w:rPr>
          <w:color w:val="000000" w:themeColor="text1"/>
          <w:szCs w:val="24"/>
        </w:rPr>
        <w:t xml:space="preserve">It would be worth to look at Fukushima-Daiichi unit 5 &amp; 6 and four units at </w:t>
      </w:r>
      <w:r w:rsidRPr="009F4015">
        <w:rPr>
          <w:rFonts w:eastAsiaTheme="minorEastAsia"/>
          <w:color w:val="000000" w:themeColor="text1"/>
          <w:szCs w:val="24"/>
          <w:lang w:eastAsia="ja-JP"/>
        </w:rPr>
        <w:t>Fukushima-Daini (Appendix-1)</w:t>
      </w:r>
      <w:r w:rsidRPr="009F4015">
        <w:rPr>
          <w:color w:val="000000" w:themeColor="text1"/>
          <w:szCs w:val="24"/>
        </w:rPr>
        <w:t>, all of which had escaped core damage, the former due to limited damage from tsunami and availability of power from air-cooled EDG and Accident Management provisions, and the latter from various factors including availability of one local AC power line, leadership</w:t>
      </w:r>
      <w:r w:rsidRPr="009F4015">
        <w:rPr>
          <w:rStyle w:val="FootnoteReference"/>
          <w:color w:val="000000" w:themeColor="text1"/>
          <w:szCs w:val="24"/>
        </w:rPr>
        <w:footnoteReference w:id="5"/>
      </w:r>
      <w:r w:rsidRPr="009F4015">
        <w:rPr>
          <w:color w:val="000000" w:themeColor="text1"/>
          <w:szCs w:val="24"/>
        </w:rPr>
        <w:t xml:space="preserve"> of site manager to follow Accident Management procedures and, to procure and install necessary equipment for recovery of safety functions. </w:t>
      </w:r>
    </w:p>
    <w:p w14:paraId="482ABA9D" w14:textId="77777777" w:rsidR="009E7F82" w:rsidRPr="00123851" w:rsidRDefault="009E7F82" w:rsidP="00123851">
      <w:pPr>
        <w:pStyle w:val="BodyText"/>
        <w:rPr>
          <w:lang w:val="en-GB"/>
        </w:rPr>
      </w:pPr>
    </w:p>
    <w:p w14:paraId="5CEC75A5" w14:textId="41A1B7E6" w:rsidR="00B23C71" w:rsidRPr="000C28B9" w:rsidRDefault="00B23C71" w:rsidP="00B23C71">
      <w:pPr>
        <w:pStyle w:val="Heading2"/>
      </w:pPr>
      <w:bookmarkStart w:id="23" w:name="_Toc87627660"/>
      <w:r>
        <w:t>INSAG-27</w:t>
      </w:r>
      <w:bookmarkEnd w:id="22"/>
      <w:bookmarkEnd w:id="23"/>
    </w:p>
    <w:p w14:paraId="444821B8" w14:textId="77777777" w:rsidR="009B0975" w:rsidRPr="009B0975" w:rsidRDefault="009B0975" w:rsidP="00BB7917">
      <w:pPr>
        <w:pStyle w:val="BodyText"/>
        <w:spacing w:after="120"/>
        <w:ind w:firstLine="567"/>
        <w:rPr>
          <w:color w:val="000000" w:themeColor="text1"/>
          <w:szCs w:val="24"/>
        </w:rPr>
      </w:pPr>
      <w:r w:rsidRPr="009B0975">
        <w:rPr>
          <w:color w:val="000000" w:themeColor="text1"/>
          <w:szCs w:val="24"/>
        </w:rPr>
        <w:t xml:space="preserve">Against the above background, INSAG-27 outlines “Strength in Depth (SiD)” concept to institutional systems.  The principles established for using such a concept follow those for engineering safety systems as appropriate to avoid common cause failure, such as: </w:t>
      </w:r>
    </w:p>
    <w:p w14:paraId="1E425A66" w14:textId="77777777" w:rsidR="009B0975" w:rsidRPr="009B0975" w:rsidRDefault="009B0975" w:rsidP="00DA762E">
      <w:pPr>
        <w:pStyle w:val="ListParagraph"/>
        <w:numPr>
          <w:ilvl w:val="0"/>
          <w:numId w:val="6"/>
        </w:numPr>
        <w:snapToGrid w:val="0"/>
        <w:spacing w:after="0" w:line="240" w:lineRule="auto"/>
        <w:contextualSpacing w:val="0"/>
        <w:rPr>
          <w:rFonts w:ascii="Times New Roman" w:hAnsi="Times New Roman" w:cs="Times New Roman"/>
          <w:color w:val="000000" w:themeColor="text1"/>
          <w:sz w:val="24"/>
          <w:szCs w:val="24"/>
          <w:lang w:val="en-US"/>
        </w:rPr>
      </w:pPr>
      <w:r w:rsidRPr="009B0975">
        <w:rPr>
          <w:rFonts w:ascii="Times New Roman" w:eastAsia="Times New Roman" w:hAnsi="Times New Roman" w:cs="Times New Roman"/>
          <w:color w:val="000000" w:themeColor="text1"/>
          <w:sz w:val="24"/>
          <w:szCs w:val="24"/>
          <w:lang w:val="en-US"/>
        </w:rPr>
        <w:t>Multiple layers and components;</w:t>
      </w:r>
    </w:p>
    <w:p w14:paraId="7292CAA0" w14:textId="77777777" w:rsidR="009B0975" w:rsidRPr="009B0975" w:rsidRDefault="009B0975" w:rsidP="00DA762E">
      <w:pPr>
        <w:pStyle w:val="ListParagraph"/>
        <w:numPr>
          <w:ilvl w:val="0"/>
          <w:numId w:val="6"/>
        </w:numPr>
        <w:snapToGrid w:val="0"/>
        <w:spacing w:after="0" w:line="240" w:lineRule="auto"/>
        <w:contextualSpacing w:val="0"/>
        <w:rPr>
          <w:rFonts w:ascii="Times New Roman" w:hAnsi="Times New Roman" w:cs="Times New Roman"/>
          <w:color w:val="000000" w:themeColor="text1"/>
          <w:sz w:val="24"/>
          <w:szCs w:val="24"/>
          <w:lang w:val="en-US"/>
        </w:rPr>
      </w:pPr>
      <w:r w:rsidRPr="009B0975">
        <w:rPr>
          <w:rFonts w:ascii="Times New Roman" w:eastAsia="Times New Roman" w:hAnsi="Times New Roman" w:cs="Times New Roman"/>
          <w:color w:val="000000" w:themeColor="text1"/>
          <w:sz w:val="24"/>
          <w:szCs w:val="24"/>
          <w:lang w:val="en-US"/>
        </w:rPr>
        <w:t>Independence of layers;</w:t>
      </w:r>
    </w:p>
    <w:p w14:paraId="04745896" w14:textId="77777777" w:rsidR="009B0975" w:rsidRPr="009B0975" w:rsidRDefault="009B0975" w:rsidP="00DA762E">
      <w:pPr>
        <w:pStyle w:val="ListParagraph"/>
        <w:numPr>
          <w:ilvl w:val="0"/>
          <w:numId w:val="6"/>
        </w:numPr>
        <w:snapToGrid w:val="0"/>
        <w:spacing w:after="120" w:line="240" w:lineRule="auto"/>
        <w:ind w:left="714" w:hanging="357"/>
        <w:contextualSpacing w:val="0"/>
        <w:rPr>
          <w:rFonts w:ascii="Times New Roman" w:eastAsia="Times New Roman" w:hAnsi="Times New Roman" w:cs="Times New Roman"/>
          <w:color w:val="000000" w:themeColor="text1"/>
          <w:sz w:val="24"/>
          <w:szCs w:val="24"/>
          <w:lang w:val="en-US"/>
        </w:rPr>
      </w:pPr>
      <w:r w:rsidRPr="009B0975">
        <w:rPr>
          <w:rFonts w:ascii="Times New Roman" w:eastAsia="Times New Roman" w:hAnsi="Times New Roman" w:cs="Times New Roman"/>
          <w:color w:val="000000" w:themeColor="text1"/>
          <w:sz w:val="24"/>
          <w:szCs w:val="24"/>
          <w:lang w:val="en-US"/>
        </w:rPr>
        <w:t>Layers built to include diversity, redundancy and separation of function.</w:t>
      </w:r>
    </w:p>
    <w:p w14:paraId="7E771ABA" w14:textId="324FD792" w:rsidR="009B0975" w:rsidRPr="009B0975" w:rsidRDefault="009B0975" w:rsidP="006868B2">
      <w:pPr>
        <w:pStyle w:val="BodyText"/>
        <w:spacing w:after="120"/>
        <w:ind w:firstLine="567"/>
        <w:rPr>
          <w:color w:val="000000" w:themeColor="text1"/>
          <w:szCs w:val="24"/>
        </w:rPr>
      </w:pPr>
      <w:r w:rsidRPr="009B0975">
        <w:rPr>
          <w:color w:val="000000" w:themeColor="text1"/>
          <w:szCs w:val="24"/>
        </w:rPr>
        <w:t xml:space="preserve">Applying the </w:t>
      </w:r>
      <w:r w:rsidRPr="00584C0B">
        <w:rPr>
          <w:szCs w:val="24"/>
        </w:rPr>
        <w:t>I</w:t>
      </w:r>
      <w:r w:rsidRPr="009B0975">
        <w:rPr>
          <w:color w:val="000000" w:themeColor="text1"/>
          <w:szCs w:val="24"/>
        </w:rPr>
        <w:t>SiD philosophy to the nuclear safety system leads to the identification of three main independent institutional sub-systems to prevent a nuclear accident from happening, namely nuclear industry, nuclear regulator and a set of stakeholders who ensure a capable institutional framework.</w:t>
      </w:r>
    </w:p>
    <w:p w14:paraId="3A49402A" w14:textId="77777777" w:rsidR="009B0975" w:rsidRPr="009B0975" w:rsidRDefault="009B0975" w:rsidP="00414946">
      <w:pPr>
        <w:pStyle w:val="BodyText"/>
        <w:spacing w:after="120"/>
        <w:ind w:firstLine="567"/>
        <w:rPr>
          <w:color w:val="000000" w:themeColor="text1"/>
          <w:szCs w:val="24"/>
        </w:rPr>
      </w:pPr>
      <w:r w:rsidRPr="009B0975">
        <w:rPr>
          <w:color w:val="000000" w:themeColor="text1"/>
          <w:szCs w:val="24"/>
        </w:rPr>
        <w:t>‘Strong’ in this context refers to an inner strength to encourage and welcome challenge, to challenge others, to question and consider others’ options and advices, to listen and learn, respect other perhaps opposing views, and to possess the competence and capacity to fulfil functions and duties.</w:t>
      </w:r>
    </w:p>
    <w:p w14:paraId="272F68FF" w14:textId="77777777" w:rsidR="009B0975" w:rsidRPr="009B0975" w:rsidRDefault="009B0975" w:rsidP="00414946">
      <w:pPr>
        <w:pStyle w:val="BodyText"/>
        <w:spacing w:after="120"/>
        <w:ind w:firstLine="567"/>
        <w:rPr>
          <w:color w:val="000000" w:themeColor="text1"/>
          <w:szCs w:val="24"/>
        </w:rPr>
      </w:pPr>
      <w:r w:rsidRPr="009B0975">
        <w:rPr>
          <w:color w:val="000000" w:themeColor="text1"/>
          <w:szCs w:val="24"/>
        </w:rPr>
        <w:t>The primary responsibility for safety rests with the operating organization, that for independent safety oversight with the regulator, and the primary stakeholders</w:t>
      </w:r>
      <w:r w:rsidRPr="009B0975">
        <w:rPr>
          <w:rStyle w:val="FootnoteReference"/>
          <w:color w:val="000000" w:themeColor="text1"/>
          <w:szCs w:val="24"/>
        </w:rPr>
        <w:footnoteReference w:id="6"/>
      </w:r>
      <w:r w:rsidRPr="009B0975">
        <w:rPr>
          <w:color w:val="000000" w:themeColor="text1"/>
          <w:szCs w:val="24"/>
        </w:rPr>
        <w:t xml:space="preserve"> for safety are </w:t>
      </w:r>
      <w:r w:rsidRPr="009B0975">
        <w:rPr>
          <w:color w:val="000000" w:themeColor="text1"/>
          <w:szCs w:val="24"/>
        </w:rPr>
        <w:lastRenderedPageBreak/>
        <w:t xml:space="preserve">those who may be directly affected by a nuclear accident — workers and the public; see IAEA Safety Standards Series No. SF-1, Fundamental Safety Principles. </w:t>
      </w:r>
    </w:p>
    <w:p w14:paraId="60DBBB07" w14:textId="77777777" w:rsidR="009B0975" w:rsidRPr="009B0975" w:rsidRDefault="009B0975" w:rsidP="00414946">
      <w:pPr>
        <w:pStyle w:val="BodyText"/>
        <w:spacing w:after="120"/>
        <w:ind w:firstLine="567"/>
        <w:rPr>
          <w:color w:val="000000" w:themeColor="text1"/>
          <w:szCs w:val="24"/>
        </w:rPr>
      </w:pPr>
      <w:r w:rsidRPr="009B0975">
        <w:rPr>
          <w:color w:val="000000" w:themeColor="text1"/>
          <w:szCs w:val="24"/>
        </w:rPr>
        <w:t>Overarching these three sub-systems is the legal and institutional framework that is established by the government and within which the industry operates. Society depends on public representatives to act on behalf of the interests of all.</w:t>
      </w:r>
    </w:p>
    <w:p w14:paraId="4C3107A2" w14:textId="77777777" w:rsidR="009B0975" w:rsidRPr="009B0975" w:rsidRDefault="009B0975" w:rsidP="00414946">
      <w:pPr>
        <w:pStyle w:val="BodyText"/>
        <w:spacing w:after="120"/>
        <w:ind w:firstLine="567"/>
        <w:rPr>
          <w:color w:val="000000" w:themeColor="text1"/>
          <w:szCs w:val="24"/>
        </w:rPr>
      </w:pPr>
      <w:r w:rsidRPr="009B0975">
        <w:rPr>
          <w:color w:val="000000" w:themeColor="text1"/>
          <w:szCs w:val="24"/>
        </w:rPr>
        <w:t xml:space="preserve">Transparency </w:t>
      </w:r>
      <w:r w:rsidRPr="00414946">
        <w:rPr>
          <w:szCs w:val="24"/>
        </w:rPr>
        <w:t xml:space="preserve">and openness promotes accountability in increasing </w:t>
      </w:r>
      <w:r w:rsidRPr="009B0975">
        <w:rPr>
          <w:color w:val="000000" w:themeColor="text1"/>
          <w:szCs w:val="24"/>
        </w:rPr>
        <w:t>the motivation of individuals and institutions to meet their responsibilities.</w:t>
      </w:r>
    </w:p>
    <w:p w14:paraId="0FFEA64D" w14:textId="77777777" w:rsidR="009B0975" w:rsidRPr="00765B4B" w:rsidRDefault="009B0975" w:rsidP="00414946">
      <w:pPr>
        <w:pStyle w:val="BodyText"/>
        <w:spacing w:after="120"/>
        <w:ind w:firstLine="567"/>
        <w:rPr>
          <w:szCs w:val="24"/>
        </w:rPr>
      </w:pPr>
      <w:r w:rsidRPr="009B0975">
        <w:rPr>
          <w:color w:val="000000" w:themeColor="text1"/>
          <w:szCs w:val="24"/>
        </w:rPr>
        <w:t xml:space="preserve">The public generally does not have the technical background to determine or judge all the different aspects of nuclear safety. However, the nuclear industry has an obligation to explain nuclear safety provisions and plant performance in an open, comprehensible, and transparent way, and to respond to legitimate questions and challenges. This interaction with the public stimulates a sense of responsibility and accountability and helps to ensure high levels of attention to nuclear safety in the operating organizations. Experts in the nuclear industry body should be aware that some interested parties may </w:t>
      </w:r>
      <w:r w:rsidRPr="00765B4B">
        <w:rPr>
          <w:szCs w:val="24"/>
        </w:rPr>
        <w:t>interpret the information differently and use the information differently than intended, but this should not in any way curtail the release of information or inhibit the response to questions. Building trust with external stakeholders starts with open dialogue.</w:t>
      </w:r>
    </w:p>
    <w:p w14:paraId="373E8049" w14:textId="38DF46C6" w:rsidR="009B0975" w:rsidRPr="009B0975" w:rsidRDefault="009B0975" w:rsidP="00414946">
      <w:pPr>
        <w:pStyle w:val="BodyText"/>
        <w:spacing w:after="120"/>
        <w:ind w:firstLine="567"/>
        <w:rPr>
          <w:color w:val="000000" w:themeColor="text1"/>
          <w:szCs w:val="24"/>
        </w:rPr>
      </w:pPr>
      <w:r w:rsidRPr="009B0975">
        <w:rPr>
          <w:color w:val="000000" w:themeColor="text1"/>
          <w:szCs w:val="24"/>
        </w:rPr>
        <w:t>The IAEA safety standards establish that there must be a strong, vibrant safety culture. This is a prime responsibility of leaders (see Fundamental Principle 3, SF-1</w:t>
      </w:r>
      <w:r w:rsidR="00765B4B">
        <w:rPr>
          <w:color w:val="000000" w:themeColor="text1"/>
          <w:szCs w:val="24"/>
        </w:rPr>
        <w:t xml:space="preserve"> </w:t>
      </w:r>
      <w:r w:rsidR="00765B4B">
        <w:rPr>
          <w:color w:val="000000" w:themeColor="text1"/>
          <w:szCs w:val="24"/>
        </w:rPr>
        <w:fldChar w:fldCharType="begin"/>
      </w:r>
      <w:r w:rsidR="00765B4B">
        <w:rPr>
          <w:color w:val="000000" w:themeColor="text1"/>
          <w:szCs w:val="24"/>
        </w:rPr>
        <w:instrText xml:space="preserve"> ADDIN ZOTERO_ITEM CSL_CITATION {"citationID":"CEkTwyHh","properties":{"formattedCitation":"[14]","plainCitation":"[14]","noteIndex":0},"citationItems":[{"id":1072,"uris":["http://zotero.org/users/6184040/items/KBQ8AVD9"],"uri":["http://zotero.org/users/6184040/items/KBQ8AVD9"],"itemData":{"id":1072,"type":"book","collection-number":"SF-1","collection-title":"Safety Fundamentals","event-place":"Vienna","ISBN":"92-0-110706-4","publisher":"INTERNATIONAL ATOMIC ENERGY AGENCY","publisher-place":"Vienna","title":"Fundamental Safety Principles","URL":"https://www.iaea.org/publications/7592/fundamental-safety-principles","issued":{"date-parts":[["2006"]]}}}],"schema":"https://github.com/citation-style-language/schema/raw/master/csl-citation.json"} </w:instrText>
      </w:r>
      <w:r w:rsidR="00765B4B">
        <w:rPr>
          <w:color w:val="000000" w:themeColor="text1"/>
          <w:szCs w:val="24"/>
        </w:rPr>
        <w:fldChar w:fldCharType="separate"/>
      </w:r>
      <w:r w:rsidR="00765B4B" w:rsidRPr="00765B4B">
        <w:t>[14]</w:t>
      </w:r>
      <w:r w:rsidR="00765B4B">
        <w:rPr>
          <w:color w:val="000000" w:themeColor="text1"/>
          <w:szCs w:val="24"/>
        </w:rPr>
        <w:fldChar w:fldCharType="end"/>
      </w:r>
      <w:r w:rsidRPr="009B0975">
        <w:rPr>
          <w:color w:val="000000" w:themeColor="text1"/>
          <w:szCs w:val="24"/>
        </w:rPr>
        <w:t xml:space="preserve"> and IAEA Safety Standards Series No. GSR Part 2, Leadership and Management for Safety</w:t>
      </w:r>
      <w:r w:rsidR="00765B4B">
        <w:rPr>
          <w:color w:val="000000" w:themeColor="text1"/>
          <w:szCs w:val="24"/>
        </w:rPr>
        <w:t xml:space="preserve"> </w:t>
      </w:r>
      <w:r w:rsidR="00765B4B">
        <w:rPr>
          <w:color w:val="000000" w:themeColor="text1"/>
          <w:szCs w:val="24"/>
        </w:rPr>
        <w:fldChar w:fldCharType="begin"/>
      </w:r>
      <w:r w:rsidR="00765B4B">
        <w:rPr>
          <w:color w:val="000000" w:themeColor="text1"/>
          <w:szCs w:val="24"/>
        </w:rPr>
        <w:instrText xml:space="preserve"> ADDIN ZOTERO_ITEM CSL_CITATION {"citationID":"NT8hq2Nd","properties":{"formattedCitation":"[15]","plainCitation":"[15]","noteIndex":0},"citationItems":[{"id":1073,"uris":["http://zotero.org/users/6184040/items/VKCK8HX3"],"uri":["http://zotero.org/users/6184040/items/VKCK8HX3"],"itemData":{"id":1073,"type":"book","abstract":"This Safety Requirements publication establishes requirements that support Principle 3 of the Fundamental Safety Principles in relation to establishing, sustaining and continuously improving leadership and management for safety and an integrated management system. It emphasizes that leadership for safety, management for safety, an effective management system and a systemic approach (i.e. an approach in which interactions between technical, human and organizational factors are duly considered) are all essential to the specification and application of adequate safety measures and to the fostering of a strong safety culture. Leadership and an effective management system will integrate safety, health, environmental, security, quality, human-and-organizational factors, societal and economic elements. The management system will ensure the fostering of a strong safety culture, regular assessment of performance and the application of lessons from experience. The publication is intended for use by regulatory bodies, operating organizations and other organizations concerned with facilities and activities that give rise to radiation risks.","collection-number":"No. GSR Part 2","collection-title":"IAEA Safety Standards Series","event-place":"Vienna","ISBN":"978-92-0-104516-4","language":"en-GB","publisher":"IAEA","publisher-place":"Vienna","title":"Leadership and Management for Safety","URL":"http://www-pub.iaea.org/MTCD/publications/PDF/Pub1750web.pdf","author":[{"literal":"International Atomic Energy Agency"}],"issued":{"date-parts":[["2016"]]}}}],"schema":"https://github.com/citation-style-language/schema/raw/master/csl-citation.json"} </w:instrText>
      </w:r>
      <w:r w:rsidR="00765B4B">
        <w:rPr>
          <w:color w:val="000000" w:themeColor="text1"/>
          <w:szCs w:val="24"/>
        </w:rPr>
        <w:fldChar w:fldCharType="separate"/>
      </w:r>
      <w:r w:rsidR="00765B4B" w:rsidRPr="00765B4B">
        <w:t>[15]</w:t>
      </w:r>
      <w:r w:rsidR="00765B4B">
        <w:rPr>
          <w:color w:val="000000" w:themeColor="text1"/>
          <w:szCs w:val="24"/>
        </w:rPr>
        <w:fldChar w:fldCharType="end"/>
      </w:r>
      <w:r w:rsidRPr="009B0975">
        <w:rPr>
          <w:color w:val="000000" w:themeColor="text1"/>
          <w:szCs w:val="24"/>
        </w:rPr>
        <w:t xml:space="preserve"> in the nuclear industry. However, industry leaders are not the only determinate, but cultures of operating organization and the regulator are interconnected. The way the nuclear industry responds to the regulator reflects the culture within the organization and impacts the culture of the regulator. Similarly, the way the regulator goes about its duties can significantly impact the safety culture within the nuclear industry.</w:t>
      </w:r>
    </w:p>
    <w:p w14:paraId="73CC3FB7" w14:textId="77777777" w:rsidR="009B0975" w:rsidRPr="009B0975" w:rsidRDefault="009B0975" w:rsidP="00414946">
      <w:pPr>
        <w:pStyle w:val="BodyText"/>
        <w:spacing w:after="120"/>
        <w:ind w:firstLine="567"/>
        <w:rPr>
          <w:color w:val="000000" w:themeColor="text1"/>
          <w:szCs w:val="24"/>
        </w:rPr>
      </w:pPr>
      <w:r w:rsidRPr="009B0975">
        <w:rPr>
          <w:color w:val="000000" w:themeColor="text1"/>
          <w:szCs w:val="24"/>
        </w:rPr>
        <w:t xml:space="preserve">While there has to be effective interaction within and between the various pillars, each has to be independent. For example, the regulator has to be independent from the nuclear industry, but this does not mean it should operate in isolation. </w:t>
      </w:r>
    </w:p>
    <w:p w14:paraId="7DB54F74" w14:textId="590F45A4" w:rsidR="009B0975" w:rsidRPr="009B0975" w:rsidRDefault="009B0975" w:rsidP="00414946">
      <w:pPr>
        <w:pStyle w:val="BodyText"/>
        <w:spacing w:after="120"/>
        <w:ind w:firstLine="567"/>
        <w:rPr>
          <w:color w:val="000000" w:themeColor="text1"/>
          <w:szCs w:val="24"/>
        </w:rPr>
      </w:pPr>
      <w:r w:rsidRPr="009B0975">
        <w:rPr>
          <w:color w:val="000000" w:themeColor="text1"/>
          <w:szCs w:val="24"/>
        </w:rPr>
        <w:t>For the third sub-system, the stakeholders, to be effective, the nuclear industry and the regulator have to communicate</w:t>
      </w:r>
      <w:r w:rsidR="00765B4B">
        <w:rPr>
          <w:color w:val="000000" w:themeColor="text1"/>
          <w:szCs w:val="24"/>
        </w:rPr>
        <w:t xml:space="preserve"> </w:t>
      </w:r>
      <w:r w:rsidR="00765B4B">
        <w:rPr>
          <w:color w:val="000000" w:themeColor="text1"/>
          <w:szCs w:val="24"/>
        </w:rPr>
        <w:fldChar w:fldCharType="begin"/>
      </w:r>
      <w:r w:rsidR="00765B4B">
        <w:rPr>
          <w:color w:val="000000" w:themeColor="text1"/>
          <w:szCs w:val="24"/>
        </w:rPr>
        <w:instrText xml:space="preserve"> ADDIN ZOTERO_ITEM CSL_CITATION {"citationID":"HpHdsVFA","properties":{"formattedCitation":"[16]","plainCitation":"[16]","noteIndex":0},"citationItems":[{"id":1075,"uris":["http://zotero.org/users/6184040/items/6KATN4IJ"],"uri":["http://zotero.org/users/6184040/items/6KATN4IJ"],"itemData":{"id":1075,"type":"book","collection-number":"GSG-6","collection-title":"General Safety Guides","event-place":"Vienna","ISBN":"978-92-0-102817-4","publisher":"INTERNATIONAL ATOMIC ENERGY AGENCY","publisher-place":"Vienna","title":"Communication and Consultation with Interested Parties by the Regulatory Body","URL":"https://www.iaea.org/publications/11029/communication-and-consultation-with-interested-parties-by-the-regulatory-body","issued":{"date-parts":[["2017"]]}}}],"schema":"https://github.com/citation-style-language/schema/raw/master/csl-citation.json"} </w:instrText>
      </w:r>
      <w:r w:rsidR="00765B4B">
        <w:rPr>
          <w:color w:val="000000" w:themeColor="text1"/>
          <w:szCs w:val="24"/>
        </w:rPr>
        <w:fldChar w:fldCharType="separate"/>
      </w:r>
      <w:r w:rsidR="00765B4B" w:rsidRPr="00765B4B">
        <w:t>[16]</w:t>
      </w:r>
      <w:r w:rsidR="00765B4B">
        <w:rPr>
          <w:color w:val="000000" w:themeColor="text1"/>
          <w:szCs w:val="24"/>
        </w:rPr>
        <w:fldChar w:fldCharType="end"/>
      </w:r>
      <w:r w:rsidRPr="009B0975">
        <w:rPr>
          <w:color w:val="000000" w:themeColor="text1"/>
          <w:szCs w:val="24"/>
        </w:rPr>
        <w:t xml:space="preserve"> with the stakeholders effectively</w:t>
      </w:r>
      <w:r w:rsidRPr="009B0975">
        <w:rPr>
          <w:rStyle w:val="FootnoteReference"/>
          <w:color w:val="000000" w:themeColor="text1"/>
          <w:szCs w:val="24"/>
        </w:rPr>
        <w:footnoteReference w:id="7"/>
      </w:r>
      <w:r w:rsidRPr="009B0975">
        <w:rPr>
          <w:color w:val="000000" w:themeColor="text1"/>
          <w:szCs w:val="24"/>
        </w:rPr>
        <w:t>. The operating organization must have a deep-rooted value of openness, transparency and accountability to stakeholders. Such communication can assist in enhancing stakeholders’ trust and confidence. Rather than just providing information, the nuclear industry has to engage positively with all stakeholders: listening, responding, seeking to learn and taking account of alternative views. Leaders in the nuclear industry must devote resources and attention, and maintain a commitment to welcome challenges, to listen, to respond openly, to learn and improve, and to engage positively with all those affected by their activities.</w:t>
      </w:r>
    </w:p>
    <w:p w14:paraId="2FB61EA3" w14:textId="77777777" w:rsidR="009B0975" w:rsidRPr="009B0975" w:rsidRDefault="009B0975" w:rsidP="00414946">
      <w:pPr>
        <w:pStyle w:val="BodyText"/>
        <w:spacing w:after="120"/>
        <w:ind w:firstLine="567"/>
        <w:rPr>
          <w:color w:val="000000" w:themeColor="text1"/>
          <w:szCs w:val="24"/>
        </w:rPr>
      </w:pPr>
      <w:r w:rsidRPr="009B0975">
        <w:rPr>
          <w:color w:val="000000" w:themeColor="text1"/>
          <w:szCs w:val="24"/>
        </w:rPr>
        <w:t xml:space="preserve">Thus, of special importance are the interactions between the sub-systems, and among the layers within the industry sub-system. </w:t>
      </w:r>
    </w:p>
    <w:p w14:paraId="4283A38D" w14:textId="77777777" w:rsidR="00436277" w:rsidRPr="00436277" w:rsidRDefault="00436277" w:rsidP="00436277">
      <w:pPr>
        <w:pStyle w:val="BodyText"/>
        <w:spacing w:after="0"/>
        <w:ind w:firstLine="567"/>
        <w:rPr>
          <w:szCs w:val="24"/>
        </w:rPr>
      </w:pPr>
    </w:p>
    <w:p w14:paraId="64E5551A" w14:textId="77777777" w:rsidR="004B33D9" w:rsidRDefault="004B33D9" w:rsidP="00436277">
      <w:pPr>
        <w:pStyle w:val="BodyText"/>
        <w:spacing w:after="0"/>
        <w:ind w:firstLine="567"/>
        <w:rPr>
          <w:szCs w:val="24"/>
        </w:rPr>
      </w:pPr>
    </w:p>
    <w:p w14:paraId="24508481" w14:textId="7B503E33" w:rsidR="004B33D9" w:rsidRDefault="001F1616" w:rsidP="004B33D9">
      <w:pPr>
        <w:pStyle w:val="Heading1"/>
      </w:pPr>
      <w:bookmarkStart w:id="24" w:name="_Toc78389034"/>
      <w:bookmarkStart w:id="25" w:name="_Toc78389511"/>
      <w:bookmarkStart w:id="26" w:name="_Toc78389988"/>
      <w:bookmarkStart w:id="27" w:name="_Toc78389035"/>
      <w:bookmarkStart w:id="28" w:name="_Toc78389512"/>
      <w:bookmarkStart w:id="29" w:name="_Toc78389989"/>
      <w:bookmarkStart w:id="30" w:name="_Toc78389036"/>
      <w:bookmarkStart w:id="31" w:name="_Toc78389513"/>
      <w:bookmarkStart w:id="32" w:name="_Toc78389990"/>
      <w:bookmarkStart w:id="33" w:name="_Toc78389037"/>
      <w:bookmarkStart w:id="34" w:name="_Toc78389514"/>
      <w:bookmarkStart w:id="35" w:name="_Toc78389991"/>
      <w:bookmarkStart w:id="36" w:name="_Toc78389038"/>
      <w:bookmarkStart w:id="37" w:name="_Toc78389515"/>
      <w:bookmarkStart w:id="38" w:name="_Toc78389992"/>
      <w:bookmarkStart w:id="39" w:name="_Toc78389039"/>
      <w:bookmarkStart w:id="40" w:name="_Toc78389516"/>
      <w:bookmarkStart w:id="41" w:name="_Toc78389993"/>
      <w:bookmarkStart w:id="42" w:name="_Toc78389040"/>
      <w:bookmarkStart w:id="43" w:name="_Toc78389517"/>
      <w:bookmarkStart w:id="44" w:name="_Toc78389994"/>
      <w:bookmarkStart w:id="45" w:name="_Toc78389041"/>
      <w:bookmarkStart w:id="46" w:name="_Toc78389518"/>
      <w:bookmarkStart w:id="47" w:name="_Toc78389995"/>
      <w:bookmarkStart w:id="48" w:name="_Toc78389042"/>
      <w:bookmarkStart w:id="49" w:name="_Toc78389519"/>
      <w:bookmarkStart w:id="50" w:name="_Toc78389996"/>
      <w:bookmarkStart w:id="51" w:name="_Toc78389043"/>
      <w:bookmarkStart w:id="52" w:name="_Toc78389520"/>
      <w:bookmarkStart w:id="53" w:name="_Toc78389997"/>
      <w:bookmarkStart w:id="54" w:name="_Toc78389044"/>
      <w:bookmarkStart w:id="55" w:name="_Toc78389521"/>
      <w:bookmarkStart w:id="56" w:name="_Toc78389998"/>
      <w:bookmarkStart w:id="57" w:name="_Toc78389045"/>
      <w:bookmarkStart w:id="58" w:name="_Toc78389522"/>
      <w:bookmarkStart w:id="59" w:name="_Toc78389999"/>
      <w:bookmarkStart w:id="60" w:name="_Toc78389046"/>
      <w:bookmarkStart w:id="61" w:name="_Toc78389523"/>
      <w:bookmarkStart w:id="62" w:name="_Toc78390000"/>
      <w:bookmarkStart w:id="63" w:name="_Toc78389047"/>
      <w:bookmarkStart w:id="64" w:name="_Toc78389524"/>
      <w:bookmarkStart w:id="65" w:name="_Toc78390001"/>
      <w:bookmarkStart w:id="66" w:name="_Toc78389048"/>
      <w:bookmarkStart w:id="67" w:name="_Toc78389525"/>
      <w:bookmarkStart w:id="68" w:name="_Toc78390002"/>
      <w:bookmarkStart w:id="69" w:name="_Toc78389049"/>
      <w:bookmarkStart w:id="70" w:name="_Toc78389526"/>
      <w:bookmarkStart w:id="71" w:name="_Toc78390003"/>
      <w:bookmarkStart w:id="72" w:name="_Toc78389050"/>
      <w:bookmarkStart w:id="73" w:name="_Toc78389527"/>
      <w:bookmarkStart w:id="74" w:name="_Toc78390004"/>
      <w:bookmarkStart w:id="75" w:name="_Toc78389051"/>
      <w:bookmarkStart w:id="76" w:name="_Toc78389528"/>
      <w:bookmarkStart w:id="77" w:name="_Toc78390005"/>
      <w:bookmarkStart w:id="78" w:name="_Toc78389052"/>
      <w:bookmarkStart w:id="79" w:name="_Toc78389529"/>
      <w:bookmarkStart w:id="80" w:name="_Toc78390006"/>
      <w:bookmarkStart w:id="81" w:name="_Toc78389053"/>
      <w:bookmarkStart w:id="82" w:name="_Toc78389530"/>
      <w:bookmarkStart w:id="83" w:name="_Toc78390007"/>
      <w:bookmarkStart w:id="84" w:name="_Toc78389054"/>
      <w:bookmarkStart w:id="85" w:name="_Toc78389531"/>
      <w:bookmarkStart w:id="86" w:name="_Toc78390008"/>
      <w:bookmarkStart w:id="87" w:name="_Toc78389055"/>
      <w:bookmarkStart w:id="88" w:name="_Toc78389532"/>
      <w:bookmarkStart w:id="89" w:name="_Toc78390009"/>
      <w:bookmarkStart w:id="90" w:name="_Toc78389056"/>
      <w:bookmarkStart w:id="91" w:name="_Toc78389533"/>
      <w:bookmarkStart w:id="92" w:name="_Toc78390010"/>
      <w:bookmarkStart w:id="93" w:name="_Toc78389057"/>
      <w:bookmarkStart w:id="94" w:name="_Toc78389534"/>
      <w:bookmarkStart w:id="95" w:name="_Toc78390011"/>
      <w:bookmarkStart w:id="96" w:name="_Toc78389058"/>
      <w:bookmarkStart w:id="97" w:name="_Toc78389535"/>
      <w:bookmarkStart w:id="98" w:name="_Toc78390012"/>
      <w:bookmarkStart w:id="99" w:name="_Toc78389059"/>
      <w:bookmarkStart w:id="100" w:name="_Toc78389536"/>
      <w:bookmarkStart w:id="101" w:name="_Toc78390013"/>
      <w:bookmarkStart w:id="102" w:name="_Toc78389060"/>
      <w:bookmarkStart w:id="103" w:name="_Toc78389537"/>
      <w:bookmarkStart w:id="104" w:name="_Toc78390014"/>
      <w:bookmarkStart w:id="105" w:name="_Toc78389061"/>
      <w:bookmarkStart w:id="106" w:name="_Toc78389538"/>
      <w:bookmarkStart w:id="107" w:name="_Toc78390015"/>
      <w:bookmarkStart w:id="108" w:name="_Toc78389062"/>
      <w:bookmarkStart w:id="109" w:name="_Toc78389539"/>
      <w:bookmarkStart w:id="110" w:name="_Toc78390016"/>
      <w:bookmarkStart w:id="111" w:name="_Toc78389063"/>
      <w:bookmarkStart w:id="112" w:name="_Toc78389540"/>
      <w:bookmarkStart w:id="113" w:name="_Toc78390017"/>
      <w:bookmarkStart w:id="114" w:name="_Toc78389064"/>
      <w:bookmarkStart w:id="115" w:name="_Toc78389541"/>
      <w:bookmarkStart w:id="116" w:name="_Toc78390018"/>
      <w:bookmarkStart w:id="117" w:name="_Toc78389065"/>
      <w:bookmarkStart w:id="118" w:name="_Toc78389542"/>
      <w:bookmarkStart w:id="119" w:name="_Toc78390019"/>
      <w:bookmarkStart w:id="120" w:name="_Toc78389066"/>
      <w:bookmarkStart w:id="121" w:name="_Toc78389543"/>
      <w:bookmarkStart w:id="122" w:name="_Toc78390020"/>
      <w:bookmarkStart w:id="123" w:name="_Toc78389067"/>
      <w:bookmarkStart w:id="124" w:name="_Toc78389544"/>
      <w:bookmarkStart w:id="125" w:name="_Toc78390021"/>
      <w:bookmarkStart w:id="126" w:name="_Toc78389068"/>
      <w:bookmarkStart w:id="127" w:name="_Toc78389545"/>
      <w:bookmarkStart w:id="128" w:name="_Toc78390022"/>
      <w:bookmarkStart w:id="129" w:name="_Toc78389069"/>
      <w:bookmarkStart w:id="130" w:name="_Toc78389546"/>
      <w:bookmarkStart w:id="131" w:name="_Toc78390023"/>
      <w:bookmarkStart w:id="132" w:name="_Toc78389070"/>
      <w:bookmarkStart w:id="133" w:name="_Toc78389547"/>
      <w:bookmarkStart w:id="134" w:name="_Toc78390024"/>
      <w:bookmarkStart w:id="135" w:name="_Toc78389071"/>
      <w:bookmarkStart w:id="136" w:name="_Toc78389548"/>
      <w:bookmarkStart w:id="137" w:name="_Toc78390025"/>
      <w:bookmarkStart w:id="138" w:name="_Toc78389072"/>
      <w:bookmarkStart w:id="139" w:name="_Toc78389549"/>
      <w:bookmarkStart w:id="140" w:name="_Toc78390026"/>
      <w:bookmarkStart w:id="141" w:name="_Toc78389073"/>
      <w:bookmarkStart w:id="142" w:name="_Toc78389550"/>
      <w:bookmarkStart w:id="143" w:name="_Toc78390027"/>
      <w:bookmarkStart w:id="144" w:name="_Toc78389074"/>
      <w:bookmarkStart w:id="145" w:name="_Toc78389551"/>
      <w:bookmarkStart w:id="146" w:name="_Toc78390028"/>
      <w:bookmarkStart w:id="147" w:name="_Toc78389075"/>
      <w:bookmarkStart w:id="148" w:name="_Toc78389552"/>
      <w:bookmarkStart w:id="149" w:name="_Toc78390029"/>
      <w:bookmarkStart w:id="150" w:name="_Toc78389076"/>
      <w:bookmarkStart w:id="151" w:name="_Toc78389553"/>
      <w:bookmarkStart w:id="152" w:name="_Toc78390030"/>
      <w:bookmarkStart w:id="153" w:name="_Toc78389077"/>
      <w:bookmarkStart w:id="154" w:name="_Toc78389554"/>
      <w:bookmarkStart w:id="155" w:name="_Toc78390031"/>
      <w:bookmarkStart w:id="156" w:name="_Toc78389078"/>
      <w:bookmarkStart w:id="157" w:name="_Toc78389555"/>
      <w:bookmarkStart w:id="158" w:name="_Toc78390032"/>
      <w:bookmarkStart w:id="159" w:name="_Toc78389079"/>
      <w:bookmarkStart w:id="160" w:name="_Toc78389556"/>
      <w:bookmarkStart w:id="161" w:name="_Toc78390033"/>
      <w:bookmarkStart w:id="162" w:name="_Toc78389080"/>
      <w:bookmarkStart w:id="163" w:name="_Toc78389557"/>
      <w:bookmarkStart w:id="164" w:name="_Toc78390034"/>
      <w:bookmarkStart w:id="165" w:name="_Toc78389081"/>
      <w:bookmarkStart w:id="166" w:name="_Toc78389558"/>
      <w:bookmarkStart w:id="167" w:name="_Toc78390035"/>
      <w:bookmarkStart w:id="168" w:name="_Toc78389082"/>
      <w:bookmarkStart w:id="169" w:name="_Toc78389559"/>
      <w:bookmarkStart w:id="170" w:name="_Toc78390036"/>
      <w:bookmarkStart w:id="171" w:name="_Toc78389083"/>
      <w:bookmarkStart w:id="172" w:name="_Toc78389560"/>
      <w:bookmarkStart w:id="173" w:name="_Toc78390037"/>
      <w:bookmarkStart w:id="174" w:name="_Toc78389084"/>
      <w:bookmarkStart w:id="175" w:name="_Toc78389561"/>
      <w:bookmarkStart w:id="176" w:name="_Toc78390038"/>
      <w:bookmarkStart w:id="177" w:name="_Toc78389085"/>
      <w:bookmarkStart w:id="178" w:name="_Toc78389562"/>
      <w:bookmarkStart w:id="179" w:name="_Toc78390039"/>
      <w:bookmarkStart w:id="180" w:name="_Toc78389086"/>
      <w:bookmarkStart w:id="181" w:name="_Toc78389563"/>
      <w:bookmarkStart w:id="182" w:name="_Toc78390040"/>
      <w:bookmarkStart w:id="183" w:name="_Toc78389087"/>
      <w:bookmarkStart w:id="184" w:name="_Toc78389564"/>
      <w:bookmarkStart w:id="185" w:name="_Toc78390041"/>
      <w:bookmarkStart w:id="186" w:name="_Toc78389088"/>
      <w:bookmarkStart w:id="187" w:name="_Toc78389565"/>
      <w:bookmarkStart w:id="188" w:name="_Toc78390042"/>
      <w:bookmarkStart w:id="189" w:name="_Toc78389089"/>
      <w:bookmarkStart w:id="190" w:name="_Toc78389566"/>
      <w:bookmarkStart w:id="191" w:name="_Toc78390043"/>
      <w:bookmarkStart w:id="192" w:name="_Toc78389090"/>
      <w:bookmarkStart w:id="193" w:name="_Toc78389567"/>
      <w:bookmarkStart w:id="194" w:name="_Toc78390044"/>
      <w:bookmarkStart w:id="195" w:name="_Toc78389091"/>
      <w:bookmarkStart w:id="196" w:name="_Toc78389568"/>
      <w:bookmarkStart w:id="197" w:name="_Toc78390045"/>
      <w:bookmarkStart w:id="198" w:name="_Toc78389092"/>
      <w:bookmarkStart w:id="199" w:name="_Toc78389569"/>
      <w:bookmarkStart w:id="200" w:name="_Toc78390046"/>
      <w:bookmarkStart w:id="201" w:name="_Toc78389093"/>
      <w:bookmarkStart w:id="202" w:name="_Toc78389570"/>
      <w:bookmarkStart w:id="203" w:name="_Toc78390047"/>
      <w:bookmarkStart w:id="204" w:name="_Toc78389094"/>
      <w:bookmarkStart w:id="205" w:name="_Toc78389571"/>
      <w:bookmarkStart w:id="206" w:name="_Toc78390048"/>
      <w:bookmarkStart w:id="207" w:name="_Toc78389095"/>
      <w:bookmarkStart w:id="208" w:name="_Toc78389572"/>
      <w:bookmarkStart w:id="209" w:name="_Toc78390049"/>
      <w:bookmarkStart w:id="210" w:name="_Toc78389096"/>
      <w:bookmarkStart w:id="211" w:name="_Toc78389573"/>
      <w:bookmarkStart w:id="212" w:name="_Toc78390050"/>
      <w:bookmarkStart w:id="213" w:name="_Toc78389097"/>
      <w:bookmarkStart w:id="214" w:name="_Toc78389574"/>
      <w:bookmarkStart w:id="215" w:name="_Toc78390051"/>
      <w:bookmarkStart w:id="216" w:name="_Toc78389098"/>
      <w:bookmarkStart w:id="217" w:name="_Toc78389575"/>
      <w:bookmarkStart w:id="218" w:name="_Toc78390052"/>
      <w:bookmarkStart w:id="219" w:name="_Toc78389099"/>
      <w:bookmarkStart w:id="220" w:name="_Toc78389576"/>
      <w:bookmarkStart w:id="221" w:name="_Toc78390053"/>
      <w:bookmarkStart w:id="222" w:name="_Toc78389100"/>
      <w:bookmarkStart w:id="223" w:name="_Toc78389577"/>
      <w:bookmarkStart w:id="224" w:name="_Toc78390054"/>
      <w:bookmarkStart w:id="225" w:name="_Toc78389101"/>
      <w:bookmarkStart w:id="226" w:name="_Toc78389578"/>
      <w:bookmarkStart w:id="227" w:name="_Toc78390055"/>
      <w:bookmarkStart w:id="228" w:name="_Toc78389102"/>
      <w:bookmarkStart w:id="229" w:name="_Toc78389579"/>
      <w:bookmarkStart w:id="230" w:name="_Toc78389103"/>
      <w:bookmarkStart w:id="231" w:name="_Toc78389580"/>
      <w:bookmarkStart w:id="232" w:name="_Toc78390057"/>
      <w:bookmarkStart w:id="233" w:name="_Toc78389104"/>
      <w:bookmarkStart w:id="234" w:name="_Toc78389581"/>
      <w:bookmarkStart w:id="235" w:name="_Toc78390058"/>
      <w:bookmarkStart w:id="236" w:name="_Toc78389105"/>
      <w:bookmarkStart w:id="237" w:name="_Toc78389582"/>
      <w:bookmarkStart w:id="238" w:name="_Toc78390059"/>
      <w:bookmarkStart w:id="239" w:name="_Toc78389106"/>
      <w:bookmarkStart w:id="240" w:name="_Toc78389583"/>
      <w:bookmarkStart w:id="241" w:name="_Toc78390060"/>
      <w:bookmarkStart w:id="242" w:name="_Toc78389107"/>
      <w:bookmarkStart w:id="243" w:name="_Toc78389584"/>
      <w:bookmarkStart w:id="244" w:name="_Toc78390061"/>
      <w:bookmarkStart w:id="245" w:name="_Toc78389108"/>
      <w:bookmarkStart w:id="246" w:name="_Toc78389585"/>
      <w:bookmarkStart w:id="247" w:name="_Toc78390062"/>
      <w:bookmarkStart w:id="248" w:name="_Toc78389109"/>
      <w:bookmarkStart w:id="249" w:name="_Toc78389586"/>
      <w:bookmarkStart w:id="250" w:name="_Toc78390063"/>
      <w:bookmarkStart w:id="251" w:name="_Toc78389110"/>
      <w:bookmarkStart w:id="252" w:name="_Toc78389587"/>
      <w:bookmarkStart w:id="253" w:name="_Toc78390064"/>
      <w:bookmarkStart w:id="254" w:name="_Toc78389111"/>
      <w:bookmarkStart w:id="255" w:name="_Toc78389588"/>
      <w:bookmarkStart w:id="256" w:name="_Toc78390065"/>
      <w:bookmarkStart w:id="257" w:name="_Toc78389112"/>
      <w:bookmarkStart w:id="258" w:name="_Toc78389589"/>
      <w:bookmarkStart w:id="259" w:name="_Toc78390066"/>
      <w:bookmarkStart w:id="260" w:name="_Toc78389113"/>
      <w:bookmarkStart w:id="261" w:name="_Toc78389590"/>
      <w:bookmarkStart w:id="262" w:name="_Toc78390067"/>
      <w:bookmarkStart w:id="263" w:name="_Toc78389114"/>
      <w:bookmarkStart w:id="264" w:name="_Toc78389591"/>
      <w:bookmarkStart w:id="265" w:name="_Toc78390068"/>
      <w:bookmarkStart w:id="266" w:name="_Toc78389115"/>
      <w:bookmarkStart w:id="267" w:name="_Toc78389592"/>
      <w:bookmarkStart w:id="268" w:name="_Toc78390069"/>
      <w:bookmarkStart w:id="269" w:name="_Toc78389116"/>
      <w:bookmarkStart w:id="270" w:name="_Toc78389593"/>
      <w:bookmarkStart w:id="271" w:name="_Toc78390070"/>
      <w:bookmarkStart w:id="272" w:name="_Toc78389117"/>
      <w:bookmarkStart w:id="273" w:name="_Toc78389594"/>
      <w:bookmarkStart w:id="274" w:name="_Toc78390071"/>
      <w:bookmarkStart w:id="275" w:name="_Toc78389118"/>
      <w:bookmarkStart w:id="276" w:name="_Toc78389595"/>
      <w:bookmarkStart w:id="277" w:name="_Toc78390072"/>
      <w:bookmarkStart w:id="278" w:name="_Toc78389119"/>
      <w:bookmarkStart w:id="279" w:name="_Toc78389596"/>
      <w:bookmarkStart w:id="280" w:name="_Toc78390073"/>
      <w:bookmarkStart w:id="281" w:name="_Toc78389120"/>
      <w:bookmarkStart w:id="282" w:name="_Toc78389597"/>
      <w:bookmarkStart w:id="283" w:name="_Toc78390074"/>
      <w:bookmarkStart w:id="284" w:name="_Toc78389121"/>
      <w:bookmarkStart w:id="285" w:name="_Toc78389598"/>
      <w:bookmarkStart w:id="286" w:name="_Toc78390075"/>
      <w:bookmarkStart w:id="287" w:name="_Toc78389122"/>
      <w:bookmarkStart w:id="288" w:name="_Toc78389599"/>
      <w:bookmarkStart w:id="289" w:name="_Toc78390076"/>
      <w:bookmarkStart w:id="290" w:name="_Toc78389123"/>
      <w:bookmarkStart w:id="291" w:name="_Toc78389600"/>
      <w:bookmarkStart w:id="292" w:name="_Toc78390077"/>
      <w:bookmarkStart w:id="293" w:name="_Toc78389124"/>
      <w:bookmarkStart w:id="294" w:name="_Toc78389601"/>
      <w:bookmarkStart w:id="295" w:name="_Toc78390078"/>
      <w:bookmarkStart w:id="296" w:name="_Toc78389125"/>
      <w:bookmarkStart w:id="297" w:name="_Toc78389602"/>
      <w:bookmarkStart w:id="298" w:name="_Toc78390079"/>
      <w:bookmarkStart w:id="299" w:name="_Toc78389126"/>
      <w:bookmarkStart w:id="300" w:name="_Toc78389603"/>
      <w:bookmarkStart w:id="301" w:name="_Toc78390080"/>
      <w:bookmarkStart w:id="302" w:name="_Toc78389127"/>
      <w:bookmarkStart w:id="303" w:name="_Toc78389604"/>
      <w:bookmarkStart w:id="304" w:name="_Toc78390081"/>
      <w:bookmarkStart w:id="305" w:name="_Toc78389128"/>
      <w:bookmarkStart w:id="306" w:name="_Toc78389605"/>
      <w:bookmarkStart w:id="307" w:name="_Toc78390082"/>
      <w:bookmarkStart w:id="308" w:name="_Toc78389129"/>
      <w:bookmarkStart w:id="309" w:name="_Toc78389606"/>
      <w:bookmarkStart w:id="310" w:name="_Toc78390083"/>
      <w:bookmarkStart w:id="311" w:name="_Toc78389130"/>
      <w:bookmarkStart w:id="312" w:name="_Toc78389607"/>
      <w:bookmarkStart w:id="313" w:name="_Toc78390084"/>
      <w:bookmarkStart w:id="314" w:name="_Toc78389131"/>
      <w:bookmarkStart w:id="315" w:name="_Toc78389608"/>
      <w:bookmarkStart w:id="316" w:name="_Toc78390085"/>
      <w:bookmarkStart w:id="317" w:name="_Toc78389132"/>
      <w:bookmarkStart w:id="318" w:name="_Toc78389609"/>
      <w:bookmarkStart w:id="319" w:name="_Toc78390086"/>
      <w:bookmarkStart w:id="320" w:name="_Toc78389133"/>
      <w:bookmarkStart w:id="321" w:name="_Toc78389610"/>
      <w:bookmarkStart w:id="322" w:name="_Toc78390087"/>
      <w:bookmarkStart w:id="323" w:name="_Toc78389134"/>
      <w:bookmarkStart w:id="324" w:name="_Toc78389611"/>
      <w:bookmarkStart w:id="325" w:name="_Toc78390088"/>
      <w:bookmarkStart w:id="326" w:name="_Toc78389135"/>
      <w:bookmarkStart w:id="327" w:name="_Toc78389612"/>
      <w:bookmarkStart w:id="328" w:name="_Toc78390089"/>
      <w:bookmarkStart w:id="329" w:name="_Toc78389136"/>
      <w:bookmarkStart w:id="330" w:name="_Toc78389613"/>
      <w:bookmarkStart w:id="331" w:name="_Toc78390090"/>
      <w:bookmarkStart w:id="332" w:name="_Toc78389137"/>
      <w:bookmarkStart w:id="333" w:name="_Toc78389614"/>
      <w:bookmarkStart w:id="334" w:name="_Toc78390091"/>
      <w:bookmarkStart w:id="335" w:name="_Toc78389138"/>
      <w:bookmarkStart w:id="336" w:name="_Toc78389615"/>
      <w:bookmarkStart w:id="337" w:name="_Toc78390092"/>
      <w:bookmarkStart w:id="338" w:name="_Toc78389139"/>
      <w:bookmarkStart w:id="339" w:name="_Toc78389616"/>
      <w:bookmarkStart w:id="340" w:name="_Toc78390093"/>
      <w:bookmarkStart w:id="341" w:name="_Toc78389140"/>
      <w:bookmarkStart w:id="342" w:name="_Toc78389617"/>
      <w:bookmarkStart w:id="343" w:name="_Toc78390094"/>
      <w:bookmarkStart w:id="344" w:name="_Toc78389141"/>
      <w:bookmarkStart w:id="345" w:name="_Toc78389618"/>
      <w:bookmarkStart w:id="346" w:name="_Toc78390095"/>
      <w:bookmarkStart w:id="347" w:name="_Toc78389142"/>
      <w:bookmarkStart w:id="348" w:name="_Toc78389619"/>
      <w:bookmarkStart w:id="349" w:name="_Toc78390096"/>
      <w:bookmarkStart w:id="350" w:name="_Toc78389143"/>
      <w:bookmarkStart w:id="351" w:name="_Toc78389620"/>
      <w:bookmarkStart w:id="352" w:name="_Toc78390097"/>
      <w:bookmarkStart w:id="353" w:name="_Toc78389144"/>
      <w:bookmarkStart w:id="354" w:name="_Toc78389621"/>
      <w:bookmarkStart w:id="355" w:name="_Toc78390098"/>
      <w:bookmarkStart w:id="356" w:name="_Toc78389145"/>
      <w:bookmarkStart w:id="357" w:name="_Toc78389622"/>
      <w:bookmarkStart w:id="358" w:name="_Toc78390099"/>
      <w:bookmarkStart w:id="359" w:name="_Toc78389146"/>
      <w:bookmarkStart w:id="360" w:name="_Toc78389623"/>
      <w:bookmarkStart w:id="361" w:name="_Toc78390100"/>
      <w:bookmarkStart w:id="362" w:name="_Toc78389147"/>
      <w:bookmarkStart w:id="363" w:name="_Toc78389624"/>
      <w:bookmarkStart w:id="364" w:name="_Toc78390101"/>
      <w:bookmarkStart w:id="365" w:name="_Toc78389148"/>
      <w:bookmarkStart w:id="366" w:name="_Toc78389625"/>
      <w:bookmarkStart w:id="367" w:name="_Toc78390102"/>
      <w:bookmarkStart w:id="368" w:name="_Toc78389149"/>
      <w:bookmarkStart w:id="369" w:name="_Toc78389626"/>
      <w:bookmarkStart w:id="370" w:name="_Toc78390103"/>
      <w:bookmarkStart w:id="371" w:name="_Toc78389150"/>
      <w:bookmarkStart w:id="372" w:name="_Toc78389627"/>
      <w:bookmarkStart w:id="373" w:name="_Toc78390104"/>
      <w:bookmarkStart w:id="374" w:name="_Toc78389151"/>
      <w:bookmarkStart w:id="375" w:name="_Toc78389628"/>
      <w:bookmarkStart w:id="376" w:name="_Toc78390105"/>
      <w:bookmarkStart w:id="377" w:name="_Toc78389152"/>
      <w:bookmarkStart w:id="378" w:name="_Toc78389629"/>
      <w:bookmarkStart w:id="379" w:name="_Toc78390106"/>
      <w:bookmarkStart w:id="380" w:name="_Toc78389153"/>
      <w:bookmarkStart w:id="381" w:name="_Toc78389630"/>
      <w:bookmarkStart w:id="382" w:name="_Toc78390107"/>
      <w:bookmarkStart w:id="383" w:name="_Toc78389154"/>
      <w:bookmarkStart w:id="384" w:name="_Toc78389631"/>
      <w:bookmarkStart w:id="385" w:name="_Toc78390108"/>
      <w:bookmarkStart w:id="386" w:name="_Toc78389155"/>
      <w:bookmarkStart w:id="387" w:name="_Toc78389632"/>
      <w:bookmarkStart w:id="388" w:name="_Toc78390109"/>
      <w:bookmarkStart w:id="389" w:name="_Toc78389156"/>
      <w:bookmarkStart w:id="390" w:name="_Toc78389633"/>
      <w:bookmarkStart w:id="391" w:name="_Toc78390110"/>
      <w:bookmarkStart w:id="392" w:name="_Toc78389157"/>
      <w:bookmarkStart w:id="393" w:name="_Toc78389634"/>
      <w:bookmarkStart w:id="394" w:name="_Toc78390111"/>
      <w:bookmarkStart w:id="395" w:name="_Toc78389158"/>
      <w:bookmarkStart w:id="396" w:name="_Toc78389635"/>
      <w:bookmarkStart w:id="397" w:name="_Toc78390112"/>
      <w:bookmarkStart w:id="398" w:name="_Toc78389159"/>
      <w:bookmarkStart w:id="399" w:name="_Toc78389636"/>
      <w:bookmarkStart w:id="400" w:name="_Toc78389160"/>
      <w:bookmarkStart w:id="401" w:name="_Toc78389637"/>
      <w:bookmarkStart w:id="402" w:name="_Toc78390114"/>
      <w:bookmarkStart w:id="403" w:name="_Toc78389161"/>
      <w:bookmarkStart w:id="404" w:name="_Toc78389638"/>
      <w:bookmarkStart w:id="405" w:name="_Toc78390115"/>
      <w:bookmarkStart w:id="406" w:name="_Toc78389162"/>
      <w:bookmarkStart w:id="407" w:name="_Toc78389639"/>
      <w:bookmarkStart w:id="408" w:name="_Toc78390116"/>
      <w:bookmarkStart w:id="409" w:name="_Toc78389163"/>
      <w:bookmarkStart w:id="410" w:name="_Toc78389640"/>
      <w:bookmarkStart w:id="411" w:name="_Toc78390117"/>
      <w:bookmarkStart w:id="412" w:name="_Toc78389164"/>
      <w:bookmarkStart w:id="413" w:name="_Toc78389641"/>
      <w:bookmarkStart w:id="414" w:name="_Toc78390118"/>
      <w:bookmarkStart w:id="415" w:name="_Toc78389165"/>
      <w:bookmarkStart w:id="416" w:name="_Toc78389642"/>
      <w:bookmarkStart w:id="417" w:name="_Toc78390119"/>
      <w:bookmarkStart w:id="418" w:name="_Toc78389166"/>
      <w:bookmarkStart w:id="419" w:name="_Toc78389643"/>
      <w:bookmarkStart w:id="420" w:name="_Toc78390120"/>
      <w:bookmarkStart w:id="421" w:name="_Toc78389167"/>
      <w:bookmarkStart w:id="422" w:name="_Toc78389644"/>
      <w:bookmarkStart w:id="423" w:name="_Toc78390121"/>
      <w:bookmarkStart w:id="424" w:name="_Toc78389168"/>
      <w:bookmarkStart w:id="425" w:name="_Toc78389645"/>
      <w:bookmarkStart w:id="426" w:name="_Toc78390122"/>
      <w:bookmarkStart w:id="427" w:name="_Toc78389169"/>
      <w:bookmarkStart w:id="428" w:name="_Toc78389646"/>
      <w:bookmarkStart w:id="429" w:name="_Toc78390123"/>
      <w:bookmarkStart w:id="430" w:name="_Toc78389170"/>
      <w:bookmarkStart w:id="431" w:name="_Toc78389647"/>
      <w:bookmarkStart w:id="432" w:name="_Toc78390124"/>
      <w:bookmarkStart w:id="433" w:name="_Toc78389171"/>
      <w:bookmarkStart w:id="434" w:name="_Toc78389648"/>
      <w:bookmarkStart w:id="435" w:name="_Toc78390125"/>
      <w:bookmarkStart w:id="436" w:name="_Toc78389172"/>
      <w:bookmarkStart w:id="437" w:name="_Toc78389649"/>
      <w:bookmarkStart w:id="438" w:name="_Toc78390126"/>
      <w:bookmarkStart w:id="439" w:name="_Toc78389173"/>
      <w:bookmarkStart w:id="440" w:name="_Toc78389650"/>
      <w:bookmarkStart w:id="441" w:name="_Toc78390127"/>
      <w:bookmarkStart w:id="442" w:name="_Toc78389174"/>
      <w:bookmarkStart w:id="443" w:name="_Toc78389651"/>
      <w:bookmarkStart w:id="444" w:name="_Toc78390128"/>
      <w:bookmarkStart w:id="445" w:name="_Toc78389175"/>
      <w:bookmarkStart w:id="446" w:name="_Toc78389652"/>
      <w:bookmarkStart w:id="447" w:name="_Toc78390129"/>
      <w:bookmarkStart w:id="448" w:name="_Toc78389176"/>
      <w:bookmarkStart w:id="449" w:name="_Toc78389653"/>
      <w:bookmarkStart w:id="450" w:name="_Toc78390130"/>
      <w:bookmarkStart w:id="451" w:name="_Toc78389177"/>
      <w:bookmarkStart w:id="452" w:name="_Toc78389654"/>
      <w:bookmarkStart w:id="453" w:name="_Toc78390131"/>
      <w:bookmarkStart w:id="454" w:name="_Toc87627661"/>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r>
        <w:lastRenderedPageBreak/>
        <w:t xml:space="preserve">key </w:t>
      </w:r>
      <w:r w:rsidR="00003301">
        <w:t xml:space="preserve">attributes </w:t>
      </w:r>
      <w:r w:rsidR="00917470">
        <w:t xml:space="preserve">of institutional strength in depth in nuclear </w:t>
      </w:r>
      <w:r w:rsidR="00DD39EC">
        <w:t>organization</w:t>
      </w:r>
      <w:r w:rsidR="009C3348">
        <w:t>s</w:t>
      </w:r>
      <w:bookmarkEnd w:id="454"/>
    </w:p>
    <w:p w14:paraId="3E52E089" w14:textId="77777777" w:rsidR="001639B5" w:rsidRDefault="00EF6DE5" w:rsidP="001639B5">
      <w:pPr>
        <w:pStyle w:val="BodyText"/>
        <w:spacing w:after="120"/>
        <w:ind w:firstLine="567"/>
      </w:pPr>
      <w:r w:rsidRPr="004B33D9">
        <w:t>To achieve high levels of safety in all circumstances and against all challenges, the nuclear safety system in its entirety needs to be</w:t>
      </w:r>
      <w:r w:rsidR="00930925" w:rsidRPr="004B33D9">
        <w:t xml:space="preserve"> both</w:t>
      </w:r>
      <w:r w:rsidRPr="004B33D9">
        <w:t xml:space="preserve"> robust</w:t>
      </w:r>
      <w:r w:rsidR="00930925" w:rsidRPr="004B33D9">
        <w:t xml:space="preserve"> and resilient</w:t>
      </w:r>
      <w:r w:rsidRPr="004B33D9">
        <w:t xml:space="preserve"> </w:t>
      </w:r>
      <w:r w:rsidR="00793AAE">
        <w:fldChar w:fldCharType="begin"/>
      </w:r>
      <w:r w:rsidR="00793AAE">
        <w:instrText xml:space="preserve"> ADDIN ZOTERO_ITEM CSL_CITATION {"citationID":"HFiuKYff","properties":{"formattedCitation":"[17]","plainCitation":"[17]","noteIndex":0},"citationItems":[{"id":1077,"uris":["http://zotero.org/users/6184040/items/J8HICT3U"],"uri":["http://zotero.org/users/6184040/items/J8HICT3U"],"itemData":{"id":1077,"type":"book","collection-number":"27","collection-title":"INSAG Series","event-place":"Vienna","ISBN":"978-92-0-102317-9","publisher":"INTERNATIONAL ATOMIC ENERGY AGENCY","publisher-place":"Vienna","title":"Ensuring Robust National Nuclear Safety Systems — Institutional Strength in Depth","URL":"https://www.iaea.org/publications/11148/ensuring-robust-national-nuclear-safety-systems-institutional-strength-in-depth","issued":{"date-parts":[["2017"]]}}}],"schema":"https://github.com/citation-style-language/schema/raw/master/csl-citation.json"} </w:instrText>
      </w:r>
      <w:r w:rsidR="00793AAE">
        <w:fldChar w:fldCharType="separate"/>
      </w:r>
      <w:r w:rsidR="00793AAE" w:rsidRPr="00793AAE">
        <w:t>[17]</w:t>
      </w:r>
      <w:r w:rsidR="00793AAE">
        <w:fldChar w:fldCharType="end"/>
      </w:r>
      <w:r w:rsidR="00793AAE">
        <w:t>.</w:t>
      </w:r>
      <w:r w:rsidR="001639B5">
        <w:t xml:space="preserve"> </w:t>
      </w:r>
      <w:r w:rsidR="001639B5">
        <w:t xml:space="preserve">These two principles are different in its nature and needs to complement each other. It is not one or the other; both are needed to ensure </w:t>
      </w:r>
      <w:proofErr w:type="spellStart"/>
      <w:r w:rsidR="001639B5">
        <w:t>ISiD</w:t>
      </w:r>
      <w:proofErr w:type="spellEnd"/>
      <w:r w:rsidR="001639B5">
        <w:t xml:space="preserve">. </w:t>
      </w:r>
    </w:p>
    <w:p w14:paraId="0C7CB972" w14:textId="77777777" w:rsidR="001639B5" w:rsidRDefault="001639B5" w:rsidP="001639B5">
      <w:pPr>
        <w:pStyle w:val="BodyText"/>
        <w:spacing w:after="120"/>
        <w:ind w:firstLine="567"/>
        <w:jc w:val="center"/>
      </w:pPr>
      <w:r>
        <w:t xml:space="preserve"> </w:t>
      </w:r>
      <w:r>
        <w:rPr>
          <w:noProof/>
        </w:rPr>
        <w:drawing>
          <wp:inline distT="0" distB="0" distL="0" distR="0" wp14:anchorId="53186FD6" wp14:editId="6B87459F">
            <wp:extent cx="5731510" cy="4040505"/>
            <wp:effectExtent l="0" t="0" r="2540" b="0"/>
            <wp:docPr id="16" name="Picture 16"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timelin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040505"/>
                    </a:xfrm>
                    <a:prstGeom prst="rect">
                      <a:avLst/>
                    </a:prstGeom>
                  </pic:spPr>
                </pic:pic>
              </a:graphicData>
            </a:graphic>
          </wp:inline>
        </w:drawing>
      </w:r>
    </w:p>
    <w:p w14:paraId="27E2FD71" w14:textId="77777777" w:rsidR="001639B5" w:rsidRDefault="001639B5" w:rsidP="001639B5">
      <w:pPr>
        <w:pStyle w:val="BodyText"/>
        <w:spacing w:after="120"/>
        <w:ind w:firstLine="567"/>
      </w:pPr>
      <w:r>
        <w:t>Figure 1: The two basic principles of Institutional Strength in Depth</w:t>
      </w:r>
    </w:p>
    <w:p w14:paraId="4A21A647" w14:textId="1090F822" w:rsidR="001639B5" w:rsidRDefault="001639B5" w:rsidP="001639B5">
      <w:pPr>
        <w:pStyle w:val="BodyText"/>
        <w:spacing w:after="120"/>
      </w:pPr>
      <w:r>
        <w:t xml:space="preserve">In short, robustness is built upon barrier thinking with layer of defense to manage safety. This implies the opportunity for predictability to strengthening safety by performing different types of assessment (PSA, DSA, HRA, audits, peer reviews </w:t>
      </w:r>
      <w:proofErr w:type="spellStart"/>
      <w:r>
        <w:t>etc</w:t>
      </w:r>
      <w:proofErr w:type="spellEnd"/>
      <w:r>
        <w:t>). Identify issues and improve the system. Its basis is linear as in cause-and-effect relationships. Resilience thinking differs as it implies there will always be a residual and emergent risks of unexpected nature. Issues which have not been assumed and therefore is beyond the system design. Resilience relies on adaptive and flexible capacity to manage unexpected situations. Resilience embraces the complexity of the wider system of the interaction between human, technical and organizational factors (HTO). These interactions are dynamic and non-linear by its nature. Building resilience capacity will be discussed later in this document.</w:t>
      </w:r>
    </w:p>
    <w:p w14:paraId="02C0807A" w14:textId="4F09D3F3" w:rsidR="00EF6DE5" w:rsidRDefault="00EF6DE5" w:rsidP="00021FA7">
      <w:pPr>
        <w:pStyle w:val="BodyText"/>
        <w:spacing w:after="120"/>
        <w:ind w:firstLine="567"/>
      </w:pPr>
      <w:r w:rsidRPr="176E00B4">
        <w:t xml:space="preserve">As recognized in Ref </w:t>
      </w:r>
      <w:r w:rsidR="007957D4">
        <w:t>[17]</w:t>
      </w:r>
      <w:r w:rsidR="79FB529E" w:rsidRPr="176E00B4">
        <w:t xml:space="preserve">, </w:t>
      </w:r>
      <w:r w:rsidRPr="176E00B4">
        <w:t xml:space="preserve">there are three </w:t>
      </w:r>
      <w:r w:rsidR="7733F13D" w:rsidRPr="176E00B4">
        <w:t>institutional</w:t>
      </w:r>
      <w:r w:rsidRPr="176E00B4">
        <w:t xml:space="preserve"> sub-systems that serve to ensure safety i.e. a strong licensee, a strong regulator and a strong set of stakeholders. To ensure institutional strength in depth all three need to function effectively as a whole i.e.</w:t>
      </w:r>
      <w:r w:rsidR="325DC194" w:rsidRPr="176E00B4">
        <w:t>,</w:t>
      </w:r>
      <w:r w:rsidRPr="176E00B4">
        <w:t xml:space="preserve"> the systems, associated functions and channels of communication.</w:t>
      </w:r>
    </w:p>
    <w:p w14:paraId="2E0D86F6" w14:textId="24CBD8D5" w:rsidR="00EF6DE5" w:rsidRDefault="00EF6DE5" w:rsidP="00021FA7">
      <w:pPr>
        <w:pStyle w:val="BodyText"/>
        <w:spacing w:after="120"/>
        <w:ind w:firstLine="567"/>
      </w:pPr>
      <w:r w:rsidRPr="176E00B4">
        <w:lastRenderedPageBreak/>
        <w:t>In Section 2 the human</w:t>
      </w:r>
      <w:r w:rsidR="0003135A">
        <w:t xml:space="preserve"> and</w:t>
      </w:r>
      <w:r w:rsidRPr="176E00B4">
        <w:t xml:space="preserve"> organizational factors (or institutional strength depth issues) which contributed to the Fukushima </w:t>
      </w:r>
      <w:r w:rsidR="007D4CB2">
        <w:t>Daii</w:t>
      </w:r>
      <w:r w:rsidR="000C6B5A">
        <w:t>chi A</w:t>
      </w:r>
      <w:r w:rsidRPr="176E00B4">
        <w:t xml:space="preserve">ccident were identified. This highlighted the negative spiral associated with the functioning and governance of the TEPCO organization which in turn led to deficiencies in safety awareness, engineering and technical capability and communication capability. This combined with gaps in the institutional strength in depth in the regulators and wider stakeholder framework resulted in the overall safety system being ineffective. </w:t>
      </w:r>
    </w:p>
    <w:p w14:paraId="57FF5F83" w14:textId="63F0E3EF" w:rsidR="00EF6DE5" w:rsidRDefault="00EF6DE5" w:rsidP="008B76B5">
      <w:pPr>
        <w:pStyle w:val="BodyText"/>
        <w:spacing w:after="120"/>
        <w:ind w:firstLine="567"/>
      </w:pPr>
      <w:r w:rsidRPr="176E00B4">
        <w:t xml:space="preserve">In this section the key attributes which need to be in place within the nuclear </w:t>
      </w:r>
      <w:r w:rsidR="000C6B5A">
        <w:t>industry</w:t>
      </w:r>
      <w:r w:rsidRPr="176E00B4">
        <w:t xml:space="preserve"> to provide the necessary defense are discussed. This includes the need to ensure there is a strong mutually reinforcing interface with the regulator and other stakeholders. The key attributes associated with the other institutional sub</w:t>
      </w:r>
      <w:r w:rsidR="00692E25">
        <w:t>-</w:t>
      </w:r>
      <w:r w:rsidRPr="176E00B4">
        <w:t xml:space="preserve">systems </w:t>
      </w:r>
      <w:r w:rsidR="00692E25">
        <w:t xml:space="preserve">are </w:t>
      </w:r>
      <w:r w:rsidRPr="176E00B4">
        <w:t>discussed further in Section 4.</w:t>
      </w:r>
    </w:p>
    <w:p w14:paraId="7B0014C1" w14:textId="55400253" w:rsidR="00EF6DE5" w:rsidRDefault="00EF6DE5" w:rsidP="008B76B5">
      <w:pPr>
        <w:pStyle w:val="BodyText"/>
        <w:spacing w:after="120"/>
        <w:ind w:firstLine="567"/>
      </w:pPr>
      <w:r>
        <w:t xml:space="preserve">The foundation of all high performing nuclear license organizations is the effective implementation of a clearly defined integrated management </w:t>
      </w:r>
      <w:r w:rsidR="0B8F56EF" w:rsidRPr="3DEA5E40">
        <w:t>system</w:t>
      </w:r>
      <w:r w:rsidR="00021FA7">
        <w:t xml:space="preserve"> </w:t>
      </w:r>
      <w:r>
        <w:t xml:space="preserve">with a well embedded </w:t>
      </w:r>
      <w:r w:rsidR="79C3B3C6" w:rsidRPr="5AA7BD25">
        <w:t xml:space="preserve">healthy </w:t>
      </w:r>
      <w:r>
        <w:t xml:space="preserve">nuclear safety culture and </w:t>
      </w:r>
      <w:r w:rsidR="021FF55D" w:rsidRPr="5AA7BD25">
        <w:t xml:space="preserve">effective </w:t>
      </w:r>
      <w:r>
        <w:t>nuclear leadership. This is simply represented in figure 3.1 below.</w:t>
      </w:r>
    </w:p>
    <w:p w14:paraId="4D292D18" w14:textId="77777777" w:rsidR="00EF6DE5" w:rsidRDefault="00EF6DE5" w:rsidP="00EF6DE5">
      <w:pPr>
        <w:rPr>
          <w:lang w:val="en-US"/>
        </w:rPr>
      </w:pPr>
      <w:r>
        <w:rPr>
          <w:lang w:val="en-US"/>
        </w:rPr>
        <w:t>Figure 3.1 Clearly Defined integrated management model</w:t>
      </w:r>
    </w:p>
    <w:p w14:paraId="3FB3CAA9" w14:textId="77777777" w:rsidR="00EF6DE5" w:rsidRDefault="00EF6DE5" w:rsidP="00EF6DE5">
      <w:pPr>
        <w:rPr>
          <w:lang w:val="en-US"/>
        </w:rPr>
      </w:pPr>
      <w:r w:rsidRPr="00D05CA0">
        <w:rPr>
          <w:noProof/>
          <w:lang w:eastAsia="en-GB"/>
        </w:rPr>
        <w:drawing>
          <wp:inline distT="0" distB="0" distL="0" distR="0" wp14:anchorId="592BC9C0" wp14:editId="7FE7C27B">
            <wp:extent cx="4339725" cy="3254794"/>
            <wp:effectExtent l="0" t="0" r="381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90239" cy="3292680"/>
                    </a:xfrm>
                    <a:prstGeom prst="rect">
                      <a:avLst/>
                    </a:prstGeom>
                  </pic:spPr>
                </pic:pic>
              </a:graphicData>
            </a:graphic>
          </wp:inline>
        </w:drawing>
      </w:r>
    </w:p>
    <w:p w14:paraId="16ABFC77" w14:textId="2BBFFB11" w:rsidR="00EF6DE5" w:rsidRDefault="00EF6DE5" w:rsidP="008B76B5">
      <w:pPr>
        <w:pStyle w:val="BodyText"/>
        <w:spacing w:after="120"/>
        <w:ind w:firstLine="567"/>
      </w:pPr>
      <w:r w:rsidRPr="176E00B4">
        <w:t>Effective governance i.e.</w:t>
      </w:r>
      <w:r w:rsidR="60DCF88D" w:rsidRPr="176E00B4">
        <w:t>,</w:t>
      </w:r>
      <w:r w:rsidRPr="176E00B4">
        <w:t xml:space="preserve"> implementation of these fundamentals is essential to protect nuclear organizations against the significant internal and external challenges and changes, which will inevitably arise throughout the operational lifetimes of the nuclear assets. </w:t>
      </w:r>
    </w:p>
    <w:p w14:paraId="5F012B09" w14:textId="77777777" w:rsidR="00EF6DE5" w:rsidRPr="001A3802" w:rsidRDefault="00EF6DE5" w:rsidP="008B76B5">
      <w:pPr>
        <w:pStyle w:val="BodyText"/>
        <w:spacing w:after="120"/>
        <w:ind w:firstLine="567"/>
      </w:pPr>
      <w:r w:rsidRPr="176E00B4">
        <w:t>The learning from the Fukushima event highlights the importance of constantly assessing and challenging the key attributes of a nuclear organization i.e.</w:t>
      </w:r>
    </w:p>
    <w:p w14:paraId="4ADCCEE3" w14:textId="14B2C5A8" w:rsidR="00EF6DE5" w:rsidRDefault="00EF6DE5" w:rsidP="00AC768F">
      <w:pPr>
        <w:pStyle w:val="ListParagraph"/>
        <w:numPr>
          <w:ilvl w:val="0"/>
          <w:numId w:val="13"/>
        </w:numPr>
        <w:overflowPunct/>
        <w:autoSpaceDE/>
        <w:autoSpaceDN/>
        <w:adjustRightInd/>
        <w:spacing w:after="240" w:line="240" w:lineRule="auto"/>
        <w:textAlignment w:val="auto"/>
        <w:rPr>
          <w:rFonts w:ascii="Times New Roman" w:eastAsia="Times New Roman" w:hAnsi="Times New Roman" w:cs="Times New Roman"/>
          <w:sz w:val="24"/>
          <w:szCs w:val="24"/>
          <w:lang w:val="en-US"/>
        </w:rPr>
      </w:pPr>
      <w:r w:rsidRPr="176E00B4">
        <w:rPr>
          <w:rFonts w:ascii="Times New Roman" w:eastAsia="Times New Roman" w:hAnsi="Times New Roman" w:cs="Times New Roman"/>
          <w:sz w:val="24"/>
          <w:szCs w:val="24"/>
          <w:lang w:val="en-US"/>
        </w:rPr>
        <w:t xml:space="preserve">Effective Integrated Management </w:t>
      </w:r>
      <w:r w:rsidR="4EB199A5" w:rsidRPr="176E00B4">
        <w:rPr>
          <w:rFonts w:ascii="Times New Roman" w:eastAsia="Times New Roman" w:hAnsi="Times New Roman" w:cs="Times New Roman"/>
          <w:sz w:val="24"/>
          <w:szCs w:val="24"/>
          <w:lang w:val="en-US"/>
        </w:rPr>
        <w:t>System</w:t>
      </w:r>
    </w:p>
    <w:p w14:paraId="6D64678F" w14:textId="4A310C93" w:rsidR="00EF6DE5" w:rsidRPr="00A109E9" w:rsidRDefault="00494621" w:rsidP="00AC768F">
      <w:pPr>
        <w:pStyle w:val="ListParagraph"/>
        <w:numPr>
          <w:ilvl w:val="0"/>
          <w:numId w:val="13"/>
        </w:numPr>
        <w:overflowPunct/>
        <w:autoSpaceDE/>
        <w:autoSpaceDN/>
        <w:adjustRightInd/>
        <w:spacing w:after="240" w:line="240" w:lineRule="auto"/>
        <w:textAlignment w:val="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Strong Leadership and Culture </w:t>
      </w:r>
      <w:r w:rsidR="00A109E9">
        <w:rPr>
          <w:rFonts w:ascii="Times New Roman" w:eastAsia="Times New Roman" w:hAnsi="Times New Roman" w:cs="Times New Roman"/>
          <w:sz w:val="24"/>
          <w:szCs w:val="24"/>
          <w:lang w:val="en-US"/>
        </w:rPr>
        <w:t>for Safety</w:t>
      </w:r>
    </w:p>
    <w:p w14:paraId="3FE5BD6E" w14:textId="11462DFE" w:rsidR="00EF6DE5" w:rsidRDefault="00EF6DE5" w:rsidP="00AC768F">
      <w:pPr>
        <w:pStyle w:val="ListParagraph"/>
        <w:numPr>
          <w:ilvl w:val="0"/>
          <w:numId w:val="13"/>
        </w:numPr>
        <w:overflowPunct/>
        <w:autoSpaceDE/>
        <w:autoSpaceDN/>
        <w:adjustRightInd/>
        <w:spacing w:after="240" w:line="240" w:lineRule="auto"/>
        <w:textAlignment w:val="auto"/>
        <w:rPr>
          <w:rFonts w:ascii="Times New Roman" w:eastAsia="Times New Roman" w:hAnsi="Times New Roman" w:cs="Times New Roman"/>
          <w:sz w:val="24"/>
          <w:szCs w:val="24"/>
          <w:lang w:val="en-US"/>
        </w:rPr>
      </w:pPr>
      <w:r w:rsidRPr="176E00B4">
        <w:rPr>
          <w:rFonts w:ascii="Times New Roman" w:eastAsia="Times New Roman" w:hAnsi="Times New Roman" w:cs="Times New Roman"/>
          <w:sz w:val="24"/>
          <w:szCs w:val="24"/>
          <w:lang w:val="en-US"/>
        </w:rPr>
        <w:t>Effective Governance</w:t>
      </w:r>
    </w:p>
    <w:p w14:paraId="785A5DDC" w14:textId="294ABCAF" w:rsidR="00494621" w:rsidRDefault="00D8140F" w:rsidP="00AC768F">
      <w:pPr>
        <w:pStyle w:val="ListParagraph"/>
        <w:numPr>
          <w:ilvl w:val="0"/>
          <w:numId w:val="13"/>
        </w:numPr>
        <w:overflowPunct/>
        <w:autoSpaceDE/>
        <w:autoSpaceDN/>
        <w:adjustRightInd/>
        <w:spacing w:after="240" w:line="240" w:lineRule="auto"/>
        <w:textAlignment w:val="auto"/>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Robust</w:t>
      </w:r>
      <w:r w:rsidR="00494621">
        <w:rPr>
          <w:rFonts w:ascii="Times New Roman" w:eastAsia="Times New Roman" w:hAnsi="Times New Roman" w:cs="Times New Roman"/>
          <w:sz w:val="24"/>
          <w:szCs w:val="20"/>
          <w:lang w:val="en-US"/>
        </w:rPr>
        <w:t xml:space="preserve"> Oversight</w:t>
      </w:r>
    </w:p>
    <w:p w14:paraId="6BA0EEC3" w14:textId="77777777" w:rsidR="00EF6DE5" w:rsidRDefault="00EF6DE5" w:rsidP="00AC768F">
      <w:pPr>
        <w:pStyle w:val="ListParagraph"/>
        <w:numPr>
          <w:ilvl w:val="0"/>
          <w:numId w:val="13"/>
        </w:numPr>
        <w:overflowPunct/>
        <w:autoSpaceDE/>
        <w:autoSpaceDN/>
        <w:adjustRightInd/>
        <w:spacing w:after="240" w:line="240" w:lineRule="auto"/>
        <w:textAlignment w:val="auto"/>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Technical Competence</w:t>
      </w:r>
    </w:p>
    <w:p w14:paraId="17F4ABD3" w14:textId="77777777" w:rsidR="00EF6DE5" w:rsidRDefault="00EF6DE5" w:rsidP="00AC768F">
      <w:pPr>
        <w:pStyle w:val="ListParagraph"/>
        <w:numPr>
          <w:ilvl w:val="0"/>
          <w:numId w:val="13"/>
        </w:numPr>
        <w:overflowPunct/>
        <w:autoSpaceDE/>
        <w:autoSpaceDN/>
        <w:adjustRightInd/>
        <w:spacing w:after="240" w:line="240" w:lineRule="auto"/>
        <w:textAlignment w:val="auto"/>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lastRenderedPageBreak/>
        <w:t>Effective Decision making</w:t>
      </w:r>
    </w:p>
    <w:p w14:paraId="148E5237" w14:textId="767D0C05" w:rsidR="00EF6DE5" w:rsidRDefault="00EF6DE5" w:rsidP="00AC768F">
      <w:pPr>
        <w:pStyle w:val="ListParagraph"/>
        <w:numPr>
          <w:ilvl w:val="0"/>
          <w:numId w:val="13"/>
        </w:numPr>
        <w:overflowPunct/>
        <w:autoSpaceDE/>
        <w:autoSpaceDN/>
        <w:adjustRightInd/>
        <w:spacing w:after="240" w:line="240" w:lineRule="auto"/>
        <w:textAlignment w:val="auto"/>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 xml:space="preserve">Organizational </w:t>
      </w:r>
      <w:r w:rsidR="003B5D36">
        <w:rPr>
          <w:rFonts w:ascii="Times New Roman" w:eastAsia="Times New Roman" w:hAnsi="Times New Roman" w:cs="Times New Roman"/>
          <w:sz w:val="24"/>
          <w:szCs w:val="20"/>
          <w:lang w:val="en-US"/>
        </w:rPr>
        <w:t>R</w:t>
      </w:r>
      <w:r>
        <w:rPr>
          <w:rFonts w:ascii="Times New Roman" w:eastAsia="Times New Roman" w:hAnsi="Times New Roman" w:cs="Times New Roman"/>
          <w:sz w:val="24"/>
          <w:szCs w:val="20"/>
          <w:lang w:val="en-US"/>
        </w:rPr>
        <w:t>esilience</w:t>
      </w:r>
    </w:p>
    <w:p w14:paraId="32F4C619" w14:textId="77777777" w:rsidR="00EF6DE5" w:rsidRDefault="00EF6DE5" w:rsidP="00AC768F">
      <w:pPr>
        <w:pStyle w:val="ListParagraph"/>
        <w:numPr>
          <w:ilvl w:val="0"/>
          <w:numId w:val="13"/>
        </w:numPr>
        <w:overflowPunct/>
        <w:autoSpaceDE/>
        <w:autoSpaceDN/>
        <w:adjustRightInd/>
        <w:spacing w:after="240" w:line="240" w:lineRule="auto"/>
        <w:textAlignment w:val="auto"/>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Risk Management</w:t>
      </w:r>
    </w:p>
    <w:p w14:paraId="56BAD936" w14:textId="60308AA4" w:rsidR="00EF6DE5" w:rsidRPr="00AB4174" w:rsidRDefault="00EF6DE5" w:rsidP="008B76B5">
      <w:pPr>
        <w:pStyle w:val="BodyText"/>
        <w:spacing w:after="120"/>
        <w:ind w:firstLine="567"/>
      </w:pPr>
      <w:r>
        <w:t>Each of these key attributes are discussed further in the following sub-sections with the aim of identifying actions that can be taken to build institutional strength in depth to ensure nuclear safety and continuously achieve excellent performance</w:t>
      </w:r>
      <w:r w:rsidR="0035733E">
        <w:t>.</w:t>
      </w:r>
    </w:p>
    <w:p w14:paraId="7A157678" w14:textId="77777777" w:rsidR="009C481E" w:rsidRPr="000D237C" w:rsidRDefault="009C481E" w:rsidP="005205DB">
      <w:pPr>
        <w:pStyle w:val="BodyText"/>
      </w:pPr>
    </w:p>
    <w:p w14:paraId="48CD275F" w14:textId="6D4E69E3" w:rsidR="0045418B" w:rsidRDefault="00621192" w:rsidP="00BA193E">
      <w:pPr>
        <w:pStyle w:val="Heading2"/>
      </w:pPr>
      <w:bookmarkStart w:id="455" w:name="_Toc78389182"/>
      <w:bookmarkStart w:id="456" w:name="_Toc78389659"/>
      <w:bookmarkStart w:id="457" w:name="_Toc78390136"/>
      <w:bookmarkStart w:id="458" w:name="_Toc78389203"/>
      <w:bookmarkStart w:id="459" w:name="_Toc78389680"/>
      <w:bookmarkStart w:id="460" w:name="_Toc78390157"/>
      <w:bookmarkStart w:id="461" w:name="_Toc78389204"/>
      <w:bookmarkStart w:id="462" w:name="_Toc78389681"/>
      <w:bookmarkStart w:id="463" w:name="_Toc78390158"/>
      <w:bookmarkStart w:id="464" w:name="_Toc78389205"/>
      <w:bookmarkStart w:id="465" w:name="_Toc78389682"/>
      <w:bookmarkStart w:id="466" w:name="_Toc78390159"/>
      <w:bookmarkStart w:id="467" w:name="_Toc78389206"/>
      <w:bookmarkStart w:id="468" w:name="_Toc78389683"/>
      <w:bookmarkStart w:id="469" w:name="_Toc78390160"/>
      <w:bookmarkStart w:id="470" w:name="_Toc78389207"/>
      <w:bookmarkStart w:id="471" w:name="_Toc78389684"/>
      <w:bookmarkStart w:id="472" w:name="_Toc78390161"/>
      <w:bookmarkStart w:id="473" w:name="_Toc78389208"/>
      <w:bookmarkStart w:id="474" w:name="_Toc78389685"/>
      <w:bookmarkStart w:id="475" w:name="_Toc78390162"/>
      <w:bookmarkStart w:id="476" w:name="_Toc78389209"/>
      <w:bookmarkStart w:id="477" w:name="_Toc78389686"/>
      <w:bookmarkStart w:id="478" w:name="_Toc78390163"/>
      <w:bookmarkStart w:id="479" w:name="_Toc78389210"/>
      <w:bookmarkStart w:id="480" w:name="_Toc78389687"/>
      <w:bookmarkStart w:id="481" w:name="_Toc78390164"/>
      <w:bookmarkStart w:id="482" w:name="_Toc78389211"/>
      <w:bookmarkStart w:id="483" w:name="_Toc78389688"/>
      <w:bookmarkStart w:id="484" w:name="_Toc78390165"/>
      <w:bookmarkStart w:id="485" w:name="_Toc78389212"/>
      <w:bookmarkStart w:id="486" w:name="_Toc78389689"/>
      <w:bookmarkStart w:id="487" w:name="_Toc78390166"/>
      <w:bookmarkStart w:id="488" w:name="_Toc78389213"/>
      <w:bookmarkStart w:id="489" w:name="_Toc78389690"/>
      <w:bookmarkStart w:id="490" w:name="_Toc78390167"/>
      <w:bookmarkStart w:id="491" w:name="_Toc78389214"/>
      <w:bookmarkStart w:id="492" w:name="_Toc78389691"/>
      <w:bookmarkStart w:id="493" w:name="_Toc78390168"/>
      <w:bookmarkStart w:id="494" w:name="_Toc78389215"/>
      <w:bookmarkStart w:id="495" w:name="_Toc78389692"/>
      <w:bookmarkStart w:id="496" w:name="_Toc78390169"/>
      <w:bookmarkStart w:id="497" w:name="_Toc78389216"/>
      <w:bookmarkStart w:id="498" w:name="_Toc78389693"/>
      <w:bookmarkStart w:id="499" w:name="_Toc78390170"/>
      <w:bookmarkStart w:id="500" w:name="_Toc78389217"/>
      <w:bookmarkStart w:id="501" w:name="_Toc78389694"/>
      <w:bookmarkStart w:id="502" w:name="_Toc78390171"/>
      <w:bookmarkStart w:id="503" w:name="_Toc78389218"/>
      <w:bookmarkStart w:id="504" w:name="_Toc78389695"/>
      <w:bookmarkStart w:id="505" w:name="_Toc78390172"/>
      <w:bookmarkStart w:id="506" w:name="_Toc78389219"/>
      <w:bookmarkStart w:id="507" w:name="_Toc78389696"/>
      <w:bookmarkStart w:id="508" w:name="_Toc78390173"/>
      <w:bookmarkStart w:id="509" w:name="_Toc78389220"/>
      <w:bookmarkStart w:id="510" w:name="_Toc78389697"/>
      <w:bookmarkStart w:id="511" w:name="_Toc78390174"/>
      <w:bookmarkStart w:id="512" w:name="_Toc78389221"/>
      <w:bookmarkStart w:id="513" w:name="_Toc78389698"/>
      <w:bookmarkStart w:id="514" w:name="_Toc78390175"/>
      <w:bookmarkStart w:id="515" w:name="_Toc78389222"/>
      <w:bookmarkStart w:id="516" w:name="_Toc78389699"/>
      <w:bookmarkStart w:id="517" w:name="_Toc78390176"/>
      <w:bookmarkStart w:id="518" w:name="_Toc78389223"/>
      <w:bookmarkStart w:id="519" w:name="_Toc78389700"/>
      <w:bookmarkStart w:id="520" w:name="_Toc78390177"/>
      <w:bookmarkStart w:id="521" w:name="_Toc78389224"/>
      <w:bookmarkStart w:id="522" w:name="_Toc78389701"/>
      <w:bookmarkStart w:id="523" w:name="_Toc78390178"/>
      <w:bookmarkStart w:id="524" w:name="_Toc78389225"/>
      <w:bookmarkStart w:id="525" w:name="_Toc78389702"/>
      <w:bookmarkStart w:id="526" w:name="_Toc78390179"/>
      <w:bookmarkStart w:id="527" w:name="_Toc78389226"/>
      <w:bookmarkStart w:id="528" w:name="_Toc78389703"/>
      <w:bookmarkStart w:id="529" w:name="_Toc78390180"/>
      <w:bookmarkStart w:id="530" w:name="_Toc78389227"/>
      <w:bookmarkStart w:id="531" w:name="_Toc78389704"/>
      <w:bookmarkStart w:id="532" w:name="_Toc78390181"/>
      <w:bookmarkStart w:id="533" w:name="_Toc78389228"/>
      <w:bookmarkStart w:id="534" w:name="_Toc78389705"/>
      <w:bookmarkStart w:id="535" w:name="_Toc78390182"/>
      <w:bookmarkStart w:id="536" w:name="_Toc78389229"/>
      <w:bookmarkStart w:id="537" w:name="_Toc78389706"/>
      <w:bookmarkStart w:id="538" w:name="_Toc78390183"/>
      <w:bookmarkStart w:id="539" w:name="_Toc78389230"/>
      <w:bookmarkStart w:id="540" w:name="_Toc78389707"/>
      <w:bookmarkStart w:id="541" w:name="_Toc78390184"/>
      <w:bookmarkStart w:id="542" w:name="_Toc78389231"/>
      <w:bookmarkStart w:id="543" w:name="_Toc78389708"/>
      <w:bookmarkStart w:id="544" w:name="_Toc78390185"/>
      <w:bookmarkStart w:id="545" w:name="_Toc78389232"/>
      <w:bookmarkStart w:id="546" w:name="_Toc78389709"/>
      <w:bookmarkStart w:id="547" w:name="_Toc78390186"/>
      <w:bookmarkStart w:id="548" w:name="_Toc78389233"/>
      <w:bookmarkStart w:id="549" w:name="_Toc78389710"/>
      <w:bookmarkStart w:id="550" w:name="_Toc78390187"/>
      <w:bookmarkStart w:id="551" w:name="_Toc78389234"/>
      <w:bookmarkStart w:id="552" w:name="_Toc78389711"/>
      <w:bookmarkStart w:id="553" w:name="_Toc78390188"/>
      <w:bookmarkStart w:id="554" w:name="_Toc78389235"/>
      <w:bookmarkStart w:id="555" w:name="_Toc78389712"/>
      <w:bookmarkStart w:id="556" w:name="_Toc78390189"/>
      <w:bookmarkStart w:id="557" w:name="_Toc78389236"/>
      <w:bookmarkStart w:id="558" w:name="_Toc78389713"/>
      <w:bookmarkStart w:id="559" w:name="_Toc78390190"/>
      <w:bookmarkStart w:id="560" w:name="_Toc87627662"/>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r>
        <w:t xml:space="preserve">Integrated Management </w:t>
      </w:r>
      <w:r w:rsidR="6308ACA2">
        <w:t>System</w:t>
      </w:r>
      <w:bookmarkEnd w:id="560"/>
    </w:p>
    <w:p w14:paraId="65CBA08C" w14:textId="3B55E176" w:rsidR="008B03FB" w:rsidRDefault="008B03FB" w:rsidP="0064345F">
      <w:pPr>
        <w:pStyle w:val="BodyText"/>
        <w:spacing w:after="120"/>
        <w:ind w:firstLine="567"/>
      </w:pPr>
      <w:r>
        <w:t xml:space="preserve">All organizations work to </w:t>
      </w:r>
      <w:r w:rsidR="00244257">
        <w:t>a</w:t>
      </w:r>
      <w:r w:rsidR="002726B9">
        <w:t xml:space="preserve"> </w:t>
      </w:r>
      <w:r w:rsidR="00244257">
        <w:t>management system</w:t>
      </w:r>
      <w:r>
        <w:t xml:space="preserve">. This </w:t>
      </w:r>
      <w:r w:rsidR="002726B9">
        <w:t>integrated management system</w:t>
      </w:r>
      <w:r>
        <w:t xml:space="preserve"> defines the way the organization functions, behaves, makes its decisions and executes its core processes. The rigorous development, clear communication and effective deployment of the </w:t>
      </w:r>
      <w:r w:rsidR="00135218">
        <w:t>management system</w:t>
      </w:r>
      <w:r>
        <w:t xml:space="preserve"> has been proven to be a key success factor in all high performing organizations.</w:t>
      </w:r>
    </w:p>
    <w:p w14:paraId="20DB66D1" w14:textId="0C3D1F07" w:rsidR="008B03FB" w:rsidRDefault="008B03FB" w:rsidP="0064345F">
      <w:pPr>
        <w:pStyle w:val="BodyText"/>
        <w:spacing w:after="120"/>
        <w:ind w:firstLine="567"/>
      </w:pPr>
      <w:r>
        <w:t xml:space="preserve">An optimized </w:t>
      </w:r>
      <w:r w:rsidR="00327A5E">
        <w:t>management system</w:t>
      </w:r>
      <w:r>
        <w:t xml:space="preserve"> for a nuclear organization needs to be designed, developed and set out with the end user in mind and should:</w:t>
      </w:r>
    </w:p>
    <w:p w14:paraId="1C0433C6" w14:textId="3DB65A1B" w:rsidR="008B03FB" w:rsidRDefault="008B03FB" w:rsidP="00DA762E">
      <w:pPr>
        <w:pStyle w:val="BodyText"/>
        <w:numPr>
          <w:ilvl w:val="0"/>
          <w:numId w:val="8"/>
        </w:numPr>
        <w:spacing w:after="0"/>
      </w:pPr>
      <w:r w:rsidRPr="000D237C">
        <w:t xml:space="preserve">Demonstrate a golden </w:t>
      </w:r>
      <w:r w:rsidRPr="00814930">
        <w:t>thread from the high-level policies and processes through to the working level documents</w:t>
      </w:r>
      <w:r w:rsidR="00567507">
        <w:t>;</w:t>
      </w:r>
    </w:p>
    <w:p w14:paraId="6842F038" w14:textId="77777777" w:rsidR="008B03FB" w:rsidRPr="000D237C" w:rsidRDefault="008B03FB" w:rsidP="00DA762E">
      <w:pPr>
        <w:pStyle w:val="BodyText"/>
        <w:numPr>
          <w:ilvl w:val="0"/>
          <w:numId w:val="8"/>
        </w:numPr>
        <w:spacing w:after="0"/>
      </w:pPr>
      <w:r>
        <w:t>Clearly define the core roles and responsibilities (including legal and regulatory);</w:t>
      </w:r>
    </w:p>
    <w:p w14:paraId="6B068482" w14:textId="77777777" w:rsidR="008B03FB" w:rsidRDefault="008B03FB" w:rsidP="00DA762E">
      <w:pPr>
        <w:pStyle w:val="BodyText"/>
        <w:numPr>
          <w:ilvl w:val="0"/>
          <w:numId w:val="8"/>
        </w:numPr>
        <w:spacing w:after="0"/>
      </w:pPr>
      <w:r>
        <w:t>Clearly demonstrate how the key activities are managed, performed and assessed;</w:t>
      </w:r>
    </w:p>
    <w:p w14:paraId="74166C34" w14:textId="77777777" w:rsidR="008B03FB" w:rsidRDefault="008B03FB" w:rsidP="00DA762E">
      <w:pPr>
        <w:pStyle w:val="BodyText"/>
        <w:numPr>
          <w:ilvl w:val="0"/>
          <w:numId w:val="8"/>
        </w:numPr>
        <w:spacing w:after="0"/>
      </w:pPr>
      <w:r>
        <w:t>Illustrate how the organization is governed and describe how functional responsibilities, levels of authority and interfaces between different groups are controlled and managed such that the overall objectives are achieved in a safe, efficient and effective manner;</w:t>
      </w:r>
    </w:p>
    <w:p w14:paraId="1B420632" w14:textId="77777777" w:rsidR="008B03FB" w:rsidRDefault="008B03FB" w:rsidP="00DA762E">
      <w:pPr>
        <w:pStyle w:val="BodyText"/>
        <w:numPr>
          <w:ilvl w:val="0"/>
          <w:numId w:val="8"/>
        </w:numPr>
        <w:spacing w:after="0"/>
      </w:pPr>
      <w:r>
        <w:t>Support an environment where organizational silos are removed and people are working together to achieve the desired results.</w:t>
      </w:r>
    </w:p>
    <w:p w14:paraId="4EF47704" w14:textId="77777777" w:rsidR="008B03FB" w:rsidRDefault="008B03FB" w:rsidP="00DA762E">
      <w:pPr>
        <w:pStyle w:val="BodyText"/>
        <w:numPr>
          <w:ilvl w:val="0"/>
          <w:numId w:val="8"/>
        </w:numPr>
        <w:spacing w:after="0"/>
      </w:pPr>
      <w:r>
        <w:t>Clearly describes the interfaces with regulator and other key stakeholders and the manner in which these interactions should be conducted.</w:t>
      </w:r>
    </w:p>
    <w:p w14:paraId="1386BFE7" w14:textId="77777777" w:rsidR="008B03FB" w:rsidRDefault="008B03FB" w:rsidP="008B03FB">
      <w:pPr>
        <w:pStyle w:val="BodyText"/>
        <w:spacing w:after="0"/>
      </w:pPr>
    </w:p>
    <w:p w14:paraId="337CC687" w14:textId="1D008267" w:rsidR="008B03FB" w:rsidRDefault="008B03FB" w:rsidP="0064345F">
      <w:pPr>
        <w:pStyle w:val="BodyText"/>
        <w:spacing w:after="120"/>
        <w:ind w:firstLine="567"/>
      </w:pPr>
      <w:r>
        <w:t xml:space="preserve">The management </w:t>
      </w:r>
      <w:r w:rsidR="006B0A95">
        <w:t>system</w:t>
      </w:r>
      <w:r>
        <w:t xml:space="preserve"> should be a live </w:t>
      </w:r>
      <w:r w:rsidR="2F40FD41">
        <w:t>system</w:t>
      </w:r>
      <w:r>
        <w:t xml:space="preserve"> which takes into account the wider external drivers (political, social, economic, social, legal and environmental) and provide clarity of purpose at all levels of the organization.</w:t>
      </w:r>
    </w:p>
    <w:p w14:paraId="54D8F911" w14:textId="77777777" w:rsidR="008B03FB" w:rsidRDefault="008B03FB" w:rsidP="008B03FB">
      <w:pPr>
        <w:pStyle w:val="BodyText"/>
        <w:spacing w:after="0"/>
      </w:pPr>
    </w:p>
    <w:p w14:paraId="22D7DAB8" w14:textId="142C0145" w:rsidR="008B03FB" w:rsidRDefault="008B03FB" w:rsidP="0064345F">
      <w:pPr>
        <w:pStyle w:val="BodyText"/>
        <w:spacing w:after="120"/>
        <w:ind w:firstLine="567"/>
      </w:pPr>
      <w:r>
        <w:t xml:space="preserve">An effective management </w:t>
      </w:r>
      <w:r w:rsidR="00726665">
        <w:t>system</w:t>
      </w:r>
      <w:r>
        <w:t xml:space="preserve"> is one which fully and consistently integrates the required nuclear safety values and behaviours all the way through the processes and programmes to the working level documents for example by the provision of multiple checks for safety related decisions and actions.</w:t>
      </w:r>
    </w:p>
    <w:p w14:paraId="50E3CF73" w14:textId="4972EF24" w:rsidR="008B03FB" w:rsidRDefault="008B03FB" w:rsidP="002069AD">
      <w:pPr>
        <w:pStyle w:val="BodyText"/>
        <w:spacing w:after="120"/>
        <w:ind w:firstLine="567"/>
      </w:pPr>
      <w:r>
        <w:t>All individuals with responsibilities within the licensee or organization or in support to the organization need to be suitably qualified and experienced to perform their respective roles. This needs to be supported by an effective training and education programme to ensure capability requirements are maintained, especially through periods of change.</w:t>
      </w:r>
    </w:p>
    <w:p w14:paraId="13A95B7E" w14:textId="5F3CBEA4" w:rsidR="008B03FB" w:rsidRDefault="008B03FB" w:rsidP="002069AD">
      <w:pPr>
        <w:pStyle w:val="BodyText"/>
        <w:spacing w:after="120"/>
        <w:ind w:firstLine="567"/>
      </w:pPr>
      <w:r>
        <w:t xml:space="preserve">The range of the management </w:t>
      </w:r>
      <w:r w:rsidR="00726665">
        <w:t>system</w:t>
      </w:r>
      <w:r>
        <w:t xml:space="preserve"> should also include all other nuclear industry entities associated with the safety of the plant, including vendors, constructors and suppliers to ensure that safety and processes are consistently and effectively applied throughout i.e. the </w:t>
      </w:r>
      <w:r>
        <w:lastRenderedPageBreak/>
        <w:t>licensee is an informed customer and vulnerabilities / disconnects do not occur within the wider supply chain/ support infrastructure</w:t>
      </w:r>
      <w:r w:rsidR="004B5D69">
        <w:t>.</w:t>
      </w:r>
    </w:p>
    <w:p w14:paraId="019BAB06" w14:textId="3BB5D66D" w:rsidR="008B03FB" w:rsidRDefault="008B03FB" w:rsidP="002069AD">
      <w:pPr>
        <w:pStyle w:val="BodyText"/>
        <w:spacing w:after="120"/>
        <w:ind w:firstLine="567"/>
      </w:pPr>
      <w:r>
        <w:t xml:space="preserve">Governance and oversight arrangements need to build into the management </w:t>
      </w:r>
      <w:r w:rsidR="00726665">
        <w:t>system</w:t>
      </w:r>
      <w:r>
        <w:t xml:space="preserve"> and effectively implemented to avoid systemic failures in the functioning of the organization. This is discussed further in sub sections 3.</w:t>
      </w:r>
      <w:r w:rsidR="00CC39A9">
        <w:t>3</w:t>
      </w:r>
      <w:r>
        <w:t xml:space="preserve"> and 3.</w:t>
      </w:r>
      <w:r w:rsidR="0095466A">
        <w:t>4</w:t>
      </w:r>
      <w:r w:rsidR="002069AD">
        <w:t>.</w:t>
      </w:r>
    </w:p>
    <w:p w14:paraId="686CB96B" w14:textId="09B69AC8" w:rsidR="00621192" w:rsidRDefault="00D37394" w:rsidP="00D37394">
      <w:pPr>
        <w:pStyle w:val="BodyText"/>
        <w:spacing w:after="120"/>
        <w:ind w:firstLine="567"/>
      </w:pPr>
      <w:r w:rsidRPr="00D37394">
        <w:t>Organizations with informal/less well structured, or poorly maintained management systems, are highly dependent upon the leadership at a current point in time and are vulnerable to organizational drift and silo working. Th</w:t>
      </w:r>
      <w:r w:rsidR="006323C2">
        <w:t>is</w:t>
      </w:r>
      <w:r w:rsidRPr="00D37394">
        <w:t xml:space="preserve"> result</w:t>
      </w:r>
      <w:r w:rsidR="006323C2">
        <w:t xml:space="preserve">s in </w:t>
      </w:r>
      <w:r w:rsidRPr="00D37394">
        <w:t>significant disconnects within the organisation and with the wider support infrastructure and therefore a weakening of intuitional strength over time or during periods of high levels of change. These vulnerabilities also exist if there are weaknesses within any of the three subsystems (</w:t>
      </w:r>
      <w:r w:rsidR="00CF32C0">
        <w:t>industry</w:t>
      </w:r>
      <w:r w:rsidRPr="00D37394">
        <w:t xml:space="preserve">, regulator and stakeholders) or in the interfaces between the subsystems. The investigation into the Fukushima Diaiichi accident highlighted there were weaknesses in all parts of the nuclear safety </w:t>
      </w:r>
      <w:r w:rsidR="009F5156">
        <w:t xml:space="preserve">management </w:t>
      </w:r>
      <w:r w:rsidRPr="00D37394">
        <w:t>system and between the constituent sub-systems.</w:t>
      </w:r>
    </w:p>
    <w:p w14:paraId="29B8DE56" w14:textId="77777777" w:rsidR="00D37394" w:rsidRPr="002B73DD" w:rsidRDefault="00D37394" w:rsidP="00D37394">
      <w:pPr>
        <w:pStyle w:val="BodyText"/>
        <w:spacing w:after="120"/>
        <w:ind w:firstLine="567"/>
        <w:rPr>
          <w:lang w:val="en-GB"/>
        </w:rPr>
      </w:pPr>
    </w:p>
    <w:p w14:paraId="2D125C48" w14:textId="2905B009" w:rsidR="00BA193E" w:rsidRPr="000C28B9" w:rsidRDefault="00382174" w:rsidP="00BA193E">
      <w:pPr>
        <w:pStyle w:val="Heading2"/>
      </w:pPr>
      <w:bookmarkStart w:id="561" w:name="_Toc87627663"/>
      <w:r>
        <w:t xml:space="preserve">Strong Leadership </w:t>
      </w:r>
      <w:r w:rsidR="00130C1B">
        <w:t>and culture for safety</w:t>
      </w:r>
      <w:bookmarkEnd w:id="561"/>
    </w:p>
    <w:p w14:paraId="60F4DF9F" w14:textId="77777777" w:rsidR="00635B40" w:rsidRDefault="00635B40" w:rsidP="00F56322">
      <w:pPr>
        <w:pStyle w:val="BodyText"/>
        <w:spacing w:after="120"/>
        <w:ind w:firstLine="567"/>
      </w:pPr>
      <w:r>
        <w:t>T</w:t>
      </w:r>
      <w:r w:rsidRPr="00AB4174">
        <w:t xml:space="preserve">he </w:t>
      </w:r>
      <w:r>
        <w:t>goal</w:t>
      </w:r>
      <w:r w:rsidRPr="00AB4174">
        <w:t xml:space="preserve"> for </w:t>
      </w:r>
      <w:r>
        <w:t xml:space="preserve">all </w:t>
      </w:r>
      <w:r w:rsidRPr="00AB4174">
        <w:t xml:space="preserve">senior leaders </w:t>
      </w:r>
      <w:r>
        <w:t xml:space="preserve">in the nuclear industry </w:t>
      </w:r>
      <w:r w:rsidRPr="00AB4174">
        <w:t xml:space="preserve">is </w:t>
      </w:r>
      <w:r>
        <w:t>to ensure nuclear safety. This is achieved by ensuring the existence of a healthy safety culture, by maintaining strength in depth of their organization and continuously driving for excellence in performance. The full extent of the</w:t>
      </w:r>
      <w:r w:rsidRPr="00AB4174">
        <w:t xml:space="preserve"> challenge </w:t>
      </w:r>
      <w:r>
        <w:t xml:space="preserve">to achieving this goal </w:t>
      </w:r>
      <w:r w:rsidRPr="00AB4174">
        <w:t xml:space="preserve">becomes </w:t>
      </w:r>
      <w:r>
        <w:t>apparent</w:t>
      </w:r>
      <w:r w:rsidRPr="00AB4174">
        <w:t xml:space="preserve"> when</w:t>
      </w:r>
      <w:r>
        <w:t>:</w:t>
      </w:r>
    </w:p>
    <w:p w14:paraId="2D33C369" w14:textId="14603B05" w:rsidR="00635B40" w:rsidRDefault="00635B40" w:rsidP="00AC768F">
      <w:pPr>
        <w:pStyle w:val="ListParagraph"/>
        <w:numPr>
          <w:ilvl w:val="0"/>
          <w:numId w:val="13"/>
        </w:numPr>
        <w:overflowPunct/>
        <w:autoSpaceDE/>
        <w:autoSpaceDN/>
        <w:adjustRightInd/>
        <w:spacing w:after="240" w:line="240" w:lineRule="auto"/>
        <w:textAlignment w:val="auto"/>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The full lifecycle of the assets is taken into account (i.e. when design, construction, operations and decommissioning are taken into account the operational lifecycle of a nuclear asset can easily exceed 100years) and</w:t>
      </w:r>
    </w:p>
    <w:p w14:paraId="35DC5528" w14:textId="77777777" w:rsidR="00635B40" w:rsidRPr="00F365C8" w:rsidRDefault="00635B40" w:rsidP="00AC768F">
      <w:pPr>
        <w:pStyle w:val="ListParagraph"/>
        <w:numPr>
          <w:ilvl w:val="0"/>
          <w:numId w:val="13"/>
        </w:numPr>
        <w:overflowPunct/>
        <w:autoSpaceDE/>
        <w:autoSpaceDN/>
        <w:adjustRightInd/>
        <w:spacing w:after="240" w:line="240" w:lineRule="auto"/>
        <w:textAlignment w:val="auto"/>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The increasing rate of change of the external environment is considered.</w:t>
      </w:r>
    </w:p>
    <w:p w14:paraId="60BBBA58" w14:textId="77777777" w:rsidR="00635B40" w:rsidRDefault="00635B40" w:rsidP="00F56322">
      <w:pPr>
        <w:pStyle w:val="BodyText"/>
        <w:spacing w:after="120"/>
        <w:ind w:firstLine="567"/>
      </w:pPr>
      <w:r>
        <w:t>The leaders’ role throughout is to provide a clarity of purpose</w:t>
      </w:r>
      <w:r w:rsidRPr="00DF453D">
        <w:t xml:space="preserve"> </w:t>
      </w:r>
      <w:r>
        <w:t xml:space="preserve">to both preserve the core nuclear safety attributes whilst effectively responding to the external challenges i.e. </w:t>
      </w:r>
      <w:r w:rsidRPr="00AB4174">
        <w:t xml:space="preserve">political, economic, social, technical, social, environmental and legal changes which </w:t>
      </w:r>
      <w:r>
        <w:t xml:space="preserve">the organization will inevitably face. </w:t>
      </w:r>
    </w:p>
    <w:p w14:paraId="1CE8A181" w14:textId="77777777" w:rsidR="00635B40" w:rsidRDefault="00635B40" w:rsidP="00725E8A">
      <w:pPr>
        <w:pStyle w:val="BodyText"/>
        <w:spacing w:after="120"/>
        <w:ind w:firstLine="567"/>
      </w:pPr>
      <w:r>
        <w:t>To gain the necessary trust of the external and internal stakeholders the purpose, objectives, direction and performance against the objectives needs to be constantly communicated to all in an open and transparent manner.</w:t>
      </w:r>
    </w:p>
    <w:p w14:paraId="23889C0B" w14:textId="77777777" w:rsidR="00635B40" w:rsidRDefault="00635B40" w:rsidP="00725E8A">
      <w:pPr>
        <w:pStyle w:val="BodyText"/>
        <w:spacing w:after="120"/>
        <w:ind w:firstLine="567"/>
        <w:rPr>
          <w:szCs w:val="24"/>
        </w:rPr>
      </w:pPr>
      <w:r>
        <w:t xml:space="preserve">The importance of creating a culture, which fosters behaviours that enhances safety in actions will continue to be central for any organisation which needs to prioritise safety. In the nuclear industry Safety Culture has been a central topic since the concept was coined in 1986 after the Chernobyl nuclear accident. </w:t>
      </w:r>
      <w:r w:rsidRPr="4E8BE111">
        <w:rPr>
          <w:szCs w:val="24"/>
        </w:rPr>
        <w:t>Lots of efforts have been made by international organizations to define and describe what a healthy safety culture entail. Examples are:</w:t>
      </w:r>
    </w:p>
    <w:p w14:paraId="4AD72517" w14:textId="7566CBE3" w:rsidR="00635B40" w:rsidRPr="00F77F8E" w:rsidRDefault="00635B40" w:rsidP="00AC768F">
      <w:pPr>
        <w:pStyle w:val="ListParagraph"/>
        <w:numPr>
          <w:ilvl w:val="0"/>
          <w:numId w:val="13"/>
        </w:numPr>
        <w:overflowPunct/>
        <w:autoSpaceDE/>
        <w:autoSpaceDN/>
        <w:adjustRightInd/>
        <w:spacing w:after="240" w:line="240" w:lineRule="auto"/>
        <w:textAlignment w:val="auto"/>
        <w:rPr>
          <w:rFonts w:ascii="Times New Roman" w:hAnsi="Times New Roman" w:cs="Times New Roman"/>
          <w:sz w:val="24"/>
          <w:szCs w:val="24"/>
        </w:rPr>
      </w:pPr>
      <w:r w:rsidRPr="00F77F8E">
        <w:rPr>
          <w:rFonts w:ascii="Times New Roman" w:hAnsi="Times New Roman" w:cs="Times New Roman"/>
          <w:sz w:val="24"/>
          <w:szCs w:val="24"/>
        </w:rPr>
        <w:t>IAEA INSAG No 4 ‘Safety Culture’</w:t>
      </w:r>
      <w:r w:rsidR="00F77F8E">
        <w:rPr>
          <w:rFonts w:ascii="Times New Roman" w:hAnsi="Times New Roman" w:cs="Times New Roman"/>
          <w:sz w:val="24"/>
          <w:szCs w:val="24"/>
        </w:rPr>
        <w:fldChar w:fldCharType="begin"/>
      </w:r>
      <w:r w:rsidR="00F77F8E">
        <w:rPr>
          <w:rFonts w:ascii="Times New Roman" w:hAnsi="Times New Roman" w:cs="Times New Roman"/>
          <w:sz w:val="24"/>
          <w:szCs w:val="24"/>
        </w:rPr>
        <w:instrText xml:space="preserve"> ADDIN ZOTERO_ITEM CSL_CITATION {"citationID":"izf0nwkl","properties":{"formattedCitation":"[2]","plainCitation":"[2]","noteIndex":0},"citationItems":[{"id":1058,"uris":["http://zotero.org/users/6184040/items/Y3XJGEDF"],"uri":["http://zotero.org/users/6184040/items/Y3XJGEDF"],"itemData":{"id":1058,"type":"book","collection-number":"INSAG-4","event-place":"Vienna","language":"en-GB","note":"Safety Series No. 75-INSAG-4","publisher":"IAEA","publisher-place":"Vienna","title":"Safety Culture","title-short":"Safety Culture","URL":"http://www-pub.iaea.org/MTCD/publications/PDF/Pub882_web.pdf","author":[{"literal":"International Nuclear Safety Advisory Group"}],"issued":{"date-parts":[["1991"]]}}}],"schema":"https://github.com/citation-style-language/schema/raw/master/csl-citation.json"} </w:instrText>
      </w:r>
      <w:r w:rsidR="00F77F8E">
        <w:rPr>
          <w:rFonts w:ascii="Times New Roman" w:hAnsi="Times New Roman" w:cs="Times New Roman"/>
          <w:sz w:val="24"/>
          <w:szCs w:val="24"/>
        </w:rPr>
        <w:fldChar w:fldCharType="separate"/>
      </w:r>
      <w:r w:rsidR="00F77F8E" w:rsidRPr="00F77F8E">
        <w:rPr>
          <w:rFonts w:ascii="Times New Roman" w:hAnsi="Times New Roman" w:cs="Times New Roman"/>
          <w:sz w:val="24"/>
        </w:rPr>
        <w:t>[2]</w:t>
      </w:r>
      <w:r w:rsidR="00F77F8E">
        <w:rPr>
          <w:rFonts w:ascii="Times New Roman" w:hAnsi="Times New Roman" w:cs="Times New Roman"/>
          <w:sz w:val="24"/>
          <w:szCs w:val="24"/>
        </w:rPr>
        <w:fldChar w:fldCharType="end"/>
      </w:r>
    </w:p>
    <w:p w14:paraId="3AB6CE0E" w14:textId="6DFAD8BF" w:rsidR="00635B40" w:rsidRDefault="00635B40" w:rsidP="00AC768F">
      <w:pPr>
        <w:pStyle w:val="ListParagraph"/>
        <w:numPr>
          <w:ilvl w:val="0"/>
          <w:numId w:val="13"/>
        </w:numPr>
        <w:overflowPunct/>
        <w:autoSpaceDE/>
        <w:autoSpaceDN/>
        <w:adjustRightInd/>
        <w:spacing w:after="240" w:line="240" w:lineRule="auto"/>
        <w:textAlignment w:val="auto"/>
        <w:rPr>
          <w:rFonts w:ascii="Times New Roman" w:hAnsi="Times New Roman" w:cs="Times New Roman"/>
          <w:sz w:val="24"/>
          <w:szCs w:val="24"/>
        </w:rPr>
      </w:pPr>
      <w:r w:rsidRPr="00F77F8E">
        <w:rPr>
          <w:rFonts w:ascii="Times New Roman" w:hAnsi="Times New Roman" w:cs="Times New Roman"/>
          <w:sz w:val="24"/>
          <w:szCs w:val="24"/>
        </w:rPr>
        <w:t>IAEA Safety Standard GSG 3.5 ‘The Management System for Nuclear Installations’</w:t>
      </w:r>
      <w:r w:rsidR="00F77F8E">
        <w:rPr>
          <w:rFonts w:ascii="Times New Roman" w:hAnsi="Times New Roman" w:cs="Times New Roman"/>
          <w:sz w:val="24"/>
          <w:szCs w:val="24"/>
        </w:rPr>
        <w:fldChar w:fldCharType="begin"/>
      </w:r>
      <w:r w:rsidR="00F77F8E">
        <w:rPr>
          <w:rFonts w:ascii="Times New Roman" w:hAnsi="Times New Roman" w:cs="Times New Roman"/>
          <w:sz w:val="24"/>
          <w:szCs w:val="24"/>
        </w:rPr>
        <w:instrText xml:space="preserve"> ADDIN ZOTERO_ITEM CSL_CITATION {"citationID":"koyZo50f","properties":{"formattedCitation":"[18]","plainCitation":"[18]","noteIndex":0},"citationItems":[{"id":1078,"uris":["http://zotero.org/users/6184040/items/WBHVRWN5"],"uri":["http://zotero.org/users/6184040/items/WBHVRWN5"],"itemData":{"id":1078,"type":"book","collection-number":"No. GS-G-3.5","collection-title":"IAEA Safety Standards Series","event-place":"Vienna","ISBN":"978-92-0-103409-0","language":"en-GB","number-of-pages":"139","publisher":"IAEA","publisher-place":"Vienna","title":"The Management System for Nuclear Installations","URL":"http://www-pub.iaea.org/MTCD/publications/PDF/Pub1392_web.pdf","author":[{"literal":"International Atomic Energy Agency"}],"issued":{"date-parts":[["2009"]]}}}],"schema":"https://github.com/citation-style-language/schema/raw/master/csl-citation.json"} </w:instrText>
      </w:r>
      <w:r w:rsidR="00F77F8E">
        <w:rPr>
          <w:rFonts w:ascii="Times New Roman" w:hAnsi="Times New Roman" w:cs="Times New Roman"/>
          <w:sz w:val="24"/>
          <w:szCs w:val="24"/>
        </w:rPr>
        <w:fldChar w:fldCharType="separate"/>
      </w:r>
      <w:r w:rsidR="00F77F8E" w:rsidRPr="00F77F8E">
        <w:rPr>
          <w:rFonts w:ascii="Times New Roman" w:hAnsi="Times New Roman" w:cs="Times New Roman"/>
          <w:sz w:val="24"/>
        </w:rPr>
        <w:t>[18]</w:t>
      </w:r>
      <w:r w:rsidR="00F77F8E">
        <w:rPr>
          <w:rFonts w:ascii="Times New Roman" w:hAnsi="Times New Roman" w:cs="Times New Roman"/>
          <w:sz w:val="24"/>
          <w:szCs w:val="24"/>
        </w:rPr>
        <w:fldChar w:fldCharType="end"/>
      </w:r>
    </w:p>
    <w:p w14:paraId="4B5A1052" w14:textId="75183813" w:rsidR="002F0E94" w:rsidRPr="00607C95" w:rsidRDefault="002F0E94" w:rsidP="00AC768F">
      <w:pPr>
        <w:pStyle w:val="ListParagraph"/>
        <w:numPr>
          <w:ilvl w:val="0"/>
          <w:numId w:val="13"/>
        </w:numPr>
        <w:overflowPunct/>
        <w:autoSpaceDE/>
        <w:autoSpaceDN/>
        <w:adjustRightInd/>
        <w:spacing w:after="240" w:line="240" w:lineRule="auto"/>
        <w:textAlignment w:val="auto"/>
        <w:rPr>
          <w:rFonts w:ascii="Times New Roman" w:hAnsi="Times New Roman" w:cs="Times New Roman"/>
          <w:sz w:val="24"/>
          <w:szCs w:val="24"/>
        </w:rPr>
      </w:pPr>
      <w:r w:rsidRPr="00607C95">
        <w:rPr>
          <w:rFonts w:ascii="Times New Roman" w:hAnsi="Times New Roman" w:cs="Times New Roman"/>
          <w:sz w:val="24"/>
          <w:szCs w:val="24"/>
        </w:rPr>
        <w:t>INPO 14-005 ‘Leadership and Team Effectiveness Attributes’</w:t>
      </w:r>
      <w:r w:rsidR="00607C95">
        <w:rPr>
          <w:rFonts w:ascii="Times New Roman" w:hAnsi="Times New Roman" w:cs="Times New Roman"/>
          <w:sz w:val="24"/>
          <w:szCs w:val="24"/>
        </w:rPr>
        <w:fldChar w:fldCharType="begin"/>
      </w:r>
      <w:r w:rsidR="00607C95">
        <w:rPr>
          <w:rFonts w:ascii="Times New Roman" w:hAnsi="Times New Roman" w:cs="Times New Roman"/>
          <w:sz w:val="24"/>
          <w:szCs w:val="24"/>
        </w:rPr>
        <w:instrText xml:space="preserve"> ADDIN ZOTERO_ITEM CSL_CITATION {"citationID":"IqdeEjoU","properties":{"formattedCitation":"[19]","plainCitation":"[19]","noteIndex":0},"citationItems":[{"id":1079,"uris":["http://zotero.org/users/6184040/items/U8XP8HX5"],"uri":["http://zotero.org/users/6184040/items/U8XP8HX5"],"itemData":{"id":1079,"type":"book","collection-number":"INPO 14-005","title":"Leadership and Team Effectiveness Attributes","author":[{"family":"INSTITUTE OF NUCLEAR POWER OPERATIONS","given":""}]}}],"schema":"https://github.com/citation-style-language/schema/raw/master/csl-citation.json"} </w:instrText>
      </w:r>
      <w:r w:rsidR="00607C95">
        <w:rPr>
          <w:rFonts w:ascii="Times New Roman" w:hAnsi="Times New Roman" w:cs="Times New Roman"/>
          <w:sz w:val="24"/>
          <w:szCs w:val="24"/>
        </w:rPr>
        <w:fldChar w:fldCharType="separate"/>
      </w:r>
      <w:r w:rsidR="00607C95" w:rsidRPr="00607C95">
        <w:rPr>
          <w:rFonts w:ascii="Times New Roman" w:hAnsi="Times New Roman" w:cs="Times New Roman"/>
          <w:sz w:val="24"/>
        </w:rPr>
        <w:t>[19]</w:t>
      </w:r>
      <w:r w:rsidR="00607C95">
        <w:rPr>
          <w:rFonts w:ascii="Times New Roman" w:hAnsi="Times New Roman" w:cs="Times New Roman"/>
          <w:sz w:val="24"/>
          <w:szCs w:val="24"/>
        </w:rPr>
        <w:fldChar w:fldCharType="end"/>
      </w:r>
    </w:p>
    <w:p w14:paraId="672E1487" w14:textId="5B4C9048" w:rsidR="00635B40" w:rsidRPr="00D141A0" w:rsidRDefault="00635B40" w:rsidP="00AC768F">
      <w:pPr>
        <w:pStyle w:val="ListParagraph"/>
        <w:numPr>
          <w:ilvl w:val="0"/>
          <w:numId w:val="13"/>
        </w:numPr>
        <w:overflowPunct/>
        <w:autoSpaceDE/>
        <w:autoSpaceDN/>
        <w:adjustRightInd/>
        <w:spacing w:after="240" w:line="240" w:lineRule="auto"/>
        <w:textAlignment w:val="auto"/>
        <w:rPr>
          <w:rFonts w:ascii="Times New Roman" w:hAnsi="Times New Roman" w:cs="Times New Roman"/>
          <w:sz w:val="24"/>
          <w:szCs w:val="24"/>
        </w:rPr>
      </w:pPr>
      <w:r w:rsidRPr="00D141A0">
        <w:rPr>
          <w:rFonts w:ascii="Times New Roman" w:hAnsi="Times New Roman" w:cs="Times New Roman"/>
          <w:sz w:val="24"/>
          <w:szCs w:val="24"/>
        </w:rPr>
        <w:t>WANO PL 2013-1 ‘Traits of a Healthy Nuclear Safety Culture’</w:t>
      </w:r>
      <w:r w:rsidR="00D141A0">
        <w:rPr>
          <w:rFonts w:ascii="Times New Roman" w:hAnsi="Times New Roman" w:cs="Times New Roman"/>
          <w:sz w:val="24"/>
          <w:szCs w:val="24"/>
        </w:rPr>
        <w:fldChar w:fldCharType="begin"/>
      </w:r>
      <w:r w:rsidR="00D141A0">
        <w:rPr>
          <w:rFonts w:ascii="Times New Roman" w:hAnsi="Times New Roman" w:cs="Times New Roman"/>
          <w:sz w:val="24"/>
          <w:szCs w:val="24"/>
        </w:rPr>
        <w:instrText xml:space="preserve"> ADDIN ZOTERO_ITEM CSL_CITATION {"citationID":"8mmK9Isr","properties":{"formattedCitation":"[20]","plainCitation":"[20]","noteIndex":0},"citationItems":[{"id":1080,"uris":["http://zotero.org/users/6184040/items/XU965Z6D"],"uri":["http://zotero.org/users/6184040/items/XU965Z6D"],"itemData":{"id":1080,"type":"book","collection-number":"PL 2013-1","event-place":"London","publisher-place":"London","title":"Traits of a Healthy Nuclear Safety Culture","author":[{"family":"WORLD ASSOCIATION OF NUCLEAR OPERATORS","given":""}],"issued":{"date-parts":[["2013"]]}}}],"schema":"https://github.com/citation-style-language/schema/raw/master/csl-citation.json"} </w:instrText>
      </w:r>
      <w:r w:rsidR="00D141A0">
        <w:rPr>
          <w:rFonts w:ascii="Times New Roman" w:hAnsi="Times New Roman" w:cs="Times New Roman"/>
          <w:sz w:val="24"/>
          <w:szCs w:val="24"/>
        </w:rPr>
        <w:fldChar w:fldCharType="separate"/>
      </w:r>
      <w:r w:rsidR="00D141A0" w:rsidRPr="00D141A0">
        <w:rPr>
          <w:rFonts w:ascii="Times New Roman" w:hAnsi="Times New Roman" w:cs="Times New Roman"/>
          <w:sz w:val="24"/>
        </w:rPr>
        <w:t>[20]</w:t>
      </w:r>
      <w:r w:rsidR="00D141A0">
        <w:rPr>
          <w:rFonts w:ascii="Times New Roman" w:hAnsi="Times New Roman" w:cs="Times New Roman"/>
          <w:sz w:val="24"/>
          <w:szCs w:val="24"/>
        </w:rPr>
        <w:fldChar w:fldCharType="end"/>
      </w:r>
    </w:p>
    <w:p w14:paraId="6DD67B32" w14:textId="60971F08" w:rsidR="00635B40" w:rsidRPr="00FA77DA" w:rsidRDefault="00635B40" w:rsidP="00AC768F">
      <w:pPr>
        <w:pStyle w:val="ListParagraph"/>
        <w:numPr>
          <w:ilvl w:val="0"/>
          <w:numId w:val="13"/>
        </w:numPr>
        <w:overflowPunct/>
        <w:autoSpaceDE/>
        <w:autoSpaceDN/>
        <w:adjustRightInd/>
        <w:spacing w:after="240" w:line="240" w:lineRule="auto"/>
        <w:textAlignment w:val="auto"/>
        <w:rPr>
          <w:rFonts w:ascii="Times New Roman" w:hAnsi="Times New Roman" w:cs="Times New Roman"/>
          <w:sz w:val="24"/>
          <w:szCs w:val="24"/>
        </w:rPr>
      </w:pPr>
      <w:r w:rsidRPr="00FA77DA">
        <w:rPr>
          <w:rFonts w:ascii="Times New Roman" w:hAnsi="Times New Roman" w:cs="Times New Roman"/>
          <w:sz w:val="24"/>
          <w:szCs w:val="24"/>
        </w:rPr>
        <w:t xml:space="preserve">WANO </w:t>
      </w:r>
      <w:r w:rsidR="00FA77DA" w:rsidRPr="00FA77DA">
        <w:rPr>
          <w:rFonts w:ascii="Times New Roman" w:hAnsi="Times New Roman" w:cs="Times New Roman"/>
          <w:sz w:val="24"/>
          <w:szCs w:val="24"/>
        </w:rPr>
        <w:t>PL 2019-01 ‘</w:t>
      </w:r>
      <w:r w:rsidR="00DE43BF" w:rsidRPr="00FA77DA">
        <w:rPr>
          <w:rFonts w:ascii="Times New Roman" w:hAnsi="Times New Roman" w:cs="Times New Roman"/>
          <w:sz w:val="24"/>
          <w:szCs w:val="24"/>
        </w:rPr>
        <w:t>WANO Principle</w:t>
      </w:r>
      <w:r w:rsidR="009316C8">
        <w:rPr>
          <w:rFonts w:ascii="Times New Roman" w:hAnsi="Times New Roman" w:cs="Times New Roman"/>
          <w:sz w:val="24"/>
          <w:szCs w:val="24"/>
        </w:rPr>
        <w:t xml:space="preserve"> </w:t>
      </w:r>
      <w:r w:rsidR="00FA77DA" w:rsidRPr="00FA77DA">
        <w:rPr>
          <w:rFonts w:ascii="Times New Roman" w:hAnsi="Times New Roman" w:cs="Times New Roman"/>
          <w:sz w:val="24"/>
          <w:szCs w:val="24"/>
        </w:rPr>
        <w:t xml:space="preserve">- </w:t>
      </w:r>
      <w:r w:rsidR="00DE43BF" w:rsidRPr="00FA77DA">
        <w:rPr>
          <w:rFonts w:ascii="Times New Roman" w:hAnsi="Times New Roman" w:cs="Times New Roman"/>
          <w:sz w:val="24"/>
          <w:szCs w:val="24"/>
        </w:rPr>
        <w:t>Nuclear Leadership Effectiveness Attributes</w:t>
      </w:r>
      <w:r w:rsidR="00202981" w:rsidRPr="00FA77DA">
        <w:rPr>
          <w:rFonts w:ascii="Times New Roman" w:hAnsi="Times New Roman" w:cs="Times New Roman"/>
          <w:sz w:val="24"/>
          <w:szCs w:val="24"/>
        </w:rPr>
        <w:t>’</w:t>
      </w:r>
      <w:r w:rsidR="00FA77DA">
        <w:rPr>
          <w:rFonts w:ascii="Times New Roman" w:hAnsi="Times New Roman" w:cs="Times New Roman"/>
          <w:sz w:val="24"/>
          <w:szCs w:val="24"/>
        </w:rPr>
        <w:fldChar w:fldCharType="begin"/>
      </w:r>
      <w:r w:rsidR="00FA77DA">
        <w:rPr>
          <w:rFonts w:ascii="Times New Roman" w:hAnsi="Times New Roman" w:cs="Times New Roman"/>
          <w:sz w:val="24"/>
          <w:szCs w:val="24"/>
        </w:rPr>
        <w:instrText xml:space="preserve"> ADDIN ZOTERO_ITEM CSL_CITATION {"citationID":"0G3nVA6g","properties":{"formattedCitation":"[21]","plainCitation":"[21]","noteIndex":0},"citationItems":[{"id":1081,"uris":["http://zotero.org/users/6184040/items/HDBAF25Y"],"uri":["http://zotero.org/users/6184040/items/HDBAF25Y"],"itemData":{"id":1081,"type":"book","collection-number":"PL 2019-01","event-place":"London","publisher-place":"London","title":"WANO Principles - Nuclear Leadership Effectiveness Attributes","author":[{"literal":"WORLD ASSOCIATION OF NUCLEAR OPERATORS"}],"issued":{"date-parts":[["2019"]]}}}],"schema":"https://github.com/citation-style-language/schema/raw/master/csl-citation.json"} </w:instrText>
      </w:r>
      <w:r w:rsidR="00FA77DA">
        <w:rPr>
          <w:rFonts w:ascii="Times New Roman" w:hAnsi="Times New Roman" w:cs="Times New Roman"/>
          <w:sz w:val="24"/>
          <w:szCs w:val="24"/>
        </w:rPr>
        <w:fldChar w:fldCharType="separate"/>
      </w:r>
      <w:r w:rsidR="00FA77DA" w:rsidRPr="00FA77DA">
        <w:rPr>
          <w:rFonts w:ascii="Times New Roman" w:hAnsi="Times New Roman" w:cs="Times New Roman"/>
          <w:sz w:val="24"/>
        </w:rPr>
        <w:t>[21]</w:t>
      </w:r>
      <w:r w:rsidR="00FA77DA">
        <w:rPr>
          <w:rFonts w:ascii="Times New Roman" w:hAnsi="Times New Roman" w:cs="Times New Roman"/>
          <w:sz w:val="24"/>
          <w:szCs w:val="24"/>
        </w:rPr>
        <w:fldChar w:fldCharType="end"/>
      </w:r>
    </w:p>
    <w:p w14:paraId="58412C8A" w14:textId="49F38A8C" w:rsidR="00635B40" w:rsidRPr="00FA77DA" w:rsidRDefault="00635B40" w:rsidP="00AC768F">
      <w:pPr>
        <w:pStyle w:val="ListParagraph"/>
        <w:numPr>
          <w:ilvl w:val="0"/>
          <w:numId w:val="13"/>
        </w:numPr>
        <w:overflowPunct/>
        <w:autoSpaceDE/>
        <w:autoSpaceDN/>
        <w:adjustRightInd/>
        <w:spacing w:after="240" w:line="240" w:lineRule="auto"/>
        <w:textAlignment w:val="auto"/>
        <w:rPr>
          <w:rFonts w:ascii="Times New Roman" w:hAnsi="Times New Roman" w:cs="Times New Roman"/>
          <w:sz w:val="24"/>
          <w:szCs w:val="24"/>
        </w:rPr>
      </w:pPr>
      <w:r w:rsidRPr="00FA77DA">
        <w:rPr>
          <w:rFonts w:ascii="Times New Roman" w:hAnsi="Times New Roman" w:cs="Times New Roman"/>
          <w:sz w:val="24"/>
          <w:szCs w:val="24"/>
        </w:rPr>
        <w:lastRenderedPageBreak/>
        <w:t xml:space="preserve">IAEA </w:t>
      </w:r>
      <w:r w:rsidR="009316C8">
        <w:rPr>
          <w:rFonts w:ascii="Times New Roman" w:hAnsi="Times New Roman" w:cs="Times New Roman"/>
          <w:sz w:val="24"/>
          <w:szCs w:val="24"/>
        </w:rPr>
        <w:t xml:space="preserve">Working </w:t>
      </w:r>
      <w:r w:rsidR="00443059">
        <w:rPr>
          <w:rFonts w:ascii="Times New Roman" w:hAnsi="Times New Roman" w:cs="Times New Roman"/>
          <w:sz w:val="24"/>
          <w:szCs w:val="24"/>
        </w:rPr>
        <w:t>Document ‘</w:t>
      </w:r>
      <w:r w:rsidRPr="00FA77DA">
        <w:rPr>
          <w:rFonts w:ascii="Times New Roman" w:hAnsi="Times New Roman" w:cs="Times New Roman"/>
          <w:sz w:val="24"/>
          <w:szCs w:val="24"/>
        </w:rPr>
        <w:t>A Harmonized safety culture model</w:t>
      </w:r>
      <w:r w:rsidR="00443059">
        <w:rPr>
          <w:rFonts w:ascii="Times New Roman" w:hAnsi="Times New Roman" w:cs="Times New Roman"/>
          <w:sz w:val="24"/>
          <w:szCs w:val="24"/>
        </w:rPr>
        <w:t>’</w:t>
      </w:r>
      <w:r w:rsidR="00443059">
        <w:rPr>
          <w:rFonts w:ascii="Times New Roman" w:hAnsi="Times New Roman" w:cs="Times New Roman"/>
          <w:sz w:val="24"/>
          <w:szCs w:val="24"/>
        </w:rPr>
        <w:fldChar w:fldCharType="begin"/>
      </w:r>
      <w:r w:rsidR="00443059">
        <w:rPr>
          <w:rFonts w:ascii="Times New Roman" w:hAnsi="Times New Roman" w:cs="Times New Roman"/>
          <w:sz w:val="24"/>
          <w:szCs w:val="24"/>
        </w:rPr>
        <w:instrText xml:space="preserve"> ADDIN ZOTERO_ITEM CSL_CITATION {"citationID":"Cr2JuCFV","properties":{"formattedCitation":"[22]","plainCitation":"[22]","noteIndex":0},"citationItems":[{"id":1082,"uris":["http://zotero.org/users/6184040/items/ACVE93C8"],"uri":["http://zotero.org/users/6184040/items/ACVE93C8"],"itemData":{"id":1082,"type":"book","collection-title":"IAEA Working Document","event-place":"Vienna","publisher":"IAEA","publisher-place":"Vienna","title":"A Harmonized Safety Culture Model","author":[{"family":"International Atomic Energy Agency","given":""}],"issued":{"date-parts":[["2020",5,5]]}}}],"schema":"https://github.com/citation-style-language/schema/raw/master/csl-citation.json"} </w:instrText>
      </w:r>
      <w:r w:rsidR="00443059">
        <w:rPr>
          <w:rFonts w:ascii="Times New Roman" w:hAnsi="Times New Roman" w:cs="Times New Roman"/>
          <w:sz w:val="24"/>
          <w:szCs w:val="24"/>
        </w:rPr>
        <w:fldChar w:fldCharType="separate"/>
      </w:r>
      <w:r w:rsidR="00443059" w:rsidRPr="00443059">
        <w:rPr>
          <w:rFonts w:ascii="Times New Roman" w:hAnsi="Times New Roman" w:cs="Times New Roman"/>
          <w:sz w:val="24"/>
        </w:rPr>
        <w:t>[22]</w:t>
      </w:r>
      <w:r w:rsidR="00443059">
        <w:rPr>
          <w:rFonts w:ascii="Times New Roman" w:hAnsi="Times New Roman" w:cs="Times New Roman"/>
          <w:sz w:val="24"/>
          <w:szCs w:val="24"/>
        </w:rPr>
        <w:fldChar w:fldCharType="end"/>
      </w:r>
    </w:p>
    <w:p w14:paraId="319B04E2" w14:textId="5AB07C24" w:rsidR="00635B40" w:rsidRDefault="00635B40" w:rsidP="004063D0">
      <w:pPr>
        <w:pStyle w:val="BodyText"/>
        <w:spacing w:after="120"/>
        <w:ind w:firstLine="567"/>
        <w:rPr>
          <w:rFonts w:ascii="Calibri" w:eastAsia="Calibri" w:hAnsi="Calibri" w:cs="Calibri"/>
          <w:sz w:val="20"/>
        </w:rPr>
      </w:pPr>
      <w:r>
        <w:t xml:space="preserve">This paper will not expand further on these behaviours and traits other than recognizing that they sit at the core of all nuclear organizations. Performance against these traits needs to be constantly reviewed and </w:t>
      </w:r>
      <w:r w:rsidR="00F82DD0">
        <w:t>t</w:t>
      </w:r>
      <w:r w:rsidRPr="0E60DC4B">
        <w:rPr>
          <w:szCs w:val="24"/>
        </w:rPr>
        <w:t xml:space="preserve">his can be done as self-assessment or through an independent assessment conducted by an external party. IAEA is offering the service of both independent safety culture assessment (ISCA) as well as training on how to perform safety culture self-assessments (SCSA). </w:t>
      </w:r>
      <w:r w:rsidR="004063D0">
        <w:rPr>
          <w:szCs w:val="24"/>
        </w:rPr>
        <w:fldChar w:fldCharType="begin"/>
      </w:r>
      <w:r w:rsidR="004063D0">
        <w:rPr>
          <w:szCs w:val="24"/>
        </w:rPr>
        <w:instrText xml:space="preserve"> ADDIN ZOTERO_ITEM CSL_CITATION {"citationID":"UTmF9C6m","properties":{"formattedCitation":"[23]","plainCitation":"[23]","noteIndex":0},"citationItems":[{"id":43,"uris":["http://zotero.org/groups/350375/items/P8MDS4K6"],"uri":["http://zotero.org/groups/350375/items/P8MDS4K6"],"itemData":{"id":43,"type":"book","collection-number":"No. 83","collection-title":"IAEA Safety Reports Series","event-place":"Vienna","ISBN":"978-92-0-101515-0","language":"en-GB","publisher":"IAEA","publisher-place":"Vienna","title":"Performing Safety Culture Self-assessments","URL":"http://www-pub.iaea.org/MTCD/Publications/PDF/Pub1682_web.pdf","author":[{"literal":"International Atomic Energy Agency"}],"issued":{"date-parts":[["2016"]]}}}],"schema":"https://github.com/citation-style-language/schema/raw/master/csl-citation.json"} </w:instrText>
      </w:r>
      <w:r w:rsidR="004063D0">
        <w:rPr>
          <w:szCs w:val="24"/>
        </w:rPr>
        <w:fldChar w:fldCharType="separate"/>
      </w:r>
      <w:r w:rsidR="004063D0" w:rsidRPr="004063D0">
        <w:t>[23]</w:t>
      </w:r>
      <w:r w:rsidR="004063D0">
        <w:rPr>
          <w:szCs w:val="24"/>
        </w:rPr>
        <w:fldChar w:fldCharType="end"/>
      </w:r>
      <w:r w:rsidRPr="0E60DC4B">
        <w:rPr>
          <w:rFonts w:ascii="Calibri" w:eastAsia="Calibri" w:hAnsi="Calibri" w:cs="Calibri"/>
          <w:sz w:val="20"/>
        </w:rPr>
        <w:t xml:space="preserve"> </w:t>
      </w:r>
    </w:p>
    <w:p w14:paraId="23171C35" w14:textId="77777777" w:rsidR="00635B40" w:rsidRDefault="00635B40" w:rsidP="00681F54">
      <w:pPr>
        <w:pStyle w:val="BodyText"/>
        <w:spacing w:after="120"/>
        <w:ind w:firstLine="567"/>
      </w:pPr>
      <w:r w:rsidRPr="0E60DC4B">
        <w:rPr>
          <w:szCs w:val="24"/>
        </w:rPr>
        <w:t xml:space="preserve">Performing assessments to identify strengths and areas for improvements is the easier part of working with safety culture. The more challenging part is to design and take the appropriate actions and countermeasures to improve the culture in an effective and sustainable manner. </w:t>
      </w:r>
      <w:r>
        <w:t xml:space="preserve"> There has been a limited selection of methods and tools available on the market. Most of the focus has been on assessments and identifying the deficiencies. To tailor counteractions and to implement integrated ways of working with culture requires expertise in human and organizational factors. It is encouraged to seek such support for long-term and sustainable improvements. </w:t>
      </w:r>
    </w:p>
    <w:p w14:paraId="48A1E961" w14:textId="2F27563A" w:rsidR="00635B40" w:rsidRDefault="00635B40" w:rsidP="003D2B19">
      <w:pPr>
        <w:pStyle w:val="BodyText"/>
        <w:spacing w:after="120"/>
        <w:ind w:firstLine="567"/>
      </w:pPr>
      <w:r>
        <w:t xml:space="preserve">The Shared Space </w:t>
      </w:r>
      <w:r w:rsidR="003D2B19">
        <w:fldChar w:fldCharType="begin"/>
      </w:r>
      <w:r w:rsidR="003D2B19">
        <w:instrText xml:space="preserve"> ADDIN ZOTERO_ITEM CSL_CITATION {"citationID":"A6fqMuzm","properties":{"formattedCitation":"[23]","plainCitation":"[23]","noteIndex":0},"citationItems":[{"id":43,"uris":["http://zotero.org/groups/350375/items/P8MDS4K6"],"uri":["http://zotero.org/groups/350375/items/P8MDS4K6"],"itemData":{"id":43,"type":"book","collection-number":"No. 83","collection-title":"IAEA Safety Reports Series","event-place":"Vienna","ISBN":"978-92-0-101515-0","language":"en-GB","publisher":"IAEA","publisher-place":"Vienna","title":"Performing Safety Culture Self-assessments","URL":"http://www-pub.iaea.org/MTCD/Publications/PDF/Pub1682_web.pdf","author":[{"literal":"International Atomic Energy Agency"}],"issued":{"date-parts":[["2016"]]}}}],"schema":"https://github.com/citation-style-language/schema/raw/master/csl-citation.json"} </w:instrText>
      </w:r>
      <w:r w:rsidR="003D2B19">
        <w:fldChar w:fldCharType="separate"/>
      </w:r>
      <w:r w:rsidR="003D2B19" w:rsidRPr="003D2B19">
        <w:t>[23]</w:t>
      </w:r>
      <w:r w:rsidR="003D2B19">
        <w:fldChar w:fldCharType="end"/>
      </w:r>
      <w:r w:rsidR="00665BFC">
        <w:t xml:space="preserve"> </w:t>
      </w:r>
      <w:r>
        <w:t xml:space="preserve">concept has been helpful for organizations to narrow down the focus on the most important components. Shared Space highlights the space in-between people or teams. This space does usually not attract attention, even though this is the core of human interactions where relations are shaped. Everyone knows what a trustworthy and respectful relationship feels like compared to a relationship with distrust and disrespect. When people feel accepted and respected, they tend to share more openly concerns and are more willing to support and be generous. This type of relationships is </w:t>
      </w:r>
      <w:r w:rsidRPr="0E60DC4B">
        <w:rPr>
          <w:szCs w:val="24"/>
        </w:rPr>
        <w:t>fundamental for institutional strength in depth.</w:t>
      </w:r>
      <w:r>
        <w:t xml:space="preserve"> The more an organization is able to share without fear, the wiser and more well-informed the organization will be. Better decisions can be made and a better overview of the processes can be obtained.</w:t>
      </w:r>
    </w:p>
    <w:p w14:paraId="06831D10" w14:textId="5B18C8FD" w:rsidR="00635B40" w:rsidRDefault="00635B40" w:rsidP="00CE6801">
      <w:pPr>
        <w:pStyle w:val="BodyText"/>
        <w:spacing w:after="120"/>
        <w:ind w:firstLine="567"/>
      </w:pPr>
      <w:r>
        <w:t>The more recent approach to improve culture for safety, is to proactively monitor and be heedful of decline in the culture for safety and not solely rely on periodic safety culture assessments every 3-4 year. Leaders are trained and improve their awareness about signs of weakening or unhealthy culture which can jeopardize safety. Different hands-on tools are used to proactively foster healthy culture for safety. Examples are Humble Inquiry, Listening Levels, Surfacing Assumptions, Reflecting Teams.</w:t>
      </w:r>
    </w:p>
    <w:p w14:paraId="379C79F7" w14:textId="7BFC0C22" w:rsidR="00635B40" w:rsidRDefault="003650C3" w:rsidP="006F0FBE">
      <w:pPr>
        <w:pStyle w:val="BodyText"/>
        <w:spacing w:after="120"/>
        <w:ind w:firstLine="567"/>
      </w:pPr>
      <w:r>
        <w:t>Six</w:t>
      </w:r>
      <w:r w:rsidR="00635B40">
        <w:t xml:space="preserve"> main recommendations for evolving a vibrant leadership and culture for safety which strengthening the institutional defence in depth are:</w:t>
      </w:r>
    </w:p>
    <w:p w14:paraId="26795B9D" w14:textId="15218EF5" w:rsidR="00E96AA1" w:rsidRPr="00E96AA1" w:rsidRDefault="00E96AA1" w:rsidP="00AC768F">
      <w:pPr>
        <w:pStyle w:val="ListParagraph"/>
        <w:numPr>
          <w:ilvl w:val="0"/>
          <w:numId w:val="20"/>
        </w:numPr>
        <w:rPr>
          <w:rFonts w:ascii="Times New Roman" w:hAnsi="Times New Roman" w:cs="Times New Roman"/>
          <w:sz w:val="24"/>
          <w:szCs w:val="24"/>
        </w:rPr>
      </w:pPr>
      <w:r w:rsidRPr="00E96AA1">
        <w:rPr>
          <w:rFonts w:ascii="Times New Roman" w:hAnsi="Times New Roman" w:cs="Times New Roman"/>
          <w:sz w:val="24"/>
          <w:szCs w:val="24"/>
        </w:rPr>
        <w:t>Drive for results - set clear expectations, focus on impact, rigorously seek to close gaps in excellence, resolve issues and take action at the right level of the organisation and follow through to closure</w:t>
      </w:r>
    </w:p>
    <w:p w14:paraId="0E174D54" w14:textId="2E478EDB" w:rsidR="00E96AA1" w:rsidRPr="00E96AA1" w:rsidRDefault="00E96AA1" w:rsidP="00AC768F">
      <w:pPr>
        <w:pStyle w:val="ListParagraph"/>
        <w:numPr>
          <w:ilvl w:val="0"/>
          <w:numId w:val="20"/>
        </w:numPr>
        <w:rPr>
          <w:rFonts w:ascii="Times New Roman" w:eastAsia="Times New Roman" w:hAnsi="Times New Roman" w:cs="Times New Roman"/>
          <w:sz w:val="24"/>
          <w:szCs w:val="24"/>
        </w:rPr>
      </w:pPr>
      <w:r w:rsidRPr="00E96AA1">
        <w:rPr>
          <w:rFonts w:ascii="Times New Roman" w:eastAsia="Times New Roman" w:hAnsi="Times New Roman" w:cs="Times New Roman"/>
          <w:sz w:val="24"/>
          <w:szCs w:val="24"/>
        </w:rPr>
        <w:t>Be humble - egocentric behaviours and myopia prevents learning; be open to alternative views and perspectives; learn from others internally and externally to grow the competence needed for safe operations</w:t>
      </w:r>
    </w:p>
    <w:p w14:paraId="6D3A067A" w14:textId="21BCA84D" w:rsidR="00E96AA1" w:rsidRPr="00E96AA1" w:rsidRDefault="009E7DA2" w:rsidP="00AC768F">
      <w:pPr>
        <w:pStyle w:val="ListParagraph"/>
        <w:numPr>
          <w:ilvl w:val="0"/>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Learn c</w:t>
      </w:r>
      <w:r w:rsidR="00E96AA1" w:rsidRPr="00E96AA1">
        <w:rPr>
          <w:rFonts w:ascii="Times New Roman" w:eastAsia="Times New Roman" w:hAnsi="Times New Roman" w:cs="Times New Roman"/>
          <w:sz w:val="24"/>
          <w:szCs w:val="24"/>
        </w:rPr>
        <w:t xml:space="preserve">ontinuously - </w:t>
      </w:r>
      <w:r w:rsidR="00E96AA1" w:rsidRPr="00E96AA1">
        <w:rPr>
          <w:rFonts w:ascii="Times New Roman" w:hAnsi="Times New Roman" w:cs="Times New Roman"/>
          <w:sz w:val="24"/>
          <w:szCs w:val="24"/>
        </w:rPr>
        <w:t xml:space="preserve">seek to find new insights, views, and information that extends learning; implement and capture this knowledge </w:t>
      </w:r>
      <w:r w:rsidR="00E96AA1" w:rsidRPr="00E96AA1">
        <w:rPr>
          <w:rFonts w:ascii="Times New Roman" w:eastAsia="Times New Roman" w:hAnsi="Times New Roman" w:cs="Times New Roman"/>
          <w:sz w:val="24"/>
          <w:szCs w:val="24"/>
        </w:rPr>
        <w:t xml:space="preserve">in the management system; since nuclear facilities have operated over several decades, it is essential to accumulate and maintain this knowledge in a corporate memory; incorporate the lessons learnt into processes, procedures and policies etc. </w:t>
      </w:r>
    </w:p>
    <w:p w14:paraId="2850FC4C" w14:textId="572AD126" w:rsidR="00E96AA1" w:rsidRPr="00E96AA1" w:rsidRDefault="00E96AA1" w:rsidP="00AC768F">
      <w:pPr>
        <w:pStyle w:val="ListParagraph"/>
        <w:numPr>
          <w:ilvl w:val="0"/>
          <w:numId w:val="20"/>
        </w:numPr>
        <w:rPr>
          <w:rFonts w:ascii="Times New Roman" w:eastAsia="Times New Roman" w:hAnsi="Times New Roman" w:cs="Times New Roman"/>
          <w:sz w:val="24"/>
          <w:szCs w:val="24"/>
        </w:rPr>
      </w:pPr>
      <w:r w:rsidRPr="00E96AA1">
        <w:rPr>
          <w:rStyle w:val="s8"/>
          <w:rFonts w:ascii="Times New Roman" w:hAnsi="Times New Roman" w:cs="Times New Roman"/>
          <w:sz w:val="24"/>
          <w:szCs w:val="24"/>
        </w:rPr>
        <w:lastRenderedPageBreak/>
        <w:t>Demonstrate personal and collective responsibility – act with integrity, be accountable, actively raise concerns, act as one team and create alignment around priorities</w:t>
      </w:r>
    </w:p>
    <w:p w14:paraId="7F2C4E82" w14:textId="461689EA" w:rsidR="00E96AA1" w:rsidRPr="00E96AA1" w:rsidRDefault="00E96AA1" w:rsidP="00AC768F">
      <w:pPr>
        <w:pStyle w:val="ListParagraph"/>
        <w:numPr>
          <w:ilvl w:val="0"/>
          <w:numId w:val="20"/>
        </w:numPr>
        <w:rPr>
          <w:rFonts w:ascii="Times New Roman" w:eastAsia="Times New Roman" w:hAnsi="Times New Roman" w:cs="Times New Roman"/>
          <w:sz w:val="24"/>
          <w:szCs w:val="24"/>
        </w:rPr>
      </w:pPr>
      <w:r w:rsidRPr="00E96AA1">
        <w:rPr>
          <w:rFonts w:ascii="Times New Roman" w:eastAsia="Times New Roman" w:hAnsi="Times New Roman" w:cs="Times New Roman"/>
          <w:sz w:val="24"/>
          <w:szCs w:val="24"/>
        </w:rPr>
        <w:t>Nurture open inclusive and collaborative relationships - continuously enhance the shared space to ensure inclusion; build trust-based relationships and break down silos to foster partnerships and cross functional collaboration; solicit and welcome different perspectives; seek and be open to feedback and respond with appreciation for the opportunity to reflect and learn.</w:t>
      </w:r>
    </w:p>
    <w:p w14:paraId="0B4306D9" w14:textId="58A7F374" w:rsidR="00E96AA1" w:rsidRPr="00E96AA1" w:rsidRDefault="00E96AA1" w:rsidP="00AC768F">
      <w:pPr>
        <w:pStyle w:val="ListParagraph"/>
        <w:numPr>
          <w:ilvl w:val="0"/>
          <w:numId w:val="20"/>
        </w:numPr>
        <w:rPr>
          <w:rFonts w:ascii="Times New Roman" w:eastAsia="Times New Roman" w:hAnsi="Times New Roman" w:cs="Times New Roman"/>
          <w:sz w:val="24"/>
          <w:szCs w:val="24"/>
        </w:rPr>
      </w:pPr>
      <w:r w:rsidRPr="00E96AA1">
        <w:rPr>
          <w:rFonts w:ascii="Times New Roman" w:eastAsia="Times New Roman" w:hAnsi="Times New Roman" w:cs="Times New Roman"/>
          <w:sz w:val="24"/>
          <w:szCs w:val="24"/>
        </w:rPr>
        <w:t>Encourage engaged thinking to inspire others - ask open ended questions, use questions to ignite thinking and encourage participation; provide positive reinforcement for others’ contributions; highlight strengths to foster potential; keep messages and tasks as simple as possible in order to support understanding and accurate follow through.</w:t>
      </w:r>
    </w:p>
    <w:p w14:paraId="5D035342" w14:textId="23698ABB" w:rsidR="00D62445" w:rsidRPr="00D62445" w:rsidRDefault="00D62445" w:rsidP="00952E8F">
      <w:pPr>
        <w:pStyle w:val="BodyText"/>
        <w:spacing w:after="120"/>
        <w:ind w:firstLine="567"/>
      </w:pPr>
      <w:r w:rsidRPr="00D62445">
        <w:t xml:space="preserve">Reflecting back on the Fukushima </w:t>
      </w:r>
      <w:r w:rsidR="00952E8F">
        <w:t>Daiichi Accident</w:t>
      </w:r>
      <w:r w:rsidRPr="00D62445">
        <w:t xml:space="preserve"> from the aspect of leadership there was an overall belief that a severe accident could not happen to them that was not removed by senior leaders. Senior leaders, therefore, also need to be intrusive, confront risk, break down silos, build on strengths and trust and verify to ensure the effective functioning of the organization including support infrastructure, to determine which areas have declined and what additional actions need to be taken to respond to wider external challenges.  </w:t>
      </w:r>
    </w:p>
    <w:p w14:paraId="039F090F" w14:textId="77777777" w:rsidR="00EF6A91" w:rsidRDefault="00EF6A91" w:rsidP="0009089B"/>
    <w:p w14:paraId="6CBDE1A0" w14:textId="4FAF561F" w:rsidR="0089690A" w:rsidRPr="000C28B9" w:rsidRDefault="00952E8F" w:rsidP="0089690A">
      <w:pPr>
        <w:pStyle w:val="Heading2"/>
      </w:pPr>
      <w:bookmarkStart w:id="562" w:name="_Toc87627664"/>
      <w:r>
        <w:t xml:space="preserve">Effective </w:t>
      </w:r>
      <w:r w:rsidR="00911E0D">
        <w:t>Governance</w:t>
      </w:r>
      <w:bookmarkEnd w:id="562"/>
    </w:p>
    <w:p w14:paraId="063482C9" w14:textId="77777777" w:rsidR="00AD2374" w:rsidRPr="008A0CBC" w:rsidRDefault="00AD2374" w:rsidP="00AD2374">
      <w:pPr>
        <w:pStyle w:val="BodyText"/>
        <w:spacing w:after="120"/>
        <w:ind w:firstLine="567"/>
        <w:rPr>
          <w:color w:val="333333"/>
        </w:rPr>
      </w:pPr>
      <w:bookmarkStart w:id="563" w:name="_Toc73526119"/>
      <w:bookmarkStart w:id="564" w:name="_Toc73527082"/>
      <w:bookmarkStart w:id="565" w:name="_Toc73527220"/>
      <w:bookmarkStart w:id="566" w:name="_Toc73527359"/>
      <w:bookmarkStart w:id="567" w:name="_Toc73527498"/>
      <w:bookmarkStart w:id="568" w:name="_Toc78389240"/>
      <w:bookmarkStart w:id="569" w:name="_Toc78389717"/>
      <w:bookmarkStart w:id="570" w:name="_Toc78390194"/>
      <w:bookmarkStart w:id="571" w:name="_Toc73526120"/>
      <w:bookmarkStart w:id="572" w:name="_Toc73527083"/>
      <w:bookmarkStart w:id="573" w:name="_Toc73527221"/>
      <w:bookmarkStart w:id="574" w:name="_Toc73527360"/>
      <w:bookmarkStart w:id="575" w:name="_Toc73527499"/>
      <w:bookmarkStart w:id="576" w:name="_Toc78389241"/>
      <w:bookmarkStart w:id="577" w:name="_Toc78389718"/>
      <w:bookmarkStart w:id="578" w:name="_Toc78390195"/>
      <w:bookmarkStart w:id="579" w:name="_Toc73526121"/>
      <w:bookmarkStart w:id="580" w:name="_Toc73527084"/>
      <w:bookmarkStart w:id="581" w:name="_Toc73527222"/>
      <w:bookmarkStart w:id="582" w:name="_Toc73527361"/>
      <w:bookmarkStart w:id="583" w:name="_Toc73527500"/>
      <w:bookmarkStart w:id="584" w:name="_Toc78389242"/>
      <w:bookmarkStart w:id="585" w:name="_Toc78389719"/>
      <w:bookmarkStart w:id="586" w:name="_Toc78390196"/>
      <w:bookmarkStart w:id="587" w:name="_Toc73526122"/>
      <w:bookmarkStart w:id="588" w:name="_Toc73527085"/>
      <w:bookmarkStart w:id="589" w:name="_Toc73527223"/>
      <w:bookmarkStart w:id="590" w:name="_Toc73527362"/>
      <w:bookmarkStart w:id="591" w:name="_Toc73527501"/>
      <w:bookmarkStart w:id="592" w:name="_Toc78389243"/>
      <w:bookmarkStart w:id="593" w:name="_Toc78389720"/>
      <w:bookmarkStart w:id="594" w:name="_Toc78390197"/>
      <w:bookmarkStart w:id="595" w:name="_Toc73526123"/>
      <w:bookmarkStart w:id="596" w:name="_Toc73527086"/>
      <w:bookmarkStart w:id="597" w:name="_Toc73527224"/>
      <w:bookmarkStart w:id="598" w:name="_Toc73527363"/>
      <w:bookmarkStart w:id="599" w:name="_Toc73527502"/>
      <w:bookmarkStart w:id="600" w:name="_Toc78389244"/>
      <w:bookmarkStart w:id="601" w:name="_Toc78389721"/>
      <w:bookmarkStart w:id="602" w:name="_Toc78390198"/>
      <w:bookmarkStart w:id="603" w:name="_Toc73526124"/>
      <w:bookmarkStart w:id="604" w:name="_Toc73527087"/>
      <w:bookmarkStart w:id="605" w:name="_Toc73527225"/>
      <w:bookmarkStart w:id="606" w:name="_Toc73527364"/>
      <w:bookmarkStart w:id="607" w:name="_Toc73527503"/>
      <w:bookmarkStart w:id="608" w:name="_Toc78389245"/>
      <w:bookmarkStart w:id="609" w:name="_Toc78389722"/>
      <w:bookmarkStart w:id="610" w:name="_Toc78390199"/>
      <w:bookmarkStart w:id="611" w:name="_Toc73526125"/>
      <w:bookmarkStart w:id="612" w:name="_Toc73527088"/>
      <w:bookmarkStart w:id="613" w:name="_Toc73527226"/>
      <w:bookmarkStart w:id="614" w:name="_Toc73527365"/>
      <w:bookmarkStart w:id="615" w:name="_Toc73527504"/>
      <w:bookmarkStart w:id="616" w:name="_Toc78389246"/>
      <w:bookmarkStart w:id="617" w:name="_Toc78389723"/>
      <w:bookmarkStart w:id="618" w:name="_Toc78390200"/>
      <w:bookmarkStart w:id="619" w:name="_Toc73526126"/>
      <w:bookmarkStart w:id="620" w:name="_Toc73527089"/>
      <w:bookmarkStart w:id="621" w:name="_Toc73527227"/>
      <w:bookmarkStart w:id="622" w:name="_Toc73527366"/>
      <w:bookmarkStart w:id="623" w:name="_Toc73527505"/>
      <w:bookmarkStart w:id="624" w:name="_Toc78389247"/>
      <w:bookmarkStart w:id="625" w:name="_Toc78389724"/>
      <w:bookmarkStart w:id="626" w:name="_Toc78390201"/>
      <w:bookmarkStart w:id="627" w:name="_Toc73526127"/>
      <w:bookmarkStart w:id="628" w:name="_Toc73527090"/>
      <w:bookmarkStart w:id="629" w:name="_Toc73527228"/>
      <w:bookmarkStart w:id="630" w:name="_Toc73527367"/>
      <w:bookmarkStart w:id="631" w:name="_Toc73527506"/>
      <w:bookmarkStart w:id="632" w:name="_Toc78389248"/>
      <w:bookmarkStart w:id="633" w:name="_Toc78389725"/>
      <w:bookmarkStart w:id="634" w:name="_Toc78390202"/>
      <w:bookmarkStart w:id="635" w:name="_Toc73526128"/>
      <w:bookmarkStart w:id="636" w:name="_Toc73527091"/>
      <w:bookmarkStart w:id="637" w:name="_Toc73527229"/>
      <w:bookmarkStart w:id="638" w:name="_Toc73527368"/>
      <w:bookmarkStart w:id="639" w:name="_Toc73527507"/>
      <w:bookmarkStart w:id="640" w:name="_Toc78389249"/>
      <w:bookmarkStart w:id="641" w:name="_Toc78389726"/>
      <w:bookmarkStart w:id="642" w:name="_Toc78390203"/>
      <w:bookmarkStart w:id="643" w:name="_Toc73526129"/>
      <w:bookmarkStart w:id="644" w:name="_Toc73527092"/>
      <w:bookmarkStart w:id="645" w:name="_Toc73527230"/>
      <w:bookmarkStart w:id="646" w:name="_Toc73527369"/>
      <w:bookmarkStart w:id="647" w:name="_Toc73527508"/>
      <w:bookmarkStart w:id="648" w:name="_Toc78389250"/>
      <w:bookmarkStart w:id="649" w:name="_Toc78389727"/>
      <w:bookmarkStart w:id="650" w:name="_Toc78390204"/>
      <w:bookmarkStart w:id="651" w:name="_Toc73526130"/>
      <w:bookmarkStart w:id="652" w:name="_Toc73527093"/>
      <w:bookmarkStart w:id="653" w:name="_Toc73527231"/>
      <w:bookmarkStart w:id="654" w:name="_Toc73527370"/>
      <w:bookmarkStart w:id="655" w:name="_Toc73527509"/>
      <w:bookmarkStart w:id="656" w:name="_Toc78389251"/>
      <w:bookmarkStart w:id="657" w:name="_Toc78389728"/>
      <w:bookmarkStart w:id="658" w:name="_Toc78390205"/>
      <w:bookmarkStart w:id="659" w:name="_Toc73526131"/>
      <w:bookmarkStart w:id="660" w:name="_Toc73527094"/>
      <w:bookmarkStart w:id="661" w:name="_Toc73527232"/>
      <w:bookmarkStart w:id="662" w:name="_Toc73527371"/>
      <w:bookmarkStart w:id="663" w:name="_Toc73527510"/>
      <w:bookmarkStart w:id="664" w:name="_Toc78389252"/>
      <w:bookmarkStart w:id="665" w:name="_Toc78389729"/>
      <w:bookmarkStart w:id="666" w:name="_Toc78390206"/>
      <w:bookmarkStart w:id="667" w:name="_Toc73526132"/>
      <w:bookmarkStart w:id="668" w:name="_Toc73527095"/>
      <w:bookmarkStart w:id="669" w:name="_Toc73527233"/>
      <w:bookmarkStart w:id="670" w:name="_Toc73527372"/>
      <w:bookmarkStart w:id="671" w:name="_Toc73527511"/>
      <w:bookmarkStart w:id="672" w:name="_Toc78389253"/>
      <w:bookmarkStart w:id="673" w:name="_Toc78389730"/>
      <w:bookmarkStart w:id="674" w:name="_Toc78390207"/>
      <w:bookmarkStart w:id="675" w:name="_Toc73526133"/>
      <w:bookmarkStart w:id="676" w:name="_Toc73527096"/>
      <w:bookmarkStart w:id="677" w:name="_Toc73527234"/>
      <w:bookmarkStart w:id="678" w:name="_Toc73527373"/>
      <w:bookmarkStart w:id="679" w:name="_Toc73527512"/>
      <w:bookmarkStart w:id="680" w:name="_Toc78389254"/>
      <w:bookmarkStart w:id="681" w:name="_Toc78389731"/>
      <w:bookmarkStart w:id="682" w:name="_Toc78390208"/>
      <w:bookmarkStart w:id="683" w:name="_Toc73526134"/>
      <w:bookmarkStart w:id="684" w:name="_Toc73527097"/>
      <w:bookmarkStart w:id="685" w:name="_Toc73527235"/>
      <w:bookmarkStart w:id="686" w:name="_Toc73527374"/>
      <w:bookmarkStart w:id="687" w:name="_Toc73527513"/>
      <w:bookmarkStart w:id="688" w:name="_Toc78389255"/>
      <w:bookmarkStart w:id="689" w:name="_Toc78389732"/>
      <w:bookmarkStart w:id="690" w:name="_Toc78390209"/>
      <w:bookmarkStart w:id="691" w:name="_Toc73526135"/>
      <w:bookmarkStart w:id="692" w:name="_Toc73527098"/>
      <w:bookmarkStart w:id="693" w:name="_Toc73527236"/>
      <w:bookmarkStart w:id="694" w:name="_Toc73527375"/>
      <w:bookmarkStart w:id="695" w:name="_Toc73527514"/>
      <w:bookmarkStart w:id="696" w:name="_Toc78389256"/>
      <w:bookmarkStart w:id="697" w:name="_Toc78389733"/>
      <w:bookmarkStart w:id="698" w:name="_Toc78390210"/>
      <w:bookmarkStart w:id="699" w:name="_Toc73526136"/>
      <w:bookmarkStart w:id="700" w:name="_Toc73527099"/>
      <w:bookmarkStart w:id="701" w:name="_Toc73527237"/>
      <w:bookmarkStart w:id="702" w:name="_Toc73527376"/>
      <w:bookmarkStart w:id="703" w:name="_Toc73527515"/>
      <w:bookmarkStart w:id="704" w:name="_Toc78389257"/>
      <w:bookmarkStart w:id="705" w:name="_Toc78389734"/>
      <w:bookmarkStart w:id="706" w:name="_Toc78390211"/>
      <w:bookmarkStart w:id="707" w:name="_Toc73526137"/>
      <w:bookmarkStart w:id="708" w:name="_Toc73527100"/>
      <w:bookmarkStart w:id="709" w:name="_Toc73527238"/>
      <w:bookmarkStart w:id="710" w:name="_Toc73527377"/>
      <w:bookmarkStart w:id="711" w:name="_Toc73527516"/>
      <w:bookmarkStart w:id="712" w:name="_Toc78389258"/>
      <w:bookmarkStart w:id="713" w:name="_Toc78389735"/>
      <w:bookmarkStart w:id="714" w:name="_Toc78390212"/>
      <w:bookmarkStart w:id="715" w:name="_Toc73526138"/>
      <w:bookmarkStart w:id="716" w:name="_Toc73527101"/>
      <w:bookmarkStart w:id="717" w:name="_Toc73527239"/>
      <w:bookmarkStart w:id="718" w:name="_Toc73527378"/>
      <w:bookmarkStart w:id="719" w:name="_Toc73527517"/>
      <w:bookmarkStart w:id="720" w:name="_Toc78389259"/>
      <w:bookmarkStart w:id="721" w:name="_Toc78389736"/>
      <w:bookmarkStart w:id="722" w:name="_Toc78390213"/>
      <w:bookmarkStart w:id="723" w:name="_Toc73526139"/>
      <w:bookmarkStart w:id="724" w:name="_Toc73527102"/>
      <w:bookmarkStart w:id="725" w:name="_Toc73527240"/>
      <w:bookmarkStart w:id="726" w:name="_Toc73527379"/>
      <w:bookmarkStart w:id="727" w:name="_Toc73527518"/>
      <w:bookmarkStart w:id="728" w:name="_Toc78389260"/>
      <w:bookmarkStart w:id="729" w:name="_Toc78389737"/>
      <w:bookmarkStart w:id="730" w:name="_Toc78390214"/>
      <w:bookmarkStart w:id="731" w:name="_Toc73526140"/>
      <w:bookmarkStart w:id="732" w:name="_Toc73527103"/>
      <w:bookmarkStart w:id="733" w:name="_Toc73527241"/>
      <w:bookmarkStart w:id="734" w:name="_Toc73527380"/>
      <w:bookmarkStart w:id="735" w:name="_Toc73527519"/>
      <w:bookmarkStart w:id="736" w:name="_Toc78389261"/>
      <w:bookmarkStart w:id="737" w:name="_Toc78389738"/>
      <w:bookmarkStart w:id="738" w:name="_Toc78390215"/>
      <w:bookmarkStart w:id="739" w:name="_Toc73526141"/>
      <w:bookmarkStart w:id="740" w:name="_Toc73527104"/>
      <w:bookmarkStart w:id="741" w:name="_Toc73527242"/>
      <w:bookmarkStart w:id="742" w:name="_Toc73527381"/>
      <w:bookmarkStart w:id="743" w:name="_Toc73527520"/>
      <w:bookmarkStart w:id="744" w:name="_Toc78389262"/>
      <w:bookmarkStart w:id="745" w:name="_Toc78389739"/>
      <w:bookmarkStart w:id="746" w:name="_Toc78390216"/>
      <w:bookmarkStart w:id="747" w:name="_Toc73526142"/>
      <w:bookmarkStart w:id="748" w:name="_Toc73527105"/>
      <w:bookmarkStart w:id="749" w:name="_Toc73527243"/>
      <w:bookmarkStart w:id="750" w:name="_Toc73527382"/>
      <w:bookmarkStart w:id="751" w:name="_Toc73527521"/>
      <w:bookmarkStart w:id="752" w:name="_Toc78389263"/>
      <w:bookmarkStart w:id="753" w:name="_Toc78389740"/>
      <w:bookmarkStart w:id="754" w:name="_Toc78390217"/>
      <w:bookmarkStart w:id="755" w:name="_Toc73526143"/>
      <w:bookmarkStart w:id="756" w:name="_Toc73527106"/>
      <w:bookmarkStart w:id="757" w:name="_Toc73527244"/>
      <w:bookmarkStart w:id="758" w:name="_Toc73527383"/>
      <w:bookmarkStart w:id="759" w:name="_Toc73527522"/>
      <w:bookmarkStart w:id="760" w:name="_Toc78389264"/>
      <w:bookmarkStart w:id="761" w:name="_Toc78389741"/>
      <w:bookmarkStart w:id="762" w:name="_Toc78390218"/>
      <w:bookmarkStart w:id="763" w:name="_Toc73526144"/>
      <w:bookmarkStart w:id="764" w:name="_Toc73527107"/>
      <w:bookmarkStart w:id="765" w:name="_Toc73527245"/>
      <w:bookmarkStart w:id="766" w:name="_Toc73527384"/>
      <w:bookmarkStart w:id="767" w:name="_Toc73527523"/>
      <w:bookmarkStart w:id="768" w:name="_Toc78389265"/>
      <w:bookmarkStart w:id="769" w:name="_Toc78389742"/>
      <w:bookmarkStart w:id="770" w:name="_Toc78390219"/>
      <w:bookmarkStart w:id="771" w:name="_Toc73526145"/>
      <w:bookmarkStart w:id="772" w:name="_Toc73527108"/>
      <w:bookmarkStart w:id="773" w:name="_Toc73527246"/>
      <w:bookmarkStart w:id="774" w:name="_Toc73527385"/>
      <w:bookmarkStart w:id="775" w:name="_Toc73527524"/>
      <w:bookmarkStart w:id="776" w:name="_Toc78389266"/>
      <w:bookmarkStart w:id="777" w:name="_Toc78389743"/>
      <w:bookmarkStart w:id="778" w:name="_Toc78390220"/>
      <w:bookmarkStart w:id="779" w:name="_Toc73526146"/>
      <w:bookmarkStart w:id="780" w:name="_Toc73527109"/>
      <w:bookmarkStart w:id="781" w:name="_Toc73527247"/>
      <w:bookmarkStart w:id="782" w:name="_Toc73527386"/>
      <w:bookmarkStart w:id="783" w:name="_Toc73527525"/>
      <w:bookmarkStart w:id="784" w:name="_Toc78389267"/>
      <w:bookmarkStart w:id="785" w:name="_Toc78389744"/>
      <w:bookmarkStart w:id="786" w:name="_Toc78390221"/>
      <w:bookmarkStart w:id="787" w:name="_Toc73526147"/>
      <w:bookmarkStart w:id="788" w:name="_Toc73527110"/>
      <w:bookmarkStart w:id="789" w:name="_Toc73527248"/>
      <w:bookmarkStart w:id="790" w:name="_Toc73527387"/>
      <w:bookmarkStart w:id="791" w:name="_Toc73527526"/>
      <w:bookmarkStart w:id="792" w:name="_Toc78389268"/>
      <w:bookmarkStart w:id="793" w:name="_Toc78389745"/>
      <w:bookmarkStart w:id="794" w:name="_Toc78390222"/>
      <w:bookmarkStart w:id="795" w:name="_Toc73526148"/>
      <w:bookmarkStart w:id="796" w:name="_Toc73527111"/>
      <w:bookmarkStart w:id="797" w:name="_Toc73527249"/>
      <w:bookmarkStart w:id="798" w:name="_Toc73527388"/>
      <w:bookmarkStart w:id="799" w:name="_Toc73527527"/>
      <w:bookmarkStart w:id="800" w:name="_Toc78389269"/>
      <w:bookmarkStart w:id="801" w:name="_Toc78389746"/>
      <w:bookmarkStart w:id="802" w:name="_Toc78390223"/>
      <w:bookmarkStart w:id="803" w:name="_Toc73526149"/>
      <w:bookmarkStart w:id="804" w:name="_Toc73527112"/>
      <w:bookmarkStart w:id="805" w:name="_Toc73527250"/>
      <w:bookmarkStart w:id="806" w:name="_Toc73527389"/>
      <w:bookmarkStart w:id="807" w:name="_Toc73527528"/>
      <w:bookmarkStart w:id="808" w:name="_Toc78389270"/>
      <w:bookmarkStart w:id="809" w:name="_Toc78389747"/>
      <w:bookmarkStart w:id="810" w:name="_Toc78390224"/>
      <w:bookmarkStart w:id="811" w:name="_Toc73526150"/>
      <w:bookmarkStart w:id="812" w:name="_Toc73527113"/>
      <w:bookmarkStart w:id="813" w:name="_Toc73527251"/>
      <w:bookmarkStart w:id="814" w:name="_Toc73527390"/>
      <w:bookmarkStart w:id="815" w:name="_Toc73527529"/>
      <w:bookmarkStart w:id="816" w:name="_Toc78389271"/>
      <w:bookmarkStart w:id="817" w:name="_Toc78389748"/>
      <w:bookmarkStart w:id="818" w:name="_Toc78390225"/>
      <w:bookmarkStart w:id="819" w:name="_Toc73526151"/>
      <w:bookmarkStart w:id="820" w:name="_Toc73527114"/>
      <w:bookmarkStart w:id="821" w:name="_Toc73527252"/>
      <w:bookmarkStart w:id="822" w:name="_Toc73527391"/>
      <w:bookmarkStart w:id="823" w:name="_Toc73527530"/>
      <w:bookmarkStart w:id="824" w:name="_Toc78389272"/>
      <w:bookmarkStart w:id="825" w:name="_Toc78389749"/>
      <w:bookmarkStart w:id="826" w:name="_Toc78390226"/>
      <w:bookmarkStart w:id="827" w:name="_Toc73526152"/>
      <w:bookmarkStart w:id="828" w:name="_Toc73527115"/>
      <w:bookmarkStart w:id="829" w:name="_Toc73527253"/>
      <w:bookmarkStart w:id="830" w:name="_Toc73527392"/>
      <w:bookmarkStart w:id="831" w:name="_Toc73527531"/>
      <w:bookmarkStart w:id="832" w:name="_Toc78389273"/>
      <w:bookmarkStart w:id="833" w:name="_Toc78389750"/>
      <w:bookmarkStart w:id="834" w:name="_Toc78390227"/>
      <w:bookmarkStart w:id="835" w:name="_Toc73526153"/>
      <w:bookmarkStart w:id="836" w:name="_Toc73527116"/>
      <w:bookmarkStart w:id="837" w:name="_Toc73527254"/>
      <w:bookmarkStart w:id="838" w:name="_Toc73527393"/>
      <w:bookmarkStart w:id="839" w:name="_Toc73527532"/>
      <w:bookmarkStart w:id="840" w:name="_Toc78389274"/>
      <w:bookmarkStart w:id="841" w:name="_Toc78389751"/>
      <w:bookmarkStart w:id="842" w:name="_Toc78390228"/>
      <w:bookmarkStart w:id="843" w:name="_Toc73526154"/>
      <w:bookmarkStart w:id="844" w:name="_Toc73527117"/>
      <w:bookmarkStart w:id="845" w:name="_Toc73527255"/>
      <w:bookmarkStart w:id="846" w:name="_Toc73527394"/>
      <w:bookmarkStart w:id="847" w:name="_Toc73527533"/>
      <w:bookmarkStart w:id="848" w:name="_Toc78389275"/>
      <w:bookmarkStart w:id="849" w:name="_Toc78389752"/>
      <w:bookmarkStart w:id="850" w:name="_Toc78390229"/>
      <w:bookmarkStart w:id="851" w:name="_Toc73526155"/>
      <w:bookmarkStart w:id="852" w:name="_Toc73527118"/>
      <w:bookmarkStart w:id="853" w:name="_Toc73527256"/>
      <w:bookmarkStart w:id="854" w:name="_Toc73527395"/>
      <w:bookmarkStart w:id="855" w:name="_Toc73527534"/>
      <w:bookmarkStart w:id="856" w:name="_Toc78389276"/>
      <w:bookmarkStart w:id="857" w:name="_Toc78389753"/>
      <w:bookmarkStart w:id="858" w:name="_Toc78390230"/>
      <w:bookmarkStart w:id="859" w:name="_Toc73526156"/>
      <w:bookmarkStart w:id="860" w:name="_Toc73527119"/>
      <w:bookmarkStart w:id="861" w:name="_Toc73527257"/>
      <w:bookmarkStart w:id="862" w:name="_Toc73527396"/>
      <w:bookmarkStart w:id="863" w:name="_Toc73527535"/>
      <w:bookmarkStart w:id="864" w:name="_Toc78389277"/>
      <w:bookmarkStart w:id="865" w:name="_Toc78389754"/>
      <w:bookmarkStart w:id="866" w:name="_Toc78390231"/>
      <w:bookmarkStart w:id="867" w:name="_Toc73526157"/>
      <w:bookmarkStart w:id="868" w:name="_Toc73527120"/>
      <w:bookmarkStart w:id="869" w:name="_Toc73527258"/>
      <w:bookmarkStart w:id="870" w:name="_Toc73527397"/>
      <w:bookmarkStart w:id="871" w:name="_Toc73527536"/>
      <w:bookmarkStart w:id="872" w:name="_Toc78389278"/>
      <w:bookmarkStart w:id="873" w:name="_Toc78389755"/>
      <w:bookmarkStart w:id="874" w:name="_Toc78390232"/>
      <w:bookmarkStart w:id="875" w:name="_Toc73526158"/>
      <w:bookmarkStart w:id="876" w:name="_Toc73527121"/>
      <w:bookmarkStart w:id="877" w:name="_Toc73527259"/>
      <w:bookmarkStart w:id="878" w:name="_Toc73527398"/>
      <w:bookmarkStart w:id="879" w:name="_Toc73527537"/>
      <w:bookmarkStart w:id="880" w:name="_Toc78389279"/>
      <w:bookmarkStart w:id="881" w:name="_Toc78389756"/>
      <w:bookmarkStart w:id="882" w:name="_Toc78390233"/>
      <w:bookmarkStart w:id="883" w:name="_Toc73526159"/>
      <w:bookmarkStart w:id="884" w:name="_Toc73527122"/>
      <w:bookmarkStart w:id="885" w:name="_Toc73527260"/>
      <w:bookmarkStart w:id="886" w:name="_Toc73527399"/>
      <w:bookmarkStart w:id="887" w:name="_Toc73527538"/>
      <w:bookmarkStart w:id="888" w:name="_Toc78389280"/>
      <w:bookmarkStart w:id="889" w:name="_Toc78389757"/>
      <w:bookmarkStart w:id="890" w:name="_Toc78390234"/>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r w:rsidRPr="008A0CBC">
        <w:rPr>
          <w:color w:val="333333"/>
        </w:rPr>
        <w:t>Governance encompasses the system by which an organization is controlled and operates, and the ways by which it, and its people are held to account.</w:t>
      </w:r>
    </w:p>
    <w:p w14:paraId="7613F58C" w14:textId="6DCBE1A2" w:rsidR="00AD2374" w:rsidRPr="008A0CBC" w:rsidRDefault="00AD2374" w:rsidP="007576CC">
      <w:pPr>
        <w:pStyle w:val="BodyText"/>
        <w:spacing w:after="120"/>
        <w:ind w:firstLine="567"/>
        <w:rPr>
          <w:color w:val="333333"/>
        </w:rPr>
      </w:pPr>
      <w:r w:rsidRPr="008A0CBC">
        <w:rPr>
          <w:color w:val="333333"/>
        </w:rPr>
        <w:t>The most important aspect of any organization governance arrangements is having a system which allows the relevant information to flow up through the organization and appropriate responses and challenges to flow back down the organization.</w:t>
      </w:r>
    </w:p>
    <w:p w14:paraId="3CE85290" w14:textId="77777777" w:rsidR="00AD2374" w:rsidRPr="008A0CBC" w:rsidRDefault="00AD2374" w:rsidP="007576CC">
      <w:pPr>
        <w:pStyle w:val="BodyText"/>
        <w:spacing w:after="120"/>
        <w:ind w:firstLine="567"/>
        <w:rPr>
          <w:color w:val="333333"/>
        </w:rPr>
      </w:pPr>
      <w:r w:rsidRPr="008A0CBC">
        <w:rPr>
          <w:color w:val="333333"/>
        </w:rPr>
        <w:t xml:space="preserve">It is important that from the very top of every organization the right tone be set with clarity of the vision, mission, core values and expected behaviour’s. For a nuclear organization these need to be built into and effectively translated into all parts and all levels of the organization and the mechanisms by which it functions. The arrangements in place also need to extend externally to the wider support and supplier organizations to ensure alignment. </w:t>
      </w:r>
    </w:p>
    <w:p w14:paraId="4C2CAB0D" w14:textId="77777777" w:rsidR="00AD2374" w:rsidRPr="008A0CBC" w:rsidRDefault="00AD2374" w:rsidP="007576CC">
      <w:pPr>
        <w:pStyle w:val="BodyText"/>
        <w:spacing w:after="120"/>
        <w:ind w:firstLine="567"/>
        <w:rPr>
          <w:color w:val="333333"/>
          <w:szCs w:val="24"/>
        </w:rPr>
      </w:pPr>
      <w:r w:rsidRPr="008A0CBC">
        <w:rPr>
          <w:color w:val="333333"/>
          <w:szCs w:val="24"/>
        </w:rPr>
        <w:t>For a nuclear licensee organization as well as the normal corporate responsibilities there is an overriding priority to ensure that arrangements are in place to ensure effective governance and oversight of nuclear safety. This includes:</w:t>
      </w:r>
    </w:p>
    <w:p w14:paraId="7F4FAE2A" w14:textId="77777777" w:rsidR="00AD2374" w:rsidRPr="008A0CBC" w:rsidRDefault="00AD2374" w:rsidP="00AC768F">
      <w:pPr>
        <w:pStyle w:val="ListParagraph"/>
        <w:numPr>
          <w:ilvl w:val="0"/>
          <w:numId w:val="14"/>
        </w:numPr>
        <w:overflowPunct/>
        <w:spacing w:after="0" w:line="240" w:lineRule="auto"/>
        <w:jc w:val="left"/>
        <w:textAlignment w:val="auto"/>
        <w:rPr>
          <w:rFonts w:ascii="Times New Roman" w:hAnsi="Times New Roman" w:cs="Times New Roman"/>
          <w:color w:val="333333"/>
          <w:sz w:val="24"/>
          <w:szCs w:val="24"/>
          <w:lang w:val="en-US"/>
        </w:rPr>
      </w:pPr>
      <w:r w:rsidRPr="008A0CBC">
        <w:rPr>
          <w:rFonts w:ascii="Times New Roman" w:hAnsi="Times New Roman" w:cs="Times New Roman"/>
          <w:color w:val="333333"/>
          <w:sz w:val="24"/>
          <w:szCs w:val="24"/>
          <w:lang w:val="en-US"/>
        </w:rPr>
        <w:t>Establishment of the organizations nuclear safety, security, industrial safety and environmental protection policies, in order to comply with legal, regulatory and best practice requirements and to monitor performance against these.</w:t>
      </w:r>
    </w:p>
    <w:p w14:paraId="2ED972B3" w14:textId="77777777" w:rsidR="00AD2374" w:rsidRPr="008A0CBC" w:rsidRDefault="00AD2374" w:rsidP="00AC768F">
      <w:pPr>
        <w:pStyle w:val="ListParagraph"/>
        <w:numPr>
          <w:ilvl w:val="0"/>
          <w:numId w:val="14"/>
        </w:numPr>
        <w:overflowPunct/>
        <w:spacing w:after="0" w:line="240" w:lineRule="auto"/>
        <w:jc w:val="left"/>
        <w:textAlignment w:val="auto"/>
        <w:rPr>
          <w:rFonts w:ascii="Times New Roman" w:hAnsi="Times New Roman" w:cs="Times New Roman"/>
          <w:color w:val="333333"/>
          <w:sz w:val="24"/>
          <w:szCs w:val="24"/>
          <w:lang w:val="en-US"/>
        </w:rPr>
      </w:pPr>
      <w:r w:rsidRPr="008A0CBC">
        <w:rPr>
          <w:rFonts w:ascii="Times New Roman" w:hAnsi="Times New Roman" w:cs="Times New Roman"/>
          <w:color w:val="333333"/>
          <w:sz w:val="24"/>
          <w:szCs w:val="24"/>
          <w:lang w:val="en-US"/>
        </w:rPr>
        <w:t>The setting of nuclear safety and operational strategy, mandates and targets and monitoring performance against these.</w:t>
      </w:r>
    </w:p>
    <w:p w14:paraId="6712172A" w14:textId="77777777" w:rsidR="00AD2374" w:rsidRPr="008A0CBC" w:rsidRDefault="00AD2374" w:rsidP="00AC768F">
      <w:pPr>
        <w:pStyle w:val="ListParagraph"/>
        <w:numPr>
          <w:ilvl w:val="0"/>
          <w:numId w:val="14"/>
        </w:numPr>
        <w:overflowPunct/>
        <w:spacing w:after="0" w:line="240" w:lineRule="auto"/>
        <w:jc w:val="left"/>
        <w:textAlignment w:val="auto"/>
        <w:rPr>
          <w:rFonts w:ascii="Times New Roman" w:hAnsi="Times New Roman" w:cs="Times New Roman"/>
          <w:color w:val="333333"/>
          <w:sz w:val="24"/>
          <w:szCs w:val="24"/>
          <w:lang w:val="en-US"/>
        </w:rPr>
      </w:pPr>
      <w:r w:rsidRPr="008A0CBC">
        <w:rPr>
          <w:rFonts w:ascii="Times New Roman" w:hAnsi="Times New Roman" w:cs="Times New Roman"/>
          <w:color w:val="333333"/>
          <w:sz w:val="24"/>
          <w:szCs w:val="24"/>
          <w:lang w:val="en-US"/>
        </w:rPr>
        <w:t>The overseeing and review of safety, operations and business e.g.</w:t>
      </w:r>
    </w:p>
    <w:p w14:paraId="3C0F93CE" w14:textId="2B913F32" w:rsidR="00AD2374" w:rsidRPr="008A0CBC" w:rsidRDefault="00AD2374" w:rsidP="00AC768F">
      <w:pPr>
        <w:pStyle w:val="ListParagraph"/>
        <w:numPr>
          <w:ilvl w:val="1"/>
          <w:numId w:val="14"/>
        </w:numPr>
        <w:overflowPunct/>
        <w:spacing w:after="0" w:line="240" w:lineRule="auto"/>
        <w:jc w:val="left"/>
        <w:textAlignment w:val="auto"/>
        <w:rPr>
          <w:rFonts w:ascii="Times New Roman" w:hAnsi="Times New Roman" w:cs="Times New Roman"/>
          <w:color w:val="333333"/>
          <w:sz w:val="24"/>
          <w:szCs w:val="24"/>
          <w:lang w:val="en-US"/>
        </w:rPr>
      </w:pPr>
      <w:r w:rsidRPr="008A0CBC">
        <w:rPr>
          <w:rFonts w:ascii="Times New Roman" w:hAnsi="Times New Roman" w:cs="Times New Roman"/>
          <w:color w:val="333333"/>
          <w:sz w:val="24"/>
          <w:szCs w:val="24"/>
          <w:lang w:val="en-US"/>
        </w:rPr>
        <w:t>Resources skills and capability including technical competence (See Section 3.5)</w:t>
      </w:r>
    </w:p>
    <w:p w14:paraId="3CA60EBE" w14:textId="77777777" w:rsidR="00AD2374" w:rsidRPr="008A0CBC" w:rsidRDefault="00AD2374" w:rsidP="00AC768F">
      <w:pPr>
        <w:pStyle w:val="ListParagraph"/>
        <w:numPr>
          <w:ilvl w:val="1"/>
          <w:numId w:val="14"/>
        </w:numPr>
        <w:overflowPunct/>
        <w:spacing w:after="0" w:line="240" w:lineRule="auto"/>
        <w:jc w:val="left"/>
        <w:textAlignment w:val="auto"/>
        <w:rPr>
          <w:rFonts w:ascii="Times New Roman" w:hAnsi="Times New Roman" w:cs="Times New Roman"/>
          <w:color w:val="333333"/>
          <w:sz w:val="24"/>
          <w:szCs w:val="24"/>
          <w:lang w:val="en-US"/>
        </w:rPr>
      </w:pPr>
      <w:r w:rsidRPr="008A0CBC">
        <w:rPr>
          <w:rFonts w:ascii="Times New Roman" w:hAnsi="Times New Roman" w:cs="Times New Roman"/>
          <w:color w:val="333333"/>
          <w:sz w:val="24"/>
          <w:szCs w:val="24"/>
          <w:lang w:val="en-US"/>
        </w:rPr>
        <w:t>Organizational resilience (See Section 3.7)</w:t>
      </w:r>
    </w:p>
    <w:p w14:paraId="49905EBF" w14:textId="77777777" w:rsidR="00AD2374" w:rsidRPr="008A0CBC" w:rsidRDefault="00AD2374" w:rsidP="00AC768F">
      <w:pPr>
        <w:pStyle w:val="ListParagraph"/>
        <w:numPr>
          <w:ilvl w:val="1"/>
          <w:numId w:val="14"/>
        </w:numPr>
        <w:overflowPunct/>
        <w:spacing w:after="0" w:line="240" w:lineRule="auto"/>
        <w:jc w:val="left"/>
        <w:textAlignment w:val="auto"/>
        <w:rPr>
          <w:rFonts w:ascii="Times New Roman" w:hAnsi="Times New Roman" w:cs="Times New Roman"/>
          <w:color w:val="333333"/>
          <w:sz w:val="24"/>
          <w:szCs w:val="24"/>
          <w:lang w:val="en-US"/>
        </w:rPr>
      </w:pPr>
      <w:r w:rsidRPr="008A0CBC">
        <w:rPr>
          <w:rFonts w:ascii="Times New Roman" w:hAnsi="Times New Roman" w:cs="Times New Roman"/>
          <w:color w:val="333333"/>
          <w:sz w:val="24"/>
          <w:szCs w:val="24"/>
          <w:lang w:val="en-US"/>
        </w:rPr>
        <w:t>Effectiveness of process and procedures</w:t>
      </w:r>
    </w:p>
    <w:p w14:paraId="428FA96B" w14:textId="77777777" w:rsidR="00AD2374" w:rsidRPr="008A0CBC" w:rsidRDefault="00AD2374" w:rsidP="00AC768F">
      <w:pPr>
        <w:pStyle w:val="ListParagraph"/>
        <w:numPr>
          <w:ilvl w:val="1"/>
          <w:numId w:val="14"/>
        </w:numPr>
        <w:overflowPunct/>
        <w:spacing w:after="0" w:line="240" w:lineRule="auto"/>
        <w:jc w:val="left"/>
        <w:textAlignment w:val="auto"/>
        <w:rPr>
          <w:rFonts w:ascii="Times New Roman" w:hAnsi="Times New Roman" w:cs="Times New Roman"/>
          <w:color w:val="333333"/>
          <w:sz w:val="24"/>
          <w:szCs w:val="24"/>
          <w:lang w:val="en-US"/>
        </w:rPr>
      </w:pPr>
      <w:r w:rsidRPr="008A0CBC">
        <w:rPr>
          <w:rFonts w:ascii="Times New Roman" w:hAnsi="Times New Roman" w:cs="Times New Roman"/>
          <w:color w:val="333333"/>
          <w:sz w:val="24"/>
          <w:szCs w:val="24"/>
          <w:lang w:val="en-US"/>
        </w:rPr>
        <w:t xml:space="preserve">Management of change </w:t>
      </w:r>
    </w:p>
    <w:p w14:paraId="1C633428" w14:textId="77777777" w:rsidR="00AD2374" w:rsidRPr="008A0CBC" w:rsidRDefault="00AD2374" w:rsidP="00AC768F">
      <w:pPr>
        <w:pStyle w:val="ListParagraph"/>
        <w:numPr>
          <w:ilvl w:val="0"/>
          <w:numId w:val="14"/>
        </w:numPr>
        <w:spacing w:after="0"/>
        <w:rPr>
          <w:rFonts w:ascii="Times New Roman" w:hAnsi="Times New Roman" w:cs="Times New Roman"/>
          <w:color w:val="333333"/>
          <w:sz w:val="24"/>
          <w:szCs w:val="24"/>
          <w:lang w:val="en-US"/>
        </w:rPr>
      </w:pPr>
      <w:r w:rsidRPr="008A0CBC">
        <w:rPr>
          <w:rFonts w:ascii="Times New Roman" w:hAnsi="Times New Roman" w:cs="Times New Roman"/>
          <w:color w:val="333333"/>
          <w:sz w:val="24"/>
          <w:szCs w:val="24"/>
          <w:lang w:val="en-US"/>
        </w:rPr>
        <w:lastRenderedPageBreak/>
        <w:t>Ensuring robust oversight and independent oversight arrangements are in place and effectively functioning which also include external inputs (See Section 3.4). Examples include:</w:t>
      </w:r>
    </w:p>
    <w:p w14:paraId="24D4A48C" w14:textId="77777777" w:rsidR="00AD2374" w:rsidRPr="008A0CBC" w:rsidRDefault="00AD2374" w:rsidP="00AC768F">
      <w:pPr>
        <w:pStyle w:val="ListParagraph"/>
        <w:numPr>
          <w:ilvl w:val="0"/>
          <w:numId w:val="21"/>
        </w:numPr>
        <w:spacing w:after="0"/>
        <w:ind w:left="1440"/>
        <w:rPr>
          <w:rFonts w:ascii="Times New Roman" w:hAnsi="Times New Roman" w:cs="Times New Roman"/>
          <w:color w:val="333333"/>
          <w:sz w:val="24"/>
          <w:szCs w:val="24"/>
          <w:lang w:val="en-US"/>
        </w:rPr>
      </w:pPr>
      <w:r w:rsidRPr="008A0CBC">
        <w:rPr>
          <w:rFonts w:ascii="Times New Roman" w:hAnsi="Times New Roman" w:cs="Times New Roman"/>
          <w:color w:val="333333"/>
          <w:sz w:val="24"/>
          <w:szCs w:val="24"/>
          <w:lang w:val="en-US"/>
        </w:rPr>
        <w:t>Independent Nuclear Oversight organization to independently monitor and inspect and assess nuclear safety performance and report directly to the board</w:t>
      </w:r>
    </w:p>
    <w:p w14:paraId="0CB94350" w14:textId="77777777" w:rsidR="00AD2374" w:rsidRPr="008A0CBC" w:rsidRDefault="00AD2374" w:rsidP="00AC768F">
      <w:pPr>
        <w:pStyle w:val="ListParagraph"/>
        <w:numPr>
          <w:ilvl w:val="0"/>
          <w:numId w:val="21"/>
        </w:numPr>
        <w:spacing w:after="0"/>
        <w:ind w:left="1440"/>
        <w:rPr>
          <w:rFonts w:ascii="Times New Roman" w:hAnsi="Times New Roman" w:cs="Times New Roman"/>
          <w:color w:val="333333"/>
          <w:sz w:val="24"/>
          <w:szCs w:val="24"/>
          <w:lang w:val="en-US"/>
        </w:rPr>
      </w:pPr>
      <w:r w:rsidRPr="008A0CBC">
        <w:rPr>
          <w:rFonts w:ascii="Times New Roman" w:hAnsi="Times New Roman" w:cs="Times New Roman"/>
          <w:color w:val="333333"/>
          <w:sz w:val="24"/>
          <w:szCs w:val="24"/>
          <w:lang w:val="en-US"/>
        </w:rPr>
        <w:t>Independent reviews (IAEA ORART missions, WANO peer reviews etc.)</w:t>
      </w:r>
    </w:p>
    <w:p w14:paraId="3A580D3C" w14:textId="77777777" w:rsidR="00AD2374" w:rsidRPr="008A0CBC" w:rsidRDefault="00AD2374" w:rsidP="00AC768F">
      <w:pPr>
        <w:pStyle w:val="ListParagraph"/>
        <w:numPr>
          <w:ilvl w:val="0"/>
          <w:numId w:val="21"/>
        </w:numPr>
        <w:spacing w:after="0"/>
        <w:ind w:left="1440"/>
        <w:rPr>
          <w:rFonts w:ascii="Times New Roman" w:hAnsi="Times New Roman" w:cs="Times New Roman"/>
          <w:color w:val="333333"/>
          <w:sz w:val="24"/>
          <w:szCs w:val="24"/>
          <w:lang w:val="en-US"/>
        </w:rPr>
      </w:pPr>
      <w:r w:rsidRPr="008A0CBC">
        <w:rPr>
          <w:rFonts w:ascii="Times New Roman" w:hAnsi="Times New Roman" w:cs="Times New Roman"/>
          <w:color w:val="333333"/>
          <w:sz w:val="24"/>
          <w:szCs w:val="24"/>
          <w:lang w:val="en-US"/>
        </w:rPr>
        <w:t>Nuclear Safety Committee with independent membership of senior nuclear experts to review and advise on significant modification, safety case and change programmes</w:t>
      </w:r>
    </w:p>
    <w:p w14:paraId="5F0080F9" w14:textId="6CAC202F" w:rsidR="00AD2374" w:rsidRPr="008A0CBC" w:rsidRDefault="00AD2374" w:rsidP="00AC768F">
      <w:pPr>
        <w:pStyle w:val="ListParagraph"/>
        <w:numPr>
          <w:ilvl w:val="0"/>
          <w:numId w:val="21"/>
        </w:numPr>
        <w:spacing w:after="0"/>
        <w:ind w:left="1440"/>
        <w:rPr>
          <w:rFonts w:ascii="Times New Roman" w:hAnsi="Times New Roman" w:cs="Times New Roman"/>
          <w:color w:val="333333"/>
          <w:sz w:val="24"/>
          <w:szCs w:val="24"/>
          <w:lang w:val="en-US"/>
        </w:rPr>
      </w:pPr>
      <w:r w:rsidRPr="008A0CBC">
        <w:rPr>
          <w:rFonts w:ascii="Times New Roman" w:hAnsi="Times New Roman" w:cs="Times New Roman"/>
          <w:color w:val="333333"/>
          <w:sz w:val="24"/>
          <w:szCs w:val="24"/>
          <w:lang w:val="en-US"/>
        </w:rPr>
        <w:t>Training Standards and Accreditation Boards with independent external membership to review, assess and accredit the nuclear safety significant training programmes</w:t>
      </w:r>
    </w:p>
    <w:p w14:paraId="3160C9EB" w14:textId="77777777" w:rsidR="00AD2374" w:rsidRPr="008A0CBC" w:rsidRDefault="00AD2374" w:rsidP="00AC768F">
      <w:pPr>
        <w:pStyle w:val="ListParagraph"/>
        <w:numPr>
          <w:ilvl w:val="0"/>
          <w:numId w:val="21"/>
        </w:numPr>
        <w:spacing w:after="0"/>
        <w:ind w:left="1440"/>
        <w:rPr>
          <w:rFonts w:ascii="Times New Roman" w:hAnsi="Times New Roman" w:cs="Times New Roman"/>
          <w:color w:val="333333"/>
          <w:sz w:val="24"/>
          <w:szCs w:val="24"/>
          <w:lang w:val="en-US"/>
        </w:rPr>
      </w:pPr>
      <w:r w:rsidRPr="008A0CBC">
        <w:rPr>
          <w:rFonts w:ascii="Times New Roman" w:hAnsi="Times New Roman" w:cs="Times New Roman"/>
          <w:color w:val="333333"/>
          <w:sz w:val="24"/>
          <w:szCs w:val="24"/>
          <w:lang w:val="en-US"/>
        </w:rPr>
        <w:t>Nuclear Safety Review Boards in which external industry experts review the nuclear operational performance of the organization and report finding directly to the board</w:t>
      </w:r>
    </w:p>
    <w:p w14:paraId="692F00B4" w14:textId="77777777" w:rsidR="00AD2374" w:rsidRPr="008A0CBC" w:rsidRDefault="00AD2374" w:rsidP="00AC768F">
      <w:pPr>
        <w:pStyle w:val="ListParagraph"/>
        <w:numPr>
          <w:ilvl w:val="0"/>
          <w:numId w:val="22"/>
        </w:numPr>
        <w:overflowPunct/>
        <w:spacing w:after="0"/>
        <w:jc w:val="left"/>
        <w:textAlignment w:val="auto"/>
        <w:rPr>
          <w:rFonts w:ascii="Times New Roman" w:hAnsi="Times New Roman" w:cs="Times New Roman"/>
          <w:color w:val="333333"/>
          <w:sz w:val="24"/>
          <w:szCs w:val="24"/>
          <w:lang w:val="en-US"/>
        </w:rPr>
      </w:pPr>
      <w:r w:rsidRPr="008A0CBC">
        <w:rPr>
          <w:rFonts w:ascii="Times New Roman" w:hAnsi="Times New Roman" w:cs="Times New Roman"/>
          <w:color w:val="333333"/>
          <w:sz w:val="24"/>
          <w:szCs w:val="24"/>
          <w:lang w:val="en-US"/>
        </w:rPr>
        <w:t>Ensuring the effective functioning of the risk management system (See Section 3.8.)</w:t>
      </w:r>
    </w:p>
    <w:p w14:paraId="4B3AEC68" w14:textId="77777777" w:rsidR="00AD2374" w:rsidRPr="008A0CBC" w:rsidRDefault="00AD2374" w:rsidP="00AC768F">
      <w:pPr>
        <w:pStyle w:val="ListParagraph"/>
        <w:numPr>
          <w:ilvl w:val="0"/>
          <w:numId w:val="22"/>
        </w:numPr>
        <w:overflowPunct/>
        <w:spacing w:after="0"/>
        <w:jc w:val="left"/>
        <w:textAlignment w:val="auto"/>
        <w:rPr>
          <w:rFonts w:ascii="Times New Roman" w:hAnsi="Times New Roman" w:cs="Times New Roman"/>
          <w:color w:val="333333"/>
          <w:sz w:val="24"/>
          <w:szCs w:val="24"/>
          <w:lang w:val="en-US"/>
        </w:rPr>
      </w:pPr>
      <w:r w:rsidRPr="008A0CBC">
        <w:rPr>
          <w:rFonts w:ascii="Times New Roman" w:hAnsi="Times New Roman" w:cs="Times New Roman"/>
          <w:color w:val="333333"/>
          <w:sz w:val="24"/>
          <w:szCs w:val="24"/>
          <w:lang w:val="en-US"/>
        </w:rPr>
        <w:t>Confirmation that decisions are effectively being made and acted upon at the right level of the organization (See Section 3.6)</w:t>
      </w:r>
    </w:p>
    <w:p w14:paraId="2E8C24A7" w14:textId="77777777" w:rsidR="00AD2374" w:rsidRPr="008A0CBC" w:rsidRDefault="00AD2374" w:rsidP="00AC768F">
      <w:pPr>
        <w:pStyle w:val="ListParagraph"/>
        <w:numPr>
          <w:ilvl w:val="0"/>
          <w:numId w:val="22"/>
        </w:numPr>
        <w:spacing w:after="0"/>
        <w:rPr>
          <w:rFonts w:ascii="Times New Roman" w:hAnsi="Times New Roman" w:cs="Times New Roman"/>
          <w:color w:val="333333"/>
          <w:sz w:val="24"/>
          <w:szCs w:val="24"/>
          <w:lang w:val="en-US"/>
        </w:rPr>
      </w:pPr>
      <w:r w:rsidRPr="008A0CBC">
        <w:rPr>
          <w:rFonts w:ascii="Times New Roman" w:hAnsi="Times New Roman" w:cs="Times New Roman"/>
          <w:color w:val="333333"/>
          <w:sz w:val="24"/>
          <w:szCs w:val="24"/>
          <w:lang w:val="en-US"/>
        </w:rPr>
        <w:t>Safecall arrangements to enable anonymous whistleblowing of safety concerns</w:t>
      </w:r>
    </w:p>
    <w:p w14:paraId="5166F076" w14:textId="77777777" w:rsidR="00AD2374" w:rsidRPr="008A0CBC" w:rsidRDefault="00AD2374" w:rsidP="00AD2374">
      <w:pPr>
        <w:pStyle w:val="ListParagraph"/>
        <w:overflowPunct/>
        <w:spacing w:after="0"/>
        <w:jc w:val="left"/>
        <w:textAlignment w:val="auto"/>
        <w:rPr>
          <w:rFonts w:ascii="Times New Roman" w:hAnsi="Times New Roman" w:cs="Times New Roman"/>
          <w:color w:val="333333"/>
          <w:sz w:val="24"/>
          <w:szCs w:val="24"/>
          <w:lang w:val="en-US"/>
        </w:rPr>
      </w:pPr>
    </w:p>
    <w:p w14:paraId="7523B7E1" w14:textId="77777777" w:rsidR="00AD2374" w:rsidRPr="008A0CBC" w:rsidRDefault="00AD2374" w:rsidP="00AD2374">
      <w:pPr>
        <w:spacing w:after="0"/>
        <w:rPr>
          <w:color w:val="333333"/>
          <w:szCs w:val="24"/>
          <w:lang w:val="en-US"/>
        </w:rPr>
      </w:pPr>
    </w:p>
    <w:p w14:paraId="76522AD8" w14:textId="77777777" w:rsidR="00AD2374" w:rsidRPr="008A0CBC" w:rsidRDefault="00AD2374" w:rsidP="002637AF">
      <w:pPr>
        <w:pStyle w:val="BodyText"/>
        <w:spacing w:after="120"/>
        <w:ind w:firstLine="567"/>
        <w:rPr>
          <w:color w:val="333333"/>
        </w:rPr>
      </w:pPr>
      <w:r w:rsidRPr="008A0CBC">
        <w:rPr>
          <w:color w:val="333333"/>
        </w:rPr>
        <w:t>The Governance arrangements need to enable a holistic view of the performance of the nuclear organization to be undertaken. There needs to be alignment of the governance arrangements within the nuclear organization between corporate and the operational units and between the nuclear organization and the supporting services and support infrastructure organization. As was evident at Fukushima discontinuities result silo working and significant risks not being identified or ineffectively acted upon.</w:t>
      </w:r>
    </w:p>
    <w:p w14:paraId="4942A744" w14:textId="77777777" w:rsidR="00AD2374" w:rsidRPr="008A0CBC" w:rsidRDefault="00AD2374" w:rsidP="00AD2374">
      <w:pPr>
        <w:spacing w:after="0"/>
        <w:rPr>
          <w:color w:val="333333"/>
          <w:szCs w:val="24"/>
          <w:lang w:val="en-US"/>
        </w:rPr>
      </w:pPr>
    </w:p>
    <w:p w14:paraId="1D17ACDA" w14:textId="67B26B2C" w:rsidR="00AD2374" w:rsidRPr="008A0CBC" w:rsidRDefault="00AD2374" w:rsidP="002637AF">
      <w:pPr>
        <w:pStyle w:val="BodyText"/>
        <w:spacing w:after="120"/>
        <w:ind w:firstLine="567"/>
        <w:rPr>
          <w:color w:val="333333"/>
          <w:szCs w:val="24"/>
        </w:rPr>
      </w:pPr>
      <w:r w:rsidRPr="008A0CBC">
        <w:rPr>
          <w:color w:val="333333"/>
          <w:szCs w:val="24"/>
        </w:rPr>
        <w:t>The Governance arrangements need to describe the interface with the regulatory organization and stakeholder organizations. This will enable the health of the relationship to be effectively monitored and actions placed in the event of any divergence.</w:t>
      </w:r>
    </w:p>
    <w:p w14:paraId="4183F89E" w14:textId="0B569A1D" w:rsidR="00724A7E" w:rsidRPr="00AD2374" w:rsidRDefault="00724A7E" w:rsidP="00724A7E">
      <w:pPr>
        <w:pStyle w:val="BodyText"/>
      </w:pPr>
    </w:p>
    <w:p w14:paraId="6AF3054C" w14:textId="027B4789" w:rsidR="00915BEF" w:rsidRDefault="000E688C" w:rsidP="0062692B">
      <w:pPr>
        <w:pStyle w:val="Heading2"/>
      </w:pPr>
      <w:bookmarkStart w:id="891" w:name="_Toc87627665"/>
      <w:r>
        <w:t>R</w:t>
      </w:r>
      <w:r w:rsidR="00D8140F">
        <w:t>obust</w:t>
      </w:r>
      <w:r w:rsidR="000D237C">
        <w:t xml:space="preserve"> </w:t>
      </w:r>
      <w:r w:rsidR="00BC3815">
        <w:t>oversight</w:t>
      </w:r>
      <w:bookmarkEnd w:id="891"/>
    </w:p>
    <w:p w14:paraId="06DCE38E" w14:textId="21E83B0D" w:rsidR="00D8140F" w:rsidRDefault="00D8140F" w:rsidP="00D8140F">
      <w:pPr>
        <w:pStyle w:val="BodyText"/>
        <w:spacing w:after="120"/>
        <w:ind w:firstLine="567"/>
        <w:rPr>
          <w:szCs w:val="24"/>
        </w:rPr>
      </w:pPr>
      <w:r>
        <w:t xml:space="preserve">The licensee or operating organization has the prime responsibility for safety, and therefore must have strong SiD. It must interact with and lead a common commitment to safety among all the other responsible nuclear industry entities associated with the safety of the plant, including vendors, constructors, and suppliers. It has particular responsibilities for knowledge management and maintaining the integrity of the design though such mechanisms as an enduring and effective design authority; see INSAG-19 </w:t>
      </w:r>
      <w:r w:rsidR="00535718">
        <w:fldChar w:fldCharType="begin"/>
      </w:r>
      <w:r w:rsidR="00535718">
        <w:instrText xml:space="preserve"> ADDIN ZOTERO_ITEM CSL_CITATION {"citationID":"FFZtc81I","properties":{"formattedCitation":"[24]","plainCitation":"[24]","noteIndex":0},"citationItems":[{"id":1104,"uris":["http://zotero.org/users/6184040/items/VVNB3MXD"],"uri":["http://zotero.org/users/6184040/items/VVNB3MXD"],"itemData":{"id":1104,"type":"book","collection-number":"INSAG-19","event-place":"Vienna","ISBN":"92-0-112603-4","language":"en-GB","note":"Safety Series No. 75-INSAG-4","publisher":"IAEA","publisher-place":"Vienna","title":"Maintaining the Design Integrity of Nuclear Installations throughout their Operating Life","URL":"http://www-pub.iaea.org/MTCD/publications/PDF/Pub1178_web.pdf","author":[{"literal":"International Nuclear Safety Advisory Group"}],"issued":{"date-parts":[["2003"]]}}}],"schema":"https://github.com/citation-style-language/schema/raw/master/csl-citation.json"} </w:instrText>
      </w:r>
      <w:r w:rsidR="00535718">
        <w:fldChar w:fldCharType="separate"/>
      </w:r>
      <w:r w:rsidR="00535718" w:rsidRPr="00535718">
        <w:t>[24]</w:t>
      </w:r>
      <w:r w:rsidR="00535718">
        <w:fldChar w:fldCharType="end"/>
      </w:r>
      <w:r>
        <w:t xml:space="preserve">. SiD would require that a robust process be in place to fulfil this responsibility. Independent oversight </w:t>
      </w:r>
      <w:r>
        <w:rPr>
          <w:szCs w:val="24"/>
        </w:rPr>
        <w:t>is used to strengthen safety and reliability and to respond promptly to safety performance decline. Robust nuclear oversight function is one of key attributes of an effective management system of nuclear organization.</w:t>
      </w:r>
    </w:p>
    <w:p w14:paraId="63126ADE" w14:textId="77777777" w:rsidR="00D8140F" w:rsidRDefault="00D8140F" w:rsidP="00D8140F">
      <w:pPr>
        <w:pStyle w:val="BodyText"/>
        <w:spacing w:after="120"/>
        <w:ind w:firstLine="567"/>
        <w:rPr>
          <w:szCs w:val="24"/>
        </w:rPr>
      </w:pPr>
      <w:r>
        <w:rPr>
          <w:szCs w:val="24"/>
        </w:rPr>
        <w:lastRenderedPageBreak/>
        <w:t>Independent oversight provides to plant management and senior corporate management up to the board of directors with safety performance issues and opportunities for further improvements with principal focus on nuclear safety and emergency response effectiveness.</w:t>
      </w:r>
      <w:r>
        <w:t xml:space="preserve"> The oversight function has been created in many nuclear utilities to strengthen organizational defence-in-depth in safety performance after Fukushima Daiichi accident. Operating organizations including TEPCO started to create oversight function based on benchmarking after an accident.</w:t>
      </w:r>
    </w:p>
    <w:p w14:paraId="549AADE6" w14:textId="77777777" w:rsidR="00D8140F" w:rsidRDefault="00D8140F" w:rsidP="00E335B4">
      <w:pPr>
        <w:pStyle w:val="BodyText"/>
        <w:spacing w:after="120"/>
        <w:ind w:firstLine="567"/>
        <w:rPr>
          <w:szCs w:val="24"/>
        </w:rPr>
      </w:pPr>
      <w:r>
        <w:rPr>
          <w:szCs w:val="24"/>
        </w:rPr>
        <w:t>An operating organisation of nuclear power plants typically has various layers of oversight. One of these layers is an internal independent nuclear oversight. The establishment and organisation interface of independent oversight function must also take the other layers into account and adjust accordingly. These layers are created to ensure that performance is monitored in several independent ways by different people with diverse perspectives, using various methods to avoid common mode risk.</w:t>
      </w:r>
    </w:p>
    <w:p w14:paraId="4D0E35EF" w14:textId="77777777" w:rsidR="00D8140F" w:rsidRDefault="00D8140F" w:rsidP="00E335B4">
      <w:pPr>
        <w:pStyle w:val="BodyText"/>
        <w:spacing w:after="120"/>
        <w:ind w:firstLine="567"/>
      </w:pPr>
      <w:r>
        <w:t xml:space="preserve">Organizational aspects of independent internal and external oversight in nuclear industry differs in operating organizations and within corporate utilities. In some countries, oversight is part of regulatory expectations while in other countries oversight function is developed based on benchmarking and/or recommendations arising from international per review missions.  Different approaches to oversight function are also based on cultural aspects and stakeholders’ expectations (regulatory bodies, majority owners of nuclear assets other shareholders etc.). Robust oversight is one of the key organizational functions related to an effective leadership for safety, management system and principles for sustaining operational excellence in present challenges for nuclear industry and business environment. </w:t>
      </w:r>
    </w:p>
    <w:p w14:paraId="3537E273" w14:textId="77777777" w:rsidR="00D8140F" w:rsidRDefault="00D8140F" w:rsidP="00E335B4">
      <w:pPr>
        <w:pStyle w:val="BodyText"/>
        <w:spacing w:after="120"/>
        <w:ind w:firstLine="567"/>
      </w:pPr>
      <w:r>
        <w:t>The licensee, through its Board of Directors and senior management, has the ultimate responsibility for the design, implementation and monitoring of an organisation’s safety performance. To achieve this mission all members of BoD and senior managers should have access to objective information on which to make judgements and decisions. Assessment activities are undertaken at various levels within the organisation in order to provide assurance that risks are being effectively controlled. Nuclear licensees have governance structures and arrangements to review the performance of their operations and receive information from a number of internal and external sources.</w:t>
      </w:r>
    </w:p>
    <w:p w14:paraId="3BF71A56" w14:textId="5292428A" w:rsidR="00D8140F" w:rsidRDefault="00D8140F" w:rsidP="00E335B4">
      <w:pPr>
        <w:pStyle w:val="BodyText"/>
        <w:spacing w:after="120"/>
        <w:ind w:firstLine="567"/>
        <w:rPr>
          <w:szCs w:val="24"/>
        </w:rPr>
      </w:pPr>
      <w:r>
        <w:rPr>
          <w:szCs w:val="24"/>
        </w:rPr>
        <w:t>Typical oversight function is shown in Figure . Line management is ultimately responsible for safety performance, monitoring and control of all processes. Relevant competences should be clearly defined in management system manual.</w:t>
      </w:r>
      <w:r>
        <w:t xml:space="preserve"> </w:t>
      </w:r>
      <w:r>
        <w:rPr>
          <w:szCs w:val="24"/>
        </w:rPr>
        <w:t>Independent assessments and self-assessments of the management system shall be regularly conducted to evaluate its effectiveness and to identify opportunities for its improvement. Line management of operations include responsibility that lessons and any resulting significant changes shall be analysed for their implications for safety performance. Key enablers include strong leadership and strong safety culture:</w:t>
      </w:r>
    </w:p>
    <w:p w14:paraId="11BA36CD" w14:textId="77777777" w:rsidR="00D8140F" w:rsidRDefault="00D8140F" w:rsidP="00AC768F">
      <w:pPr>
        <w:numPr>
          <w:ilvl w:val="1"/>
          <w:numId w:val="9"/>
        </w:numPr>
        <w:textAlignment w:val="auto"/>
        <w:rPr>
          <w:szCs w:val="24"/>
          <w:lang w:val="sk-SK"/>
        </w:rPr>
      </w:pPr>
      <w:r>
        <w:rPr>
          <w:szCs w:val="24"/>
        </w:rPr>
        <w:t>Senior Executives support and drive</w:t>
      </w:r>
    </w:p>
    <w:p w14:paraId="2FD51CFB" w14:textId="77777777" w:rsidR="00D8140F" w:rsidRDefault="00D8140F" w:rsidP="00AC768F">
      <w:pPr>
        <w:numPr>
          <w:ilvl w:val="1"/>
          <w:numId w:val="9"/>
        </w:numPr>
        <w:textAlignment w:val="auto"/>
        <w:rPr>
          <w:szCs w:val="24"/>
          <w:lang w:val="sk-SK"/>
        </w:rPr>
      </w:pPr>
      <w:r>
        <w:rPr>
          <w:szCs w:val="24"/>
        </w:rPr>
        <w:t>Delivery through normal process to improvements</w:t>
      </w:r>
    </w:p>
    <w:p w14:paraId="1DC5A01A" w14:textId="77777777" w:rsidR="00D8140F" w:rsidRDefault="00D8140F" w:rsidP="00AC768F">
      <w:pPr>
        <w:numPr>
          <w:ilvl w:val="1"/>
          <w:numId w:val="9"/>
        </w:numPr>
        <w:textAlignment w:val="auto"/>
        <w:rPr>
          <w:szCs w:val="24"/>
          <w:lang w:val="sk-SK"/>
        </w:rPr>
      </w:pPr>
      <w:r>
        <w:rPr>
          <w:szCs w:val="24"/>
        </w:rPr>
        <w:t xml:space="preserve">Ensure improvements are sustainable </w:t>
      </w:r>
    </w:p>
    <w:p w14:paraId="419BD3E5" w14:textId="77777777" w:rsidR="00D8140F" w:rsidRDefault="00D8140F" w:rsidP="00AC768F">
      <w:pPr>
        <w:numPr>
          <w:ilvl w:val="1"/>
          <w:numId w:val="9"/>
        </w:numPr>
        <w:textAlignment w:val="auto"/>
        <w:rPr>
          <w:szCs w:val="24"/>
          <w:lang w:val="sk-SK"/>
        </w:rPr>
      </w:pPr>
      <w:r>
        <w:rPr>
          <w:szCs w:val="24"/>
        </w:rPr>
        <w:t xml:space="preserve">Monitor delivery and results </w:t>
      </w:r>
    </w:p>
    <w:p w14:paraId="121CD8DA" w14:textId="77777777" w:rsidR="00D8140F" w:rsidRDefault="00D8140F" w:rsidP="00AC768F">
      <w:pPr>
        <w:numPr>
          <w:ilvl w:val="1"/>
          <w:numId w:val="9"/>
        </w:numPr>
        <w:textAlignment w:val="auto"/>
        <w:rPr>
          <w:szCs w:val="24"/>
          <w:lang w:val="sk-SK"/>
        </w:rPr>
      </w:pPr>
      <w:r>
        <w:rPr>
          <w:szCs w:val="24"/>
        </w:rPr>
        <w:t>Continuous assessment of impact with the flexibility to adjust</w:t>
      </w:r>
    </w:p>
    <w:p w14:paraId="77B7E2CE" w14:textId="77777777" w:rsidR="00D8140F" w:rsidRDefault="00D8140F" w:rsidP="00AC768F">
      <w:pPr>
        <w:numPr>
          <w:ilvl w:val="1"/>
          <w:numId w:val="9"/>
        </w:numPr>
        <w:textAlignment w:val="auto"/>
        <w:rPr>
          <w:szCs w:val="24"/>
          <w:lang w:val="sk-SK"/>
        </w:rPr>
      </w:pPr>
      <w:r>
        <w:rPr>
          <w:szCs w:val="24"/>
        </w:rPr>
        <w:lastRenderedPageBreak/>
        <w:t>Clear end point vision</w:t>
      </w:r>
    </w:p>
    <w:p w14:paraId="64850134" w14:textId="77777777" w:rsidR="00D8140F" w:rsidRDefault="00D8140F" w:rsidP="00D74DEA">
      <w:pPr>
        <w:pStyle w:val="BodyText"/>
        <w:spacing w:after="120"/>
        <w:ind w:firstLine="567"/>
        <w:rPr>
          <w:szCs w:val="24"/>
        </w:rPr>
      </w:pPr>
      <w:r>
        <w:rPr>
          <w:szCs w:val="24"/>
        </w:rPr>
        <w:t>Nuclear power plants assessment activities are coordinated with corporate assessment activities to identify broad organisational and process issues and opportunities for further operational safety improvements. Desired assessment outcomes and metrics are clearly defined to reflect industry highest standards, underpinned by strengthening focus on underlying behaviours for success.</w:t>
      </w:r>
    </w:p>
    <w:p w14:paraId="5D8C1835" w14:textId="77777777" w:rsidR="00D8140F" w:rsidRDefault="00D8140F" w:rsidP="00D74DEA">
      <w:pPr>
        <w:pStyle w:val="BodyText"/>
        <w:spacing w:after="120"/>
        <w:ind w:firstLine="567"/>
        <w:rPr>
          <w:szCs w:val="24"/>
        </w:rPr>
      </w:pPr>
      <w:r>
        <w:rPr>
          <w:szCs w:val="24"/>
        </w:rPr>
        <w:t>In addition to line management and corporate oversight (monitoring and control of safety performance) two independent layers support decision making and strength in depth in nuclear utility- internal independent nuclear oversight and external oversight.</w:t>
      </w:r>
    </w:p>
    <w:p w14:paraId="62898DCE" w14:textId="77777777" w:rsidR="00D8140F" w:rsidRDefault="00D8140F" w:rsidP="00D8140F">
      <w:pPr>
        <w:rPr>
          <w:szCs w:val="24"/>
        </w:rPr>
      </w:pPr>
      <w:r>
        <w:rPr>
          <w:noProof/>
          <w:szCs w:val="24"/>
        </w:rPr>
        <w:drawing>
          <wp:inline distT="0" distB="0" distL="0" distR="0" wp14:anchorId="69016843" wp14:editId="7609CA99">
            <wp:extent cx="5731510" cy="3694430"/>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694430"/>
                    </a:xfrm>
                    <a:prstGeom prst="rect">
                      <a:avLst/>
                    </a:prstGeom>
                    <a:noFill/>
                    <a:ln>
                      <a:noFill/>
                    </a:ln>
                  </pic:spPr>
                </pic:pic>
              </a:graphicData>
            </a:graphic>
          </wp:inline>
        </w:drawing>
      </w:r>
    </w:p>
    <w:p w14:paraId="52120EE5" w14:textId="350638B8" w:rsidR="00D8140F" w:rsidRDefault="00D8140F" w:rsidP="00D8140F">
      <w:pPr>
        <w:pStyle w:val="Caption"/>
        <w:jc w:val="center"/>
      </w:pPr>
      <w:r>
        <w:rPr>
          <w:szCs w:val="24"/>
        </w:rPr>
        <w:t xml:space="preserve">FIG. </w:t>
      </w:r>
      <w:r>
        <w:rPr>
          <w:szCs w:val="24"/>
        </w:rPr>
        <w:fldChar w:fldCharType="begin"/>
      </w:r>
      <w:r>
        <w:rPr>
          <w:szCs w:val="24"/>
        </w:rPr>
        <w:instrText xml:space="preserve"> SEQ FIG. \* ARABIC </w:instrText>
      </w:r>
      <w:r>
        <w:rPr>
          <w:szCs w:val="24"/>
        </w:rPr>
        <w:fldChar w:fldCharType="separate"/>
      </w:r>
      <w:r w:rsidR="009F53EF">
        <w:rPr>
          <w:noProof/>
          <w:szCs w:val="24"/>
        </w:rPr>
        <w:t>1</w:t>
      </w:r>
      <w:r>
        <w:rPr>
          <w:szCs w:val="24"/>
        </w:rPr>
        <w:fldChar w:fldCharType="end"/>
      </w:r>
      <w:r>
        <w:rPr>
          <w:szCs w:val="24"/>
        </w:rPr>
        <w:t xml:space="preserve"> - </w:t>
      </w:r>
      <w:r>
        <w:rPr>
          <w:i w:val="0"/>
          <w:iCs w:val="0"/>
          <w:szCs w:val="36"/>
        </w:rPr>
        <w:t>Illustrates typical oversight functio</w:t>
      </w:r>
      <w:r w:rsidR="00D74DEA">
        <w:rPr>
          <w:i w:val="0"/>
          <w:iCs w:val="0"/>
          <w:szCs w:val="36"/>
        </w:rPr>
        <w:t>n</w:t>
      </w:r>
    </w:p>
    <w:p w14:paraId="19D25916" w14:textId="77777777" w:rsidR="00D8140F" w:rsidRDefault="00D8140F" w:rsidP="00D8140F">
      <w:pPr>
        <w:rPr>
          <w:szCs w:val="24"/>
        </w:rPr>
      </w:pPr>
    </w:p>
    <w:p w14:paraId="35B05811" w14:textId="77777777" w:rsidR="00D8140F" w:rsidRDefault="00D8140F" w:rsidP="00D74DEA">
      <w:pPr>
        <w:pStyle w:val="BodyText"/>
        <w:spacing w:after="120"/>
        <w:ind w:firstLine="567"/>
      </w:pPr>
      <w:r>
        <w:rPr>
          <w:szCs w:val="24"/>
        </w:rPr>
        <w:t xml:space="preserve">Nuclear Oversight (NOS) which includes internal nuclear oversight– NOS and external oversight Nuclear Safety Advisory Committees (NSAC) created by external senior experts outside utility shall have an access and reporting line to all levels based on safety performance or design basis issue (See also Example of reporting lines). Elevation and escalation process should be clearly defined in management manual. External oversight is an important part of the oversight function. Independent experts outside the utility who are highly experienced should be invited on regular basis to create a committee or council, which provide an independent view on performance trends to the chief executives and Board of Directors. External oversight should be adjusted and combined with independent reviews by WANO, IAEA or other external reviews. </w:t>
      </w:r>
      <w:r>
        <w:t>To provide this external expertise, nuclear safety oversight committees, councils, and advisory boards are or could be arranged as a complement to, or as part of, the independent internal nuclear oversight.</w:t>
      </w:r>
    </w:p>
    <w:p w14:paraId="492F4B0F" w14:textId="77777777" w:rsidR="00D8140F" w:rsidRDefault="00D8140F" w:rsidP="00D74DEA">
      <w:pPr>
        <w:pStyle w:val="BodyText"/>
        <w:spacing w:after="120"/>
        <w:ind w:firstLine="567"/>
        <w:rPr>
          <w:szCs w:val="24"/>
        </w:rPr>
      </w:pPr>
      <w:r>
        <w:lastRenderedPageBreak/>
        <w:t>The independent reporting lines to the chief nuclear officer, chief operating officer or chief executive officer and independent reporting line to the board level should be maintained in clear way. This does not mean that workers should bypass normal management routes for reporting safety issues, as that is an essential part of a vibrant safety culture. The executive line management is also expected to seek advice on significant safety related issues from an independent diverse source, such as a NSAC - company nuclear safety advisory committee with independent nuclear expert membership</w:t>
      </w:r>
    </w:p>
    <w:p w14:paraId="365F51D8" w14:textId="77777777" w:rsidR="00D8140F" w:rsidRDefault="00D8140F" w:rsidP="00D8140F">
      <w:pPr>
        <w:rPr>
          <w:szCs w:val="24"/>
        </w:rPr>
      </w:pPr>
    </w:p>
    <w:p w14:paraId="01D3ABAE" w14:textId="77777777" w:rsidR="00D8140F" w:rsidRDefault="00D8140F" w:rsidP="00D8140F">
      <w:pPr>
        <w:rPr>
          <w:szCs w:val="24"/>
        </w:rPr>
      </w:pPr>
      <w:r>
        <w:rPr>
          <w:szCs w:val="24"/>
        </w:rPr>
        <w:t>EXAMPLE of REPORTING lines to all levels of operating organization:</w:t>
      </w:r>
    </w:p>
    <w:p w14:paraId="306DEE61" w14:textId="77777777" w:rsidR="00D8140F" w:rsidRDefault="00D8140F" w:rsidP="00D8140F">
      <w:pPr>
        <w:rPr>
          <w:szCs w:val="24"/>
        </w:rPr>
      </w:pPr>
    </w:p>
    <w:p w14:paraId="045ED39D" w14:textId="77777777" w:rsidR="00D8140F" w:rsidRDefault="00D8140F" w:rsidP="00D8140F">
      <w:pPr>
        <w:rPr>
          <w:szCs w:val="24"/>
        </w:rPr>
      </w:pPr>
      <w:r>
        <w:rPr>
          <w:noProof/>
          <w:szCs w:val="24"/>
        </w:rPr>
        <w:drawing>
          <wp:inline distT="0" distB="0" distL="0" distR="0" wp14:anchorId="70AE3DE0" wp14:editId="6788A299">
            <wp:extent cx="2790825" cy="2552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0825" cy="2552700"/>
                    </a:xfrm>
                    <a:prstGeom prst="rect">
                      <a:avLst/>
                    </a:prstGeom>
                    <a:noFill/>
                    <a:ln>
                      <a:noFill/>
                    </a:ln>
                  </pic:spPr>
                </pic:pic>
              </a:graphicData>
            </a:graphic>
          </wp:inline>
        </w:drawing>
      </w:r>
    </w:p>
    <w:p w14:paraId="44E8E662" w14:textId="77777777" w:rsidR="00D8140F" w:rsidRDefault="00D8140F" w:rsidP="00D8140F">
      <w:pPr>
        <w:rPr>
          <w:szCs w:val="24"/>
          <w:lang w:val="sk-SK"/>
        </w:rPr>
      </w:pPr>
    </w:p>
    <w:p w14:paraId="35DB07DB" w14:textId="77777777" w:rsidR="00D8140F" w:rsidRDefault="00D8140F" w:rsidP="009C65FA">
      <w:pPr>
        <w:pStyle w:val="BodyText"/>
        <w:spacing w:after="120"/>
        <w:ind w:firstLine="567"/>
      </w:pPr>
      <w:r>
        <w:rPr>
          <w:szCs w:val="24"/>
        </w:rPr>
        <w:t>Corporate line managers review processes for missed opportunities that could have detected or prevented performance declines and correct processes as appropriate.</w:t>
      </w:r>
      <w:r>
        <w:t xml:space="preserve"> The IAEA has included oversight function into OSART service in 2014. </w:t>
      </w:r>
    </w:p>
    <w:p w14:paraId="2EC936A0" w14:textId="77777777" w:rsidR="00D8140F" w:rsidRDefault="00D8140F" w:rsidP="009C65FA">
      <w:pPr>
        <w:pStyle w:val="BodyText"/>
        <w:spacing w:after="120"/>
        <w:ind w:firstLine="567"/>
      </w:pPr>
      <w:r>
        <w:t>WANO standards (PO&amp;Cs) for nuclear power plants and corporate performance striving for excellence in operation define criteria for Corporate Oversight and Monitoring &amp; Corporate Independent Oversight.</w:t>
      </w:r>
    </w:p>
    <w:p w14:paraId="78415856" w14:textId="77777777" w:rsidR="00D8140F" w:rsidRDefault="00D8140F" w:rsidP="009C65FA">
      <w:pPr>
        <w:pStyle w:val="BodyText"/>
        <w:spacing w:after="120"/>
        <w:ind w:firstLine="567"/>
        <w:rPr>
          <w:szCs w:val="24"/>
        </w:rPr>
      </w:pPr>
      <w:r>
        <w:rPr>
          <w:szCs w:val="24"/>
        </w:rPr>
        <w:t>The strategic direction and day to day control of the oversight function should be sufficiently remote from operational management to ensure that it is seen and regarded by all as independent. Individuals undertaking and reporting independent assessments should be free to raise “bad news” without fear of sanction.</w:t>
      </w:r>
    </w:p>
    <w:p w14:paraId="7DE6CEA1" w14:textId="77777777" w:rsidR="00D8140F" w:rsidRDefault="00D8140F" w:rsidP="009C65FA">
      <w:pPr>
        <w:pStyle w:val="BodyText"/>
        <w:spacing w:after="120"/>
        <w:ind w:firstLine="567"/>
        <w:rPr>
          <w:szCs w:val="24"/>
        </w:rPr>
      </w:pPr>
      <w:r>
        <w:rPr>
          <w:szCs w:val="24"/>
        </w:rPr>
        <w:t>Individuals undertaking independent assessment activities have the necessary experience, training, skills and credibility to conduct the work, to identify performance shortfalls and to recognise good practices.</w:t>
      </w:r>
    </w:p>
    <w:p w14:paraId="1A91EC34" w14:textId="77777777" w:rsidR="00D8140F" w:rsidRDefault="00D8140F" w:rsidP="009C65FA">
      <w:pPr>
        <w:pStyle w:val="BodyText"/>
        <w:spacing w:after="120"/>
        <w:ind w:firstLine="567"/>
      </w:pPr>
      <w:r>
        <w:t xml:space="preserve">The outcomes of various processes oversight layers should be used to challenge and influence the improvement in safety performance and effectiveness of all organisational levels. In addition, this function should identify areas for improvement of those behaviours, practices </w:t>
      </w:r>
      <w:r>
        <w:lastRenderedPageBreak/>
        <w:t>and processes affecting safety, in order to prevent major safety-related events or near misses happening or reoccurring.</w:t>
      </w:r>
    </w:p>
    <w:p w14:paraId="6B1F4827" w14:textId="77777777" w:rsidR="00D8140F" w:rsidRDefault="00D8140F" w:rsidP="009C65FA">
      <w:pPr>
        <w:pStyle w:val="BodyText"/>
        <w:spacing w:after="120"/>
        <w:ind w:firstLine="567"/>
        <w:rPr>
          <w:szCs w:val="24"/>
        </w:rPr>
      </w:pPr>
      <w:r>
        <w:t>Based on the observations performed, on the assessments, and performance reports, their advisory functions will provide recommendations to the most senior managers of the organisation, such as chief executive officer and/or chief nuclear officer. These functions may have different tasks and organisational structures depending on the number of operated units, sites and the company structure. The company operating nuclear plants with multiple sites and with a large corporate organisation may need an independent oversight function at corporate level to complement the activities carried out by independent oversight units on the plant level.</w:t>
      </w:r>
    </w:p>
    <w:p w14:paraId="2A1FE207" w14:textId="77777777" w:rsidR="00D8140F" w:rsidRDefault="00D8140F" w:rsidP="009C65FA">
      <w:pPr>
        <w:pStyle w:val="BodyText"/>
        <w:spacing w:after="120"/>
        <w:ind w:firstLine="567"/>
        <w:rPr>
          <w:szCs w:val="24"/>
        </w:rPr>
      </w:pPr>
      <w:r>
        <w:rPr>
          <w:szCs w:val="24"/>
        </w:rPr>
        <w:t xml:space="preserve">The overall effectiveness of corporate governance and oversight should be periodically assessed, and corrective actions are taken for performance shortfalls. </w:t>
      </w:r>
    </w:p>
    <w:p w14:paraId="242EE2B6" w14:textId="77777777" w:rsidR="00D8140F" w:rsidRDefault="00D8140F" w:rsidP="009C65FA">
      <w:pPr>
        <w:pStyle w:val="BodyText"/>
        <w:spacing w:after="120"/>
        <w:ind w:firstLine="567"/>
        <w:rPr>
          <w:szCs w:val="24"/>
        </w:rPr>
      </w:pPr>
      <w:r>
        <w:rPr>
          <w:szCs w:val="24"/>
        </w:rPr>
        <w:t>Nuclear organizations should create performance indicators of the oversight function to monitor and measure its effectiveness and its proactive approach to achieve sustaining operational safety excellence and strive for and continued benchmarking and safety improvement.</w:t>
      </w:r>
    </w:p>
    <w:p w14:paraId="35BC347D" w14:textId="77777777" w:rsidR="00D8140F" w:rsidRDefault="00D8140F" w:rsidP="009C65FA">
      <w:pPr>
        <w:pStyle w:val="BodyText"/>
        <w:spacing w:after="120"/>
        <w:ind w:firstLine="567"/>
        <w:rPr>
          <w:szCs w:val="24"/>
        </w:rPr>
      </w:pPr>
      <w:r>
        <w:rPr>
          <w:szCs w:val="24"/>
        </w:rPr>
        <w:t xml:space="preserve">The primary focus of the independent oversight function should be on nuclear safety and reinforcing an integrated approach to the defence-in-depth. Nuclear safety is also ensured by effective emergency preparedness and response. To achieve this, the purpose of the independent oversight function is to verify that the utility has the full capability to perform in a manner which achieves these safety functions through appropriate staffing, processes, activities, actions and monitoring. </w:t>
      </w:r>
    </w:p>
    <w:p w14:paraId="1036671F" w14:textId="77777777" w:rsidR="00D8140F" w:rsidRDefault="00D8140F" w:rsidP="00D8140F">
      <w:r>
        <w:t>Reference is made to following documents:</w:t>
      </w:r>
    </w:p>
    <w:p w14:paraId="121EBD39" w14:textId="77777777" w:rsidR="00D8140F" w:rsidRDefault="00D8140F" w:rsidP="00D8140F">
      <w:r>
        <w:t>•</w:t>
      </w:r>
      <w:r>
        <w:tab/>
        <w:t xml:space="preserve">IAEA General Safety Requirements GSR Part 2 </w:t>
      </w:r>
    </w:p>
    <w:p w14:paraId="404DE695" w14:textId="77777777" w:rsidR="00D8140F" w:rsidRDefault="00D8140F" w:rsidP="00D8140F">
      <w:r>
        <w:t>•</w:t>
      </w:r>
      <w:r>
        <w:tab/>
        <w:t>WANO GL 2018-01 on independent oversight</w:t>
      </w:r>
    </w:p>
    <w:p w14:paraId="0793C8C9" w14:textId="77777777" w:rsidR="00D8140F" w:rsidRDefault="00D8140F" w:rsidP="00D8140F">
      <w:r>
        <w:t>•</w:t>
      </w:r>
      <w:r>
        <w:tab/>
        <w:t>Nuclear Industry -Good Practice Guide – (IRWG)</w:t>
      </w:r>
    </w:p>
    <w:p w14:paraId="59EADBAD" w14:textId="77777777" w:rsidR="00BC3815" w:rsidRPr="00D8140F" w:rsidRDefault="00BC3815" w:rsidP="00BC3815">
      <w:pPr>
        <w:pStyle w:val="BodyText"/>
        <w:rPr>
          <w:lang w:val="en-GB"/>
        </w:rPr>
      </w:pPr>
    </w:p>
    <w:p w14:paraId="6B73C739" w14:textId="57867594" w:rsidR="00276F6C" w:rsidRPr="000C28B9" w:rsidRDefault="78C768DE" w:rsidP="007112AC">
      <w:pPr>
        <w:pStyle w:val="Heading2"/>
      </w:pPr>
      <w:bookmarkStart w:id="892" w:name="_Toc87627666"/>
      <w:r>
        <w:t>Technical</w:t>
      </w:r>
      <w:r w:rsidR="00BB54C4">
        <w:t xml:space="preserve"> </w:t>
      </w:r>
      <w:r>
        <w:t>competence</w:t>
      </w:r>
      <w:bookmarkEnd w:id="892"/>
    </w:p>
    <w:p w14:paraId="48A04236" w14:textId="44CBAA4A" w:rsidR="00FB2B78" w:rsidRDefault="00FB2B78" w:rsidP="00FB2B78">
      <w:pPr>
        <w:pStyle w:val="BodyText"/>
        <w:spacing w:after="120"/>
        <w:ind w:firstLine="567"/>
      </w:pPr>
      <w:r>
        <w:t xml:space="preserve">The core </w:t>
      </w:r>
      <w:r w:rsidR="006F0E6F">
        <w:t>principle</w:t>
      </w:r>
      <w:r>
        <w:t xml:space="preserve">s at NPPs, as is discussed in </w:t>
      </w:r>
      <w:r w:rsidR="00330D5B">
        <w:t xml:space="preserve">IAEA </w:t>
      </w:r>
      <w:r>
        <w:t xml:space="preserve">NE Series Document “Sustaining Operational </w:t>
      </w:r>
      <w:r w:rsidR="003B352F">
        <w:t>E</w:t>
      </w:r>
      <w:r>
        <w:t>xcellence</w:t>
      </w:r>
      <w:r w:rsidR="00AD4D90">
        <w:t xml:space="preserve"> at Nuclear Power </w:t>
      </w:r>
      <w:r w:rsidR="003B352F">
        <w:t>Plants – Principles and Challenges</w:t>
      </w:r>
      <w:r>
        <w:t>”</w:t>
      </w:r>
      <w:r w:rsidR="00377B7F">
        <w:t xml:space="preserve"> </w:t>
      </w:r>
      <w:r w:rsidR="00377B7F">
        <w:fldChar w:fldCharType="begin"/>
      </w:r>
      <w:r w:rsidR="00142662">
        <w:instrText xml:space="preserve"> ADDIN ZOTERO_ITEM CSL_CITATION {"citationID":"DgYszxRn","properties":{"formattedCitation":"[25]","plainCitation":"[25]","noteIndex":0},"citationItems":[{"id":1090,"uris":["http://zotero.org/users/6184040/items/N63FBMJM"],"uri":["http://zotero.org/users/6184040/items/N63FBMJM"],"itemData":{"id":1090,"type":"book","collection-title":"Nuclear Energy Series","event-place":"Vienna","publisher":"IAEA","publisher-place":"Vienna","title":"Sustaining Operational Excellence at Nuclear Power Plants – Principles and Challenges","author":[{"literal":"International Atomic Energy Agency"}]}}],"schema":"https://github.com/citation-style-language/schema/raw/master/csl-citation.json"} </w:instrText>
      </w:r>
      <w:r w:rsidR="00377B7F">
        <w:fldChar w:fldCharType="separate"/>
      </w:r>
      <w:r w:rsidR="00142662" w:rsidRPr="00142662">
        <w:t>[25]</w:t>
      </w:r>
      <w:r w:rsidR="00377B7F">
        <w:fldChar w:fldCharType="end"/>
      </w:r>
      <w:r>
        <w:t>, are about people, equipment, process/procedure, and Leadership and Governance, which should be identified, understood, and preserved, in order not only to remain competitive, but also to sustain excellence in changing environment while assuring safety.</w:t>
      </w:r>
    </w:p>
    <w:p w14:paraId="4718EF21" w14:textId="627A2824" w:rsidR="00FB2B78" w:rsidRDefault="00FB2B78" w:rsidP="00FB2B78">
      <w:pPr>
        <w:pStyle w:val="BodyText"/>
        <w:spacing w:after="0"/>
        <w:ind w:firstLine="567"/>
      </w:pPr>
      <w:r>
        <w:t xml:space="preserve">Technical competence at NPP is about “people” dimension of this core </w:t>
      </w:r>
      <w:r w:rsidR="006570AA">
        <w:t>principle</w:t>
      </w:r>
      <w:r>
        <w:t xml:space="preserve">s of NPPs, where plant personnel have a strong integrated knowledge of the nuclear power plant from all aspects, including but not limited to design, operation, OPEX (Operating Experience), maintenance, licensing basis, and safety. </w:t>
      </w:r>
    </w:p>
    <w:p w14:paraId="229A92D7" w14:textId="3AC1FD9B" w:rsidR="00FB2B78" w:rsidRDefault="00FB2B78" w:rsidP="00FB2B78">
      <w:pPr>
        <w:pStyle w:val="BodyText"/>
        <w:spacing w:after="120"/>
        <w:ind w:firstLine="567"/>
      </w:pPr>
      <w:r>
        <w:t>Being an intelligent customer is an integral part of the competence. O</w:t>
      </w:r>
      <w:r w:rsidR="006570AA">
        <w:t>wner/o</w:t>
      </w:r>
      <w:r>
        <w:t xml:space="preserve">perators of NPPs outsource many activities such as maintenance, training, core management calculation, PRA with Contractors in order to be efficient and focus on core business of operation. However, </w:t>
      </w:r>
      <w:r w:rsidR="00516697">
        <w:t>owner/o</w:t>
      </w:r>
      <w:r>
        <w:t>perators are expected to be an intelligent customer having knowledge of the product or service supplied from contractors.</w:t>
      </w:r>
    </w:p>
    <w:p w14:paraId="5B0A4BEC" w14:textId="0E8CF35B" w:rsidR="008E029A" w:rsidRDefault="00FB2B78" w:rsidP="005B358D">
      <w:pPr>
        <w:pStyle w:val="BodyText"/>
        <w:spacing w:after="120"/>
        <w:ind w:firstLine="567"/>
      </w:pPr>
      <w:r>
        <w:lastRenderedPageBreak/>
        <w:t xml:space="preserve">The following subchapters describe some topical areas where </w:t>
      </w:r>
      <w:r w:rsidR="00516697">
        <w:t>owner/o</w:t>
      </w:r>
      <w:r>
        <w:t>perator</w:t>
      </w:r>
      <w:r w:rsidR="00516697">
        <w:t>s</w:t>
      </w:r>
      <w:r>
        <w:t xml:space="preserve"> will gain strength for excellence by institutionalizing the system.</w:t>
      </w:r>
    </w:p>
    <w:p w14:paraId="14FADB2E" w14:textId="77777777" w:rsidR="005B358D" w:rsidRPr="00FB2B78" w:rsidRDefault="005B358D" w:rsidP="005B358D">
      <w:pPr>
        <w:pStyle w:val="BodyText"/>
        <w:spacing w:after="120"/>
        <w:ind w:firstLine="567"/>
        <w:rPr>
          <w:rFonts w:ascii="Helvetica Neue" w:hAnsi="Helvetica Neue"/>
        </w:rPr>
      </w:pPr>
    </w:p>
    <w:p w14:paraId="350F7274" w14:textId="181C1E79" w:rsidR="008E029A" w:rsidRPr="00FF0A3F" w:rsidRDefault="008E029A" w:rsidP="007112AC">
      <w:pPr>
        <w:pStyle w:val="Heading3"/>
      </w:pPr>
      <w:bookmarkStart w:id="893" w:name="_Toc87627667"/>
      <w:r w:rsidRPr="00FF0A3F">
        <w:t>Mapping of competence, Continuous Education/Training and Qualification</w:t>
      </w:r>
      <w:bookmarkEnd w:id="893"/>
    </w:p>
    <w:p w14:paraId="0ADD5D8B" w14:textId="4CB030AD" w:rsidR="00124D30" w:rsidRPr="00124D30" w:rsidRDefault="00124D30" w:rsidP="00124D30">
      <w:pPr>
        <w:pStyle w:val="BodyText"/>
        <w:spacing w:after="120"/>
        <w:ind w:firstLine="567"/>
        <w:rPr>
          <w:rStyle w:val="Emphasis"/>
          <w:i w:val="0"/>
          <w:color w:val="111111"/>
          <w:szCs w:val="24"/>
          <w:bdr w:val="none" w:sz="0" w:space="0" w:color="auto" w:frame="1"/>
        </w:rPr>
      </w:pPr>
      <w:r w:rsidRPr="00124D30">
        <w:rPr>
          <w:rStyle w:val="Emphasis"/>
          <w:i w:val="0"/>
          <w:color w:val="111111"/>
          <w:szCs w:val="24"/>
          <w:bdr w:val="none" w:sz="0" w:space="0" w:color="auto" w:frame="1"/>
        </w:rPr>
        <w:t>One ISiD aspect of technical competence is for the operating organization to have an institutionalized system with the well-structured process of a) mapping of competence required to perform a job in an effective and efficient manner, b) continuous education and training to acquire and update expected competence, and c) qualification or recognition. Having a job position in the organization that requires a certain specific technical expertise does not assure competence. It also includes assessment of a gap between required competence and existing one (SAT, IAEA-TRS-380, “Competence Assessment for Nuclear Industry Personnel”, 2006</w:t>
      </w:r>
      <w:r w:rsidR="002E569E">
        <w:rPr>
          <w:rStyle w:val="Emphasis"/>
          <w:i w:val="0"/>
          <w:color w:val="111111"/>
          <w:szCs w:val="24"/>
          <w:bdr w:val="none" w:sz="0" w:space="0" w:color="auto" w:frame="1"/>
        </w:rPr>
        <w:t xml:space="preserve"> </w:t>
      </w:r>
      <w:r w:rsidR="002E569E">
        <w:rPr>
          <w:rStyle w:val="Emphasis"/>
          <w:i w:val="0"/>
          <w:color w:val="111111"/>
          <w:szCs w:val="24"/>
          <w:bdr w:val="none" w:sz="0" w:space="0" w:color="auto" w:frame="1"/>
        </w:rPr>
        <w:fldChar w:fldCharType="begin"/>
      </w:r>
      <w:r w:rsidR="00142662">
        <w:rPr>
          <w:rStyle w:val="Emphasis"/>
          <w:i w:val="0"/>
          <w:color w:val="111111"/>
          <w:szCs w:val="24"/>
          <w:bdr w:val="none" w:sz="0" w:space="0" w:color="auto" w:frame="1"/>
        </w:rPr>
        <w:instrText xml:space="preserve"> ADDIN ZOTERO_ITEM CSL_CITATION {"citationID":"ejMeCvJh","properties":{"formattedCitation":"[26]","plainCitation":"[26]","noteIndex":0},"citationItems":[{"id":1088,"uris":["http://zotero.org/users/6184040/items/VLRZZMHG"],"uri":["http://zotero.org/users/6184040/items/VLRZZMHG"],"itemData":{"id":1088,"type":"book","collection-title":"Non-serial Publications","event-place":"Vienna","ISBN":"92-0-110105-8","publisher":"INTERNATIONAL ATOMIC ENERGY AGENCY","publisher-place":"Vienna","title":"Competency Assessments for Nuclear Industry Personnel","URL":"https://www.iaea.org/publications/7338/competency-assessments-for-nuclear-industry-personnel","issued":{"date-parts":[["2006"]]}}}],"schema":"https://github.com/citation-style-language/schema/raw/master/csl-citation.json"} </w:instrText>
      </w:r>
      <w:r w:rsidR="002E569E">
        <w:rPr>
          <w:rStyle w:val="Emphasis"/>
          <w:i w:val="0"/>
          <w:color w:val="111111"/>
          <w:szCs w:val="24"/>
          <w:bdr w:val="none" w:sz="0" w:space="0" w:color="auto" w:frame="1"/>
        </w:rPr>
        <w:fldChar w:fldCharType="separate"/>
      </w:r>
      <w:r w:rsidR="00142662" w:rsidRPr="00142662">
        <w:t>[26]</w:t>
      </w:r>
      <w:r w:rsidR="002E569E">
        <w:rPr>
          <w:rStyle w:val="Emphasis"/>
          <w:i w:val="0"/>
          <w:color w:val="111111"/>
          <w:szCs w:val="24"/>
          <w:bdr w:val="none" w:sz="0" w:space="0" w:color="auto" w:frame="1"/>
        </w:rPr>
        <w:fldChar w:fldCharType="end"/>
      </w:r>
      <w:r w:rsidRPr="00124D30">
        <w:rPr>
          <w:rStyle w:val="Emphasis"/>
          <w:i w:val="0"/>
          <w:color w:val="111111"/>
          <w:szCs w:val="24"/>
          <w:bdr w:val="none" w:sz="0" w:space="0" w:color="auto" w:frame="1"/>
        </w:rPr>
        <w:t xml:space="preserve">). </w:t>
      </w:r>
    </w:p>
    <w:p w14:paraId="21FAFC6B" w14:textId="6CADAE35" w:rsidR="008E029A" w:rsidRDefault="00124D30" w:rsidP="00CE0F83">
      <w:pPr>
        <w:pStyle w:val="BodyText"/>
        <w:spacing w:after="120"/>
        <w:ind w:firstLine="567"/>
        <w:rPr>
          <w:rStyle w:val="Emphasis"/>
          <w:i w:val="0"/>
          <w:color w:val="111111"/>
          <w:szCs w:val="24"/>
          <w:bdr w:val="none" w:sz="0" w:space="0" w:color="auto" w:frame="1"/>
        </w:rPr>
      </w:pPr>
      <w:r w:rsidRPr="00124D30">
        <w:rPr>
          <w:rStyle w:val="Emphasis"/>
          <w:i w:val="0"/>
          <w:color w:val="111111"/>
          <w:szCs w:val="24"/>
          <w:bdr w:val="none" w:sz="0" w:space="0" w:color="auto" w:frame="1"/>
        </w:rPr>
        <w:t>Depending on specific culture, it is possible that this process of competence mapping, education &amp; training and qualification does not apply to an individual but to a group. This competence mapping of a job position or group relates to Nuclear Knowledge Management of the organization as an integral part of its Management System.</w:t>
      </w:r>
    </w:p>
    <w:p w14:paraId="5E01165F" w14:textId="77777777" w:rsidR="00506F16" w:rsidRPr="00FF0A3F" w:rsidRDefault="00506F16" w:rsidP="00124D30">
      <w:pPr>
        <w:pStyle w:val="BodyText"/>
        <w:spacing w:after="120"/>
        <w:ind w:firstLine="567"/>
        <w:rPr>
          <w:rStyle w:val="Emphasis"/>
          <w:i w:val="0"/>
          <w:color w:val="111111"/>
          <w:szCs w:val="24"/>
          <w:bdr w:val="none" w:sz="0" w:space="0" w:color="auto" w:frame="1"/>
        </w:rPr>
      </w:pPr>
    </w:p>
    <w:p w14:paraId="34B24F3E" w14:textId="3572E773" w:rsidR="008E029A" w:rsidRPr="00FF0A3F" w:rsidRDefault="008E029A" w:rsidP="007112AC">
      <w:pPr>
        <w:pStyle w:val="Heading3"/>
        <w:rPr>
          <w:rStyle w:val="Emphasis"/>
          <w:i w:val="0"/>
          <w:color w:val="111111"/>
          <w:szCs w:val="24"/>
          <w:bdr w:val="none" w:sz="0" w:space="0" w:color="auto" w:frame="1"/>
        </w:rPr>
      </w:pPr>
      <w:bookmarkStart w:id="894" w:name="_Toc87627668"/>
      <w:r w:rsidRPr="00FF0A3F">
        <w:rPr>
          <w:rStyle w:val="Emphasis"/>
          <w:i w:val="0"/>
          <w:color w:val="111111"/>
          <w:szCs w:val="24"/>
          <w:bdr w:val="none" w:sz="0" w:space="0" w:color="auto" w:frame="1"/>
        </w:rPr>
        <w:t>Nuclear Knowledge Management (NKM)</w:t>
      </w:r>
      <w:bookmarkEnd w:id="894"/>
    </w:p>
    <w:p w14:paraId="26D28D34" w14:textId="77777777" w:rsidR="00FF6887" w:rsidRPr="00FF6887" w:rsidRDefault="00FF6887" w:rsidP="00CE0F83">
      <w:pPr>
        <w:pStyle w:val="BodyText"/>
        <w:spacing w:after="120"/>
        <w:ind w:firstLine="567"/>
        <w:rPr>
          <w:szCs w:val="24"/>
        </w:rPr>
      </w:pPr>
      <w:r w:rsidRPr="00FF6887">
        <w:rPr>
          <w:szCs w:val="24"/>
        </w:rPr>
        <w:t>Knowledge Management is about identifying, preserving and transferring knowledge in a systematic manner, which, in today’s environment surrounding nuclear energy, bears significant importance, given that competitive electricity market requires downsizing of human resources, that attrition of baby-boomers who played a key role in nuclear industry and increased amount of information in this technology. Competent Operators establish inhouse NKM infrastructure for sharing plant information and knowledge (configuration, design, procedures, OPEX etc.) where knowledge is contextualized information within the hierarchy of data, information, knowledge and wisdom. This assists informed decision-making. Sharing of practical information among experts of specific area is enabled by networking and formulating Community of Practice.</w:t>
      </w:r>
    </w:p>
    <w:p w14:paraId="22F5FFFF" w14:textId="7FE28B0F" w:rsidR="008E029A" w:rsidRDefault="00FF6887" w:rsidP="00CE0F83">
      <w:pPr>
        <w:pStyle w:val="BodyText"/>
        <w:spacing w:after="120"/>
        <w:ind w:firstLine="567"/>
        <w:rPr>
          <w:szCs w:val="24"/>
        </w:rPr>
      </w:pPr>
      <w:r w:rsidRPr="00FF6887">
        <w:rPr>
          <w:szCs w:val="24"/>
        </w:rPr>
        <w:t>IAEA NE Series NG-T-6.10 “Knowledge Management and Its Implementation in Nuclear Organizations”</w:t>
      </w:r>
      <w:r w:rsidR="00CE0F83">
        <w:rPr>
          <w:szCs w:val="24"/>
        </w:rPr>
        <w:t xml:space="preserve"> </w:t>
      </w:r>
      <w:r w:rsidR="00CE0F83">
        <w:rPr>
          <w:szCs w:val="24"/>
        </w:rPr>
        <w:fldChar w:fldCharType="begin"/>
      </w:r>
      <w:r w:rsidR="00142662">
        <w:rPr>
          <w:szCs w:val="24"/>
        </w:rPr>
        <w:instrText xml:space="preserve"> ADDIN ZOTERO_ITEM CSL_CITATION {"citationID":"MM8jZhti","properties":{"formattedCitation":"[27]","plainCitation":"[27]","noteIndex":0},"citationItems":[{"id":1089,"uris":["http://zotero.org/users/6184040/items/8ZE3I4NR"],"uri":["http://zotero.org/users/6184040/items/8ZE3I4NR"],"itemData":{"id":1089,"type":"book","collection-number":"NG-T-6.10","collection-title":"Nuclear Energy Series","event-place":"Vienna","ISBN":"978-92-0-107215-3","publisher":"INTERNATIONAL ATOMIC ENERGY AGENCY","publisher-place":"Vienna","title":"Knowledge Management and Its Implementation in Nuclear Organizations","URL":"https://www.iaea.org/publications/10849/knowledge-management-and-its-implementation-in-nuclear-organizations","author":[{"family":"International Atomic Energy Agency","given":""}],"issued":{"date-parts":[["2016"]]}}}],"schema":"https://github.com/citation-style-language/schema/raw/master/csl-citation.json"} </w:instrText>
      </w:r>
      <w:r w:rsidR="00CE0F83">
        <w:rPr>
          <w:szCs w:val="24"/>
        </w:rPr>
        <w:fldChar w:fldCharType="separate"/>
      </w:r>
      <w:r w:rsidR="00142662" w:rsidRPr="00142662">
        <w:t>[27]</w:t>
      </w:r>
      <w:r w:rsidR="00CE0F83">
        <w:rPr>
          <w:szCs w:val="24"/>
        </w:rPr>
        <w:fldChar w:fldCharType="end"/>
      </w:r>
      <w:r w:rsidRPr="00FF6887">
        <w:rPr>
          <w:szCs w:val="24"/>
        </w:rPr>
        <w:t xml:space="preserve"> provides NKM elements and experiences at NPPs.</w:t>
      </w:r>
    </w:p>
    <w:p w14:paraId="1951FE26" w14:textId="77777777" w:rsidR="00531AA8" w:rsidRPr="00FF0A3F" w:rsidRDefault="00531AA8" w:rsidP="00CE0F83">
      <w:pPr>
        <w:pStyle w:val="BodyText"/>
        <w:spacing w:after="120"/>
        <w:ind w:firstLine="567"/>
        <w:rPr>
          <w:szCs w:val="24"/>
        </w:rPr>
      </w:pPr>
    </w:p>
    <w:p w14:paraId="526A944E" w14:textId="706C508F" w:rsidR="008E029A" w:rsidRPr="00FF0A3F" w:rsidRDefault="008E029A" w:rsidP="007112AC">
      <w:pPr>
        <w:pStyle w:val="Heading3"/>
      </w:pPr>
      <w:bookmarkStart w:id="895" w:name="_Toc87627669"/>
      <w:r w:rsidRPr="00FF0A3F">
        <w:t>Excellence is learning driven</w:t>
      </w:r>
      <w:bookmarkEnd w:id="895"/>
    </w:p>
    <w:p w14:paraId="77CBA57B" w14:textId="4D830C48" w:rsidR="004C2595" w:rsidRPr="004C2595" w:rsidRDefault="004C2595" w:rsidP="004C2595">
      <w:pPr>
        <w:pStyle w:val="BodyText"/>
        <w:spacing w:after="120"/>
        <w:ind w:firstLine="567"/>
        <w:rPr>
          <w:rStyle w:val="SC3241719"/>
          <w:rFonts w:cs="Times New Roman"/>
          <w:iCs/>
          <w:sz w:val="24"/>
          <w:szCs w:val="24"/>
        </w:rPr>
      </w:pPr>
      <w:r w:rsidRPr="004C2595">
        <w:rPr>
          <w:rStyle w:val="SC3241719"/>
          <w:rFonts w:cs="Times New Roman"/>
          <w:iCs/>
          <w:sz w:val="24"/>
          <w:szCs w:val="24"/>
        </w:rPr>
        <w:t xml:space="preserve">Technology evolves with accumulated experiences of its use. Learning from others is an important attribute of culture for safety. This learning does not limit itself to technology but also </w:t>
      </w:r>
      <w:r w:rsidR="001921CA">
        <w:rPr>
          <w:rStyle w:val="SC3241719"/>
          <w:rFonts w:cs="Times New Roman"/>
          <w:iCs/>
          <w:sz w:val="24"/>
          <w:szCs w:val="24"/>
        </w:rPr>
        <w:t>h</w:t>
      </w:r>
      <w:r w:rsidRPr="004C2595">
        <w:rPr>
          <w:rStyle w:val="SC3241719"/>
          <w:rFonts w:cs="Times New Roman"/>
          <w:iCs/>
          <w:sz w:val="24"/>
          <w:szCs w:val="24"/>
        </w:rPr>
        <w:t xml:space="preserve">uman and </w:t>
      </w:r>
      <w:r w:rsidR="001921CA">
        <w:rPr>
          <w:rStyle w:val="SC3241719"/>
          <w:rFonts w:cs="Times New Roman"/>
          <w:iCs/>
          <w:sz w:val="24"/>
          <w:szCs w:val="24"/>
        </w:rPr>
        <w:t>o</w:t>
      </w:r>
      <w:r w:rsidRPr="004C2595">
        <w:rPr>
          <w:rStyle w:val="SC3241719"/>
          <w:rFonts w:cs="Times New Roman"/>
          <w:iCs/>
          <w:sz w:val="24"/>
          <w:szCs w:val="24"/>
        </w:rPr>
        <w:t>rganizational aspects as well. Like safety is learning driven (IAEA GS-G-3.5 Management System for Nuclear Installations</w:t>
      </w:r>
      <w:r>
        <w:rPr>
          <w:rStyle w:val="SC3241719"/>
          <w:rFonts w:cs="Times New Roman"/>
          <w:iCs/>
          <w:sz w:val="24"/>
          <w:szCs w:val="24"/>
        </w:rPr>
        <w:t xml:space="preserve"> </w:t>
      </w:r>
      <w:r>
        <w:rPr>
          <w:rStyle w:val="SC3241719"/>
          <w:rFonts w:cs="Times New Roman"/>
          <w:iCs/>
          <w:sz w:val="24"/>
          <w:szCs w:val="24"/>
        </w:rPr>
        <w:fldChar w:fldCharType="begin"/>
      </w:r>
      <w:r w:rsidR="00F77F8E">
        <w:rPr>
          <w:rStyle w:val="SC3241719"/>
          <w:rFonts w:cs="Times New Roman"/>
          <w:iCs/>
          <w:sz w:val="24"/>
          <w:szCs w:val="24"/>
        </w:rPr>
        <w:instrText xml:space="preserve"> ADDIN ZOTERO_ITEM CSL_CITATION {"citationID":"0a5ExKoa","properties":{"formattedCitation":"[18]","plainCitation":"[18]","noteIndex":0},"citationItems":[{"id":1078,"uris":["http://zotero.org/users/6184040/items/WBHVRWN5"],"uri":["http://zotero.org/users/6184040/items/WBHVRWN5"],"itemData":{"id":1078,"type":"book","collection-number":"No. GS-G-3.5","collection-title":"IAEA Safety Standards Series","event-place":"Vienna","ISBN":"978-92-0-103409-0","language":"en-GB","number-of-pages":"139","publisher":"IAEA","publisher-place":"Vienna","title":"The Management System for Nuclear Installations","URL":"http://www-pub.iaea.org/MTCD/publications/PDF/Pub1392_web.pdf","author":[{"literal":"International Atomic Energy Agency"}],"issued":{"date-parts":[["2009"]]}}}],"schema":"https://github.com/citation-style-language/schema/raw/master/csl-citation.json"} </w:instrText>
      </w:r>
      <w:r>
        <w:rPr>
          <w:rStyle w:val="SC3241719"/>
          <w:rFonts w:cs="Times New Roman"/>
          <w:iCs/>
          <w:sz w:val="24"/>
          <w:szCs w:val="24"/>
        </w:rPr>
        <w:fldChar w:fldCharType="separate"/>
      </w:r>
      <w:r w:rsidR="00F77F8E" w:rsidRPr="00F77F8E">
        <w:t>[18]</w:t>
      </w:r>
      <w:r>
        <w:rPr>
          <w:rStyle w:val="SC3241719"/>
          <w:rFonts w:cs="Times New Roman"/>
          <w:iCs/>
          <w:sz w:val="24"/>
          <w:szCs w:val="24"/>
        </w:rPr>
        <w:fldChar w:fldCharType="end"/>
      </w:r>
      <w:r w:rsidRPr="004C2595">
        <w:rPr>
          <w:rStyle w:val="SC3241719"/>
          <w:rFonts w:cs="Times New Roman"/>
          <w:iCs/>
          <w:sz w:val="24"/>
          <w:szCs w:val="24"/>
        </w:rPr>
        <w:t xml:space="preserve">), so is operational excellence. One of the enablers of significant increase of nuclear electricity in a decade around the turn of the century (IAEA </w:t>
      </w:r>
      <w:r w:rsidR="001921CA">
        <w:rPr>
          <w:rStyle w:val="SC3241719"/>
          <w:rFonts w:cs="Times New Roman"/>
          <w:iCs/>
          <w:sz w:val="24"/>
          <w:szCs w:val="24"/>
        </w:rPr>
        <w:t>NE Series Guide “</w:t>
      </w:r>
      <w:r w:rsidRPr="004C2595">
        <w:rPr>
          <w:rStyle w:val="SC3241719"/>
          <w:rFonts w:cs="Times New Roman"/>
          <w:iCs/>
          <w:sz w:val="24"/>
          <w:szCs w:val="24"/>
        </w:rPr>
        <w:t xml:space="preserve">Sustaining Operational </w:t>
      </w:r>
      <w:r w:rsidR="001921CA">
        <w:rPr>
          <w:rStyle w:val="SC3241719"/>
          <w:rFonts w:cs="Times New Roman"/>
          <w:iCs/>
          <w:sz w:val="24"/>
          <w:szCs w:val="24"/>
        </w:rPr>
        <w:t>E</w:t>
      </w:r>
      <w:r w:rsidRPr="004C2595">
        <w:rPr>
          <w:rStyle w:val="SC3241719"/>
          <w:rFonts w:cs="Times New Roman"/>
          <w:iCs/>
          <w:sz w:val="24"/>
          <w:szCs w:val="24"/>
        </w:rPr>
        <w:t>xcellence</w:t>
      </w:r>
      <w:r w:rsidR="001921CA">
        <w:rPr>
          <w:rStyle w:val="SC3241719"/>
          <w:rFonts w:cs="Times New Roman"/>
          <w:iCs/>
          <w:sz w:val="24"/>
          <w:szCs w:val="24"/>
        </w:rPr>
        <w:t xml:space="preserve"> at Nuclear Power Plants</w:t>
      </w:r>
      <w:r w:rsidR="00DA3A2C">
        <w:rPr>
          <w:rStyle w:val="SC3241719"/>
          <w:rFonts w:cs="Times New Roman"/>
          <w:iCs/>
          <w:sz w:val="24"/>
          <w:szCs w:val="24"/>
        </w:rPr>
        <w:t xml:space="preserve"> - </w:t>
      </w:r>
      <w:r w:rsidR="00DA3A2C" w:rsidRPr="004C2595">
        <w:rPr>
          <w:rStyle w:val="SC3241719"/>
          <w:rFonts w:cs="Times New Roman"/>
          <w:iCs/>
          <w:sz w:val="24"/>
          <w:szCs w:val="24"/>
        </w:rPr>
        <w:t>Principles and Challenges</w:t>
      </w:r>
      <w:r w:rsidR="00DA3A2C">
        <w:rPr>
          <w:rStyle w:val="SC3241719"/>
          <w:rFonts w:cs="Times New Roman"/>
          <w:iCs/>
          <w:sz w:val="24"/>
          <w:szCs w:val="24"/>
        </w:rPr>
        <w:t>”</w:t>
      </w:r>
      <w:r w:rsidRPr="004C2595">
        <w:rPr>
          <w:rStyle w:val="SC3241719"/>
          <w:rFonts w:cs="Times New Roman"/>
          <w:iCs/>
          <w:sz w:val="24"/>
          <w:szCs w:val="24"/>
        </w:rPr>
        <w:t>) was possibly learning from best practices (Globally, but especially East) and consolidation to those perform the best under increasing market pressure of competition (West).</w:t>
      </w:r>
    </w:p>
    <w:p w14:paraId="1805B8A3" w14:textId="57983FAE" w:rsidR="008E029A" w:rsidRDefault="004C2595" w:rsidP="004C2595">
      <w:pPr>
        <w:pStyle w:val="BodyText"/>
        <w:spacing w:after="120"/>
        <w:ind w:firstLine="567"/>
        <w:rPr>
          <w:rStyle w:val="SC3241719"/>
          <w:rFonts w:cs="Times New Roman"/>
          <w:iCs/>
          <w:sz w:val="24"/>
          <w:szCs w:val="24"/>
        </w:rPr>
      </w:pPr>
      <w:r w:rsidRPr="004C2595">
        <w:rPr>
          <w:rStyle w:val="SC3241719"/>
          <w:rFonts w:cs="Times New Roman"/>
          <w:iCs/>
          <w:sz w:val="24"/>
          <w:szCs w:val="24"/>
        </w:rPr>
        <w:lastRenderedPageBreak/>
        <w:t>Management should establish the way for the employee to learn to strengthen their competence. In the case of control room operator, training and learning are an integral part of duty in a way training course is alternating with periods of shift assignment. International or country specific industry organizations such as WANO, INPO, JANSI, Owners Groups also worked for sharing of OPEX to assist competence through learnings. Incident Reporting System by the IAEA and OECD/NEA are disseminating information, by not only describing incidents, but also root cause, lessons learned and corrective actions.</w:t>
      </w:r>
    </w:p>
    <w:p w14:paraId="06CFD12D" w14:textId="77777777" w:rsidR="004C2595" w:rsidRPr="00FF0A3F" w:rsidRDefault="004C2595" w:rsidP="004C2595">
      <w:pPr>
        <w:pStyle w:val="BodyText"/>
        <w:spacing w:after="120"/>
        <w:ind w:firstLine="567"/>
        <w:rPr>
          <w:szCs w:val="24"/>
        </w:rPr>
      </w:pPr>
    </w:p>
    <w:p w14:paraId="2E88F1CC" w14:textId="463536F3" w:rsidR="008E029A" w:rsidRPr="00FF0A3F" w:rsidRDefault="008E029A" w:rsidP="009E2BCD">
      <w:pPr>
        <w:pStyle w:val="Heading3"/>
      </w:pPr>
      <w:bookmarkStart w:id="896" w:name="_Toc87627670"/>
      <w:r w:rsidRPr="00FF0A3F">
        <w:t>Knowledge of design and design authority</w:t>
      </w:r>
      <w:bookmarkEnd w:id="896"/>
    </w:p>
    <w:p w14:paraId="7C82DE85" w14:textId="5635A71B" w:rsidR="00F94C95" w:rsidRPr="00F94C95" w:rsidRDefault="00F94C95" w:rsidP="00F94C95">
      <w:pPr>
        <w:pStyle w:val="BodyText"/>
        <w:spacing w:after="120"/>
        <w:ind w:firstLine="567"/>
        <w:rPr>
          <w:szCs w:val="24"/>
        </w:rPr>
      </w:pPr>
      <w:r w:rsidRPr="00F94C95">
        <w:rPr>
          <w:szCs w:val="24"/>
        </w:rPr>
        <w:t xml:space="preserve">Knowledge of “how the plant system and equipment are designed” and “why designed so” are an essential part of technical competence for operation of NPPs. However, along time since the plant is handed over to </w:t>
      </w:r>
      <w:r w:rsidR="00EE0D0D">
        <w:rPr>
          <w:szCs w:val="24"/>
        </w:rPr>
        <w:t>o</w:t>
      </w:r>
      <w:r w:rsidRPr="00F94C95">
        <w:rPr>
          <w:szCs w:val="24"/>
        </w:rPr>
        <w:t xml:space="preserve">perator from </w:t>
      </w:r>
      <w:r w:rsidR="00EE0D0D">
        <w:rPr>
          <w:szCs w:val="24"/>
        </w:rPr>
        <w:t>d</w:t>
      </w:r>
      <w:r w:rsidRPr="00F94C95">
        <w:rPr>
          <w:szCs w:val="24"/>
        </w:rPr>
        <w:t>esigner/</w:t>
      </w:r>
      <w:r w:rsidR="00EE0D0D">
        <w:rPr>
          <w:szCs w:val="24"/>
        </w:rPr>
        <w:t>c</w:t>
      </w:r>
      <w:r w:rsidRPr="00F94C95">
        <w:rPr>
          <w:szCs w:val="24"/>
        </w:rPr>
        <w:t xml:space="preserve">ontractor or as engineers moved to </w:t>
      </w:r>
      <w:r w:rsidR="00EE0D0D">
        <w:rPr>
          <w:szCs w:val="24"/>
        </w:rPr>
        <w:t>o</w:t>
      </w:r>
      <w:r w:rsidRPr="00F94C95">
        <w:rPr>
          <w:szCs w:val="24"/>
        </w:rPr>
        <w:t xml:space="preserve">perator from </w:t>
      </w:r>
      <w:r w:rsidR="00EE0D0D">
        <w:rPr>
          <w:szCs w:val="24"/>
        </w:rPr>
        <w:t>d</w:t>
      </w:r>
      <w:r w:rsidRPr="00F94C95">
        <w:rPr>
          <w:szCs w:val="24"/>
        </w:rPr>
        <w:t>esigner/</w:t>
      </w:r>
      <w:r w:rsidR="00EE0D0D">
        <w:rPr>
          <w:szCs w:val="24"/>
        </w:rPr>
        <w:t>c</w:t>
      </w:r>
      <w:r w:rsidRPr="00F94C95">
        <w:rPr>
          <w:szCs w:val="24"/>
        </w:rPr>
        <w:t>ontractor are lost due to attrition, this design knowledge starts to erode and, as plant ages, facility is renovated and modified to reflect new findings, new regulations, and to benefit from innovative technologies. Original supplier of a component may have disappeared from the market.</w:t>
      </w:r>
    </w:p>
    <w:p w14:paraId="439F82E9" w14:textId="5B095E20" w:rsidR="00F94C95" w:rsidRPr="00F94C95" w:rsidRDefault="00F94C95" w:rsidP="00F94C95">
      <w:pPr>
        <w:pStyle w:val="BodyText"/>
        <w:spacing w:after="120"/>
        <w:ind w:firstLine="567"/>
        <w:rPr>
          <w:szCs w:val="24"/>
        </w:rPr>
      </w:pPr>
      <w:r w:rsidRPr="00F94C95">
        <w:rPr>
          <w:szCs w:val="24"/>
        </w:rPr>
        <w:t>Nevertheless, operating organization</w:t>
      </w:r>
      <w:r w:rsidR="00EE0D0D">
        <w:rPr>
          <w:szCs w:val="24"/>
        </w:rPr>
        <w:t>s</w:t>
      </w:r>
      <w:r w:rsidRPr="00F94C95">
        <w:rPr>
          <w:szCs w:val="24"/>
        </w:rPr>
        <w:t xml:space="preserve"> have to have a capability to function as a “</w:t>
      </w:r>
      <w:r w:rsidR="00EE0D0D">
        <w:rPr>
          <w:szCs w:val="24"/>
        </w:rPr>
        <w:t>d</w:t>
      </w:r>
      <w:r w:rsidRPr="00F94C95">
        <w:rPr>
          <w:szCs w:val="24"/>
        </w:rPr>
        <w:t xml:space="preserve">esign </w:t>
      </w:r>
      <w:r w:rsidR="00EE0D0D">
        <w:rPr>
          <w:szCs w:val="24"/>
        </w:rPr>
        <w:t>a</w:t>
      </w:r>
      <w:r w:rsidRPr="00F94C95">
        <w:rPr>
          <w:szCs w:val="24"/>
        </w:rPr>
        <w:t>uthority” after the NPP</w:t>
      </w:r>
      <w:r w:rsidR="00EE0D0D">
        <w:rPr>
          <w:szCs w:val="24"/>
        </w:rPr>
        <w:t>s</w:t>
      </w:r>
      <w:r w:rsidRPr="00F94C95">
        <w:rPr>
          <w:szCs w:val="24"/>
        </w:rPr>
        <w:t xml:space="preserve"> start operation, since it is the only organization that can maintain the integrated knowledge of design. </w:t>
      </w:r>
    </w:p>
    <w:p w14:paraId="596E0261" w14:textId="47C8EE49" w:rsidR="00F94C95" w:rsidRPr="00F94C95" w:rsidRDefault="00F94C95" w:rsidP="00F94C95">
      <w:pPr>
        <w:pStyle w:val="BodyText"/>
        <w:spacing w:after="120"/>
        <w:ind w:firstLine="567"/>
        <w:rPr>
          <w:i/>
          <w:iCs/>
          <w:szCs w:val="24"/>
        </w:rPr>
      </w:pPr>
      <w:r w:rsidRPr="00F94C95">
        <w:rPr>
          <w:i/>
          <w:iCs/>
          <w:szCs w:val="24"/>
        </w:rPr>
        <w:t>An operating organization must set up internally a formal process to maintain the design integrity as soon as it takes control of the plant. This may be achieved by setting up a design capability within the operating organization, or by having a formal external relationship with the original design organizations or their successors. There must be a formally designated entity within the operating company that takes responsibility for this process. (INSAG-19, 2003</w:t>
      </w:r>
      <w:r w:rsidR="00062C08">
        <w:rPr>
          <w:i/>
          <w:iCs/>
          <w:szCs w:val="24"/>
        </w:rPr>
        <w:t xml:space="preserve"> </w:t>
      </w:r>
      <w:r w:rsidR="00062C08">
        <w:rPr>
          <w:i/>
          <w:iCs/>
          <w:szCs w:val="24"/>
        </w:rPr>
        <w:fldChar w:fldCharType="begin"/>
      </w:r>
      <w:r w:rsidR="00142662">
        <w:rPr>
          <w:i/>
          <w:iCs/>
          <w:szCs w:val="24"/>
        </w:rPr>
        <w:instrText xml:space="preserve"> ADDIN ZOTERO_ITEM CSL_CITATION {"citationID":"6EQSidqn","properties":{"formattedCitation":"[28]","plainCitation":"[28]","noteIndex":0},"citationItems":[{"id":1091,"uris":["http://zotero.org/users/6184040/items/MTIQ5QFJ"],"uri":["http://zotero.org/users/6184040/items/MTIQ5QFJ"],"itemData":{"id":1091,"type":"book","collection-number":"19","collection-title":"INSAG Series","event-place":"Vienna","ISBN":"92-0-112603-4","publisher":"INTERNATIONAL ATOMIC ENERGY AGENCY","publisher-place":"Vienna","title":"Maintaining the Design Integrity of Nuclear Installations Throughout Their Operating Life","URL":"https://www.iaea.org/publications/6846/maintaining-the-design-integrity-of-nuclear-installations-throughout-their-operating-life","issued":{"date-parts":[["2004"]]}}}],"schema":"https://github.com/citation-style-language/schema/raw/master/csl-citation.json"} </w:instrText>
      </w:r>
      <w:r w:rsidR="00062C08">
        <w:rPr>
          <w:i/>
          <w:iCs/>
          <w:szCs w:val="24"/>
        </w:rPr>
        <w:fldChar w:fldCharType="separate"/>
      </w:r>
      <w:r w:rsidR="00142662" w:rsidRPr="00142662">
        <w:t>[28]</w:t>
      </w:r>
      <w:r w:rsidR="00062C08">
        <w:rPr>
          <w:i/>
          <w:iCs/>
          <w:szCs w:val="24"/>
        </w:rPr>
        <w:fldChar w:fldCharType="end"/>
      </w:r>
      <w:r w:rsidRPr="00F94C95">
        <w:rPr>
          <w:i/>
          <w:iCs/>
          <w:szCs w:val="24"/>
        </w:rPr>
        <w:t>)</w:t>
      </w:r>
    </w:p>
    <w:p w14:paraId="7D5A2179" w14:textId="4F26B947" w:rsidR="008E029A" w:rsidRDefault="00F94C95" w:rsidP="00F94C95">
      <w:pPr>
        <w:pStyle w:val="BodyText"/>
        <w:spacing w:after="120"/>
        <w:ind w:firstLine="567"/>
        <w:rPr>
          <w:szCs w:val="24"/>
        </w:rPr>
      </w:pPr>
      <w:r w:rsidRPr="00F94C95">
        <w:rPr>
          <w:szCs w:val="24"/>
        </w:rPr>
        <w:t>Also, Industry’s competence in design needs attention. Such design deficiencies as reactor water level measurement (TMI), positive void coefficient at low power region (Chernobyl), and placing electrical equipment (EDG, switchgears etc.) below ground, if they were corrected at some stage, these core melts would not have occurred.</w:t>
      </w:r>
    </w:p>
    <w:p w14:paraId="1B9EA692" w14:textId="77777777" w:rsidR="00F94C95" w:rsidRPr="00936FF5" w:rsidRDefault="00F94C95" w:rsidP="00F94C95">
      <w:pPr>
        <w:pStyle w:val="BodyText"/>
        <w:spacing w:after="120"/>
        <w:ind w:firstLine="567"/>
        <w:rPr>
          <w:rStyle w:val="Emphasis"/>
          <w:i w:val="0"/>
          <w:color w:val="111111"/>
          <w:szCs w:val="24"/>
          <w:bdr w:val="none" w:sz="0" w:space="0" w:color="auto" w:frame="1"/>
        </w:rPr>
      </w:pPr>
    </w:p>
    <w:p w14:paraId="05C31353" w14:textId="6B9F8F59" w:rsidR="008E029A" w:rsidRPr="00FF0A3F" w:rsidRDefault="008E029A" w:rsidP="009E2BCD">
      <w:pPr>
        <w:pStyle w:val="Heading3"/>
        <w:rPr>
          <w:rStyle w:val="Emphasis"/>
          <w:i w:val="0"/>
          <w:color w:val="000000" w:themeColor="text1"/>
          <w:szCs w:val="24"/>
          <w:bdr w:val="none" w:sz="0" w:space="0" w:color="auto" w:frame="1"/>
        </w:rPr>
      </w:pPr>
      <w:bookmarkStart w:id="897" w:name="_Toc87627671"/>
      <w:r w:rsidRPr="00FF0A3F">
        <w:rPr>
          <w:rStyle w:val="Emphasis"/>
          <w:i w:val="0"/>
          <w:color w:val="000000" w:themeColor="text1"/>
          <w:szCs w:val="24"/>
          <w:bdr w:val="none" w:sz="0" w:space="0" w:color="auto" w:frame="1"/>
        </w:rPr>
        <w:t>Risk management and Crisis Management</w:t>
      </w:r>
      <w:bookmarkEnd w:id="897"/>
      <w:r w:rsidRPr="00FF0A3F">
        <w:rPr>
          <w:rStyle w:val="Emphasis"/>
          <w:i w:val="0"/>
          <w:color w:val="000000" w:themeColor="text1"/>
          <w:szCs w:val="24"/>
          <w:bdr w:val="none" w:sz="0" w:space="0" w:color="auto" w:frame="1"/>
        </w:rPr>
        <w:t xml:space="preserve"> </w:t>
      </w:r>
    </w:p>
    <w:p w14:paraId="484E1BD9" w14:textId="1471F974" w:rsidR="00884321" w:rsidRPr="00421C11" w:rsidRDefault="00884321" w:rsidP="00884321">
      <w:pPr>
        <w:pStyle w:val="BodyText"/>
        <w:spacing w:after="120"/>
        <w:ind w:firstLine="567"/>
        <w:rPr>
          <w:rStyle w:val="Emphasis"/>
          <w:i w:val="0"/>
          <w:iCs w:val="0"/>
          <w:color w:val="000000" w:themeColor="text1"/>
          <w:szCs w:val="24"/>
          <w:bdr w:val="none" w:sz="0" w:space="0" w:color="auto" w:frame="1"/>
        </w:rPr>
      </w:pPr>
      <w:r w:rsidRPr="00421C11">
        <w:rPr>
          <w:rStyle w:val="Emphasis"/>
          <w:i w:val="0"/>
          <w:iCs w:val="0"/>
          <w:color w:val="000000" w:themeColor="text1"/>
          <w:szCs w:val="24"/>
          <w:bdr w:val="none" w:sz="0" w:space="0" w:color="auto" w:frame="1"/>
        </w:rPr>
        <w:t xml:space="preserve">Risk management and Crisis Management </w:t>
      </w:r>
      <w:r w:rsidR="00BA7647">
        <w:rPr>
          <w:rStyle w:val="Emphasis"/>
          <w:i w:val="0"/>
          <w:iCs w:val="0"/>
          <w:color w:val="000000" w:themeColor="text1"/>
          <w:szCs w:val="24"/>
          <w:bdr w:val="none" w:sz="0" w:space="0" w:color="auto" w:frame="1"/>
        </w:rPr>
        <w:t>is</w:t>
      </w:r>
      <w:r w:rsidRPr="00421C11">
        <w:rPr>
          <w:rStyle w:val="Emphasis"/>
          <w:i w:val="0"/>
          <w:iCs w:val="0"/>
          <w:color w:val="000000" w:themeColor="text1"/>
          <w:szCs w:val="24"/>
          <w:bdr w:val="none" w:sz="0" w:space="0" w:color="auto" w:frame="1"/>
        </w:rPr>
        <w:t xml:space="preserve"> an essential part of technical competence at NPPs. </w:t>
      </w:r>
    </w:p>
    <w:p w14:paraId="778F2CC5" w14:textId="77777777" w:rsidR="00884321" w:rsidRPr="00884321" w:rsidRDefault="00884321" w:rsidP="00884321">
      <w:pPr>
        <w:pStyle w:val="BodyText"/>
        <w:spacing w:after="120"/>
        <w:ind w:firstLine="567"/>
        <w:rPr>
          <w:rStyle w:val="Emphasis"/>
          <w:i w:val="0"/>
          <w:iCs w:val="0"/>
          <w:color w:val="000000" w:themeColor="text1"/>
          <w:szCs w:val="24"/>
          <w:bdr w:val="none" w:sz="0" w:space="0" w:color="auto" w:frame="1"/>
        </w:rPr>
      </w:pPr>
      <w:r w:rsidRPr="00884321">
        <w:rPr>
          <w:rStyle w:val="Emphasis"/>
          <w:i w:val="0"/>
          <w:iCs w:val="0"/>
          <w:color w:val="000000" w:themeColor="text1"/>
          <w:szCs w:val="24"/>
          <w:bdr w:val="none" w:sz="0" w:space="0" w:color="auto" w:frame="1"/>
        </w:rPr>
        <w:t>For ISiD, Operators of NPPs minimize the impact of initiating events, their likelihood of occurrence (if possible), and associated consequence of accidents, especially events leading to severe accidents that could result in a large release of radioactive materials. NPP Operators must organizationally institute a system for Risk Management which includes:</w:t>
      </w:r>
    </w:p>
    <w:p w14:paraId="4AB572B5" w14:textId="77777777" w:rsidR="00884321" w:rsidRPr="00421C11" w:rsidRDefault="00884321" w:rsidP="00AC768F">
      <w:pPr>
        <w:pStyle w:val="BodyText"/>
        <w:numPr>
          <w:ilvl w:val="0"/>
          <w:numId w:val="17"/>
        </w:numPr>
        <w:spacing w:after="120"/>
        <w:rPr>
          <w:rStyle w:val="Emphasis"/>
          <w:i w:val="0"/>
          <w:iCs w:val="0"/>
          <w:color w:val="000000" w:themeColor="text1"/>
          <w:szCs w:val="24"/>
          <w:bdr w:val="none" w:sz="0" w:space="0" w:color="auto" w:frame="1"/>
        </w:rPr>
      </w:pPr>
      <w:r w:rsidRPr="00421C11">
        <w:rPr>
          <w:rStyle w:val="Emphasis"/>
          <w:i w:val="0"/>
          <w:iCs w:val="0"/>
          <w:color w:val="000000" w:themeColor="text1"/>
          <w:szCs w:val="24"/>
          <w:bdr w:val="none" w:sz="0" w:space="0" w:color="auto" w:frame="1"/>
        </w:rPr>
        <w:t xml:space="preserve">Risk Analysis (which may use experts outside of the company) across all plant operating modes, </w:t>
      </w:r>
    </w:p>
    <w:p w14:paraId="2DFE6E62" w14:textId="77777777" w:rsidR="00884321" w:rsidRPr="003149DF" w:rsidRDefault="00884321" w:rsidP="00AC768F">
      <w:pPr>
        <w:pStyle w:val="ListParagraph"/>
        <w:numPr>
          <w:ilvl w:val="0"/>
          <w:numId w:val="17"/>
        </w:numPr>
        <w:snapToGrid w:val="0"/>
        <w:rPr>
          <w:rStyle w:val="Emphasis"/>
          <w:rFonts w:ascii="Times New Roman" w:hAnsi="Times New Roman" w:cs="Times New Roman"/>
          <w:i w:val="0"/>
          <w:iCs w:val="0"/>
          <w:color w:val="000000" w:themeColor="text1"/>
          <w:sz w:val="24"/>
          <w:szCs w:val="24"/>
          <w:bdr w:val="none" w:sz="0" w:space="0" w:color="auto" w:frame="1"/>
          <w:lang w:val="en-US"/>
        </w:rPr>
      </w:pPr>
      <w:r w:rsidRPr="003149DF">
        <w:rPr>
          <w:rStyle w:val="Emphasis"/>
          <w:rFonts w:ascii="Times New Roman" w:hAnsi="Times New Roman" w:cs="Times New Roman"/>
          <w:i w:val="0"/>
          <w:iCs w:val="0"/>
          <w:color w:val="000000" w:themeColor="text1"/>
          <w:sz w:val="24"/>
          <w:szCs w:val="24"/>
          <w:bdr w:val="none" w:sz="0" w:space="0" w:color="auto" w:frame="1"/>
          <w:lang w:val="en-US"/>
        </w:rPr>
        <w:t xml:space="preserve">Risk Evaluation and Internalization of Risk Results and Insights (which is internal to the NPP Operator with possible advice from external experts), </w:t>
      </w:r>
    </w:p>
    <w:p w14:paraId="14DD7D45" w14:textId="77777777" w:rsidR="00884321" w:rsidRPr="003149DF" w:rsidRDefault="00884321" w:rsidP="00AC768F">
      <w:pPr>
        <w:pStyle w:val="ListParagraph"/>
        <w:numPr>
          <w:ilvl w:val="0"/>
          <w:numId w:val="17"/>
        </w:numPr>
        <w:snapToGrid w:val="0"/>
        <w:rPr>
          <w:rStyle w:val="Emphasis"/>
          <w:rFonts w:ascii="Times New Roman" w:hAnsi="Times New Roman" w:cs="Times New Roman"/>
          <w:i w:val="0"/>
          <w:iCs w:val="0"/>
          <w:color w:val="000000" w:themeColor="text1"/>
          <w:sz w:val="24"/>
          <w:szCs w:val="24"/>
          <w:bdr w:val="none" w:sz="0" w:space="0" w:color="auto" w:frame="1"/>
          <w:lang w:val="en-US"/>
        </w:rPr>
      </w:pPr>
      <w:r w:rsidRPr="003149DF">
        <w:rPr>
          <w:rStyle w:val="Emphasis"/>
          <w:rFonts w:ascii="Times New Roman" w:hAnsi="Times New Roman" w:cs="Times New Roman"/>
          <w:i w:val="0"/>
          <w:iCs w:val="0"/>
          <w:color w:val="000000" w:themeColor="text1"/>
          <w:sz w:val="24"/>
          <w:szCs w:val="24"/>
          <w:bdr w:val="none" w:sz="0" w:space="0" w:color="auto" w:frame="1"/>
          <w:lang w:val="en-US"/>
        </w:rPr>
        <w:t xml:space="preserve">Risk Management actions development (internal to the NPP Operator), and </w:t>
      </w:r>
    </w:p>
    <w:p w14:paraId="101B877A" w14:textId="77777777" w:rsidR="00884321" w:rsidRPr="003149DF" w:rsidRDefault="00884321" w:rsidP="00AC768F">
      <w:pPr>
        <w:pStyle w:val="ListParagraph"/>
        <w:numPr>
          <w:ilvl w:val="0"/>
          <w:numId w:val="17"/>
        </w:numPr>
        <w:snapToGrid w:val="0"/>
        <w:rPr>
          <w:rStyle w:val="Emphasis"/>
          <w:rFonts w:ascii="Times New Roman" w:hAnsi="Times New Roman" w:cs="Times New Roman"/>
          <w:i w:val="0"/>
          <w:iCs w:val="0"/>
          <w:color w:val="000000" w:themeColor="text1"/>
          <w:sz w:val="24"/>
          <w:szCs w:val="24"/>
          <w:bdr w:val="none" w:sz="0" w:space="0" w:color="auto" w:frame="1"/>
          <w:lang w:val="en-US"/>
        </w:rPr>
      </w:pPr>
      <w:r w:rsidRPr="003149DF">
        <w:rPr>
          <w:rStyle w:val="Emphasis"/>
          <w:rFonts w:ascii="Times New Roman" w:hAnsi="Times New Roman" w:cs="Times New Roman"/>
          <w:i w:val="0"/>
          <w:iCs w:val="0"/>
          <w:color w:val="000000" w:themeColor="text1"/>
          <w:sz w:val="24"/>
          <w:szCs w:val="24"/>
          <w:bdr w:val="none" w:sz="0" w:space="0" w:color="auto" w:frame="1"/>
          <w:lang w:val="en-US"/>
        </w:rPr>
        <w:lastRenderedPageBreak/>
        <w:t xml:space="preserve">Risk Management action implementation (internal to the NPP Operator), where appropriate, including timely decision-making, management notification criteria, timely activation of onsite emergency management and timely communication with public authorities for offsite emergency management. </w:t>
      </w:r>
    </w:p>
    <w:p w14:paraId="0B290AC5" w14:textId="77777777" w:rsidR="00884321" w:rsidRPr="00421C11" w:rsidRDefault="00884321" w:rsidP="003149DF">
      <w:pPr>
        <w:pStyle w:val="BodyText"/>
        <w:spacing w:after="120"/>
        <w:ind w:firstLine="567"/>
        <w:rPr>
          <w:rStyle w:val="Emphasis"/>
          <w:i w:val="0"/>
          <w:iCs w:val="0"/>
          <w:color w:val="000000" w:themeColor="text1"/>
          <w:szCs w:val="24"/>
          <w:bdr w:val="none" w:sz="0" w:space="0" w:color="auto" w:frame="1"/>
        </w:rPr>
      </w:pPr>
      <w:r w:rsidRPr="00421C11">
        <w:rPr>
          <w:rStyle w:val="Emphasis"/>
          <w:i w:val="0"/>
          <w:iCs w:val="0"/>
          <w:color w:val="000000" w:themeColor="text1"/>
          <w:szCs w:val="24"/>
          <w:bdr w:val="none" w:sz="0" w:space="0" w:color="auto" w:frame="1"/>
        </w:rPr>
        <w:t xml:space="preserve">The above is intended to provide information and timing of initial actions immediately after an event and to provide actions to mitigate consequences. These actions are time based depending on the severity of the event and the accident progression as it relates to nuclear safety design and operational parameters. </w:t>
      </w:r>
    </w:p>
    <w:p w14:paraId="408EEAED" w14:textId="77777777" w:rsidR="00884321" w:rsidRPr="00421C11" w:rsidRDefault="00884321" w:rsidP="003149DF">
      <w:pPr>
        <w:pStyle w:val="BodyText"/>
        <w:spacing w:after="120"/>
        <w:ind w:firstLine="567"/>
        <w:rPr>
          <w:rStyle w:val="Emphasis"/>
          <w:i w:val="0"/>
          <w:iCs w:val="0"/>
          <w:color w:val="000000" w:themeColor="text1"/>
          <w:szCs w:val="24"/>
          <w:bdr w:val="none" w:sz="0" w:space="0" w:color="auto" w:frame="1"/>
        </w:rPr>
      </w:pPr>
      <w:r w:rsidRPr="00421C11">
        <w:rPr>
          <w:rStyle w:val="Emphasis"/>
          <w:i w:val="0"/>
          <w:iCs w:val="0"/>
          <w:color w:val="000000" w:themeColor="text1"/>
          <w:szCs w:val="24"/>
          <w:bdr w:val="none" w:sz="0" w:space="0" w:color="auto" w:frame="1"/>
        </w:rPr>
        <w:t xml:space="preserve">Details of these risk management system including organizational settings is discussed in Section 3.9. </w:t>
      </w:r>
    </w:p>
    <w:p w14:paraId="743A5854" w14:textId="5BE60125" w:rsidR="00884321" w:rsidRPr="00421C11" w:rsidRDefault="00884321" w:rsidP="003149DF">
      <w:pPr>
        <w:pStyle w:val="BodyText"/>
        <w:spacing w:after="120"/>
        <w:ind w:firstLine="567"/>
        <w:rPr>
          <w:rStyle w:val="Emphasis"/>
          <w:i w:val="0"/>
          <w:iCs w:val="0"/>
          <w:color w:val="000000" w:themeColor="text1"/>
          <w:szCs w:val="24"/>
          <w:bdr w:val="none" w:sz="0" w:space="0" w:color="auto" w:frame="1"/>
        </w:rPr>
      </w:pPr>
      <w:r w:rsidRPr="00421C11">
        <w:rPr>
          <w:rStyle w:val="Emphasis"/>
          <w:i w:val="0"/>
          <w:iCs w:val="0"/>
          <w:color w:val="000000" w:themeColor="text1"/>
          <w:szCs w:val="24"/>
          <w:bdr w:val="none" w:sz="0" w:space="0" w:color="auto" w:frame="1"/>
        </w:rPr>
        <w:t xml:space="preserve">Very often, Crisis Management is considered a part of Risk Management after the occurrence of an event leading to accident conditions based on the timing of organizational actions (immediate responses, diagnosis, entry into abnormal and emergency procedures, etc.). Crisis Management includes an institutionalized systems for Command and Control, Collect and use operational information, identification and knowledge of accident progression, and execution of coordinated actions and activities both internal and external to the NPP Operator. Success has its basis on such competences as knowledge of key characteristics of the accident (such as decay heat levels, reactor/containment parameters, land contamination, and other emergency actions), sensitivity to alarming signals and precursors followed by sharing of alarming </w:t>
      </w:r>
      <w:r w:rsidR="00EA02F0">
        <w:rPr>
          <w:rFonts w:ascii="Helvetica Neue" w:hAnsi="Helvetica Neue" w:cs="Arial"/>
          <w:iCs/>
          <w:color w:val="000000" w:themeColor="text1"/>
          <w:bdr w:val="none" w:sz="0" w:space="0" w:color="auto" w:frame="1"/>
        </w:rPr>
        <w:t>information</w:t>
      </w:r>
      <w:r w:rsidR="00EA02F0">
        <w:rPr>
          <w:rStyle w:val="FootnoteReference"/>
          <w:rFonts w:ascii="Helvetica Neue" w:hAnsi="Helvetica Neue" w:cs="Arial"/>
          <w:iCs/>
          <w:color w:val="000000" w:themeColor="text1"/>
          <w:bdr w:val="none" w:sz="0" w:space="0" w:color="auto" w:frame="1"/>
        </w:rPr>
        <w:footnoteReference w:id="8"/>
      </w:r>
      <w:r w:rsidR="00EA02F0">
        <w:rPr>
          <w:rFonts w:ascii="Helvetica Neue" w:hAnsi="Helvetica Neue" w:cs="Arial"/>
          <w:iCs/>
          <w:color w:val="000000" w:themeColor="text1"/>
          <w:bdr w:val="none" w:sz="0" w:space="0" w:color="auto" w:frame="1"/>
        </w:rPr>
        <w:t xml:space="preserve">, </w:t>
      </w:r>
      <w:r w:rsidRPr="00421C11">
        <w:rPr>
          <w:rStyle w:val="Emphasis"/>
          <w:i w:val="0"/>
          <w:iCs w:val="0"/>
          <w:color w:val="000000" w:themeColor="text1"/>
          <w:szCs w:val="24"/>
          <w:bdr w:val="none" w:sz="0" w:space="0" w:color="auto" w:frame="1"/>
        </w:rPr>
        <w:t xml:space="preserve">decision-making authority during and after the event, roles and responsibilities (legal framework), communications and contingencies to use all available </w:t>
      </w:r>
      <w:r w:rsidR="00EF053B" w:rsidRPr="00EC4B43">
        <w:rPr>
          <w:rFonts w:ascii="Helvetica Neue" w:hAnsi="Helvetica Neue" w:cs="Arial"/>
          <w:iCs/>
          <w:color w:val="000000" w:themeColor="text1"/>
          <w:bdr w:val="none" w:sz="0" w:space="0" w:color="auto" w:frame="1"/>
        </w:rPr>
        <w:t>resources</w:t>
      </w:r>
      <w:r w:rsidR="00EF053B">
        <w:rPr>
          <w:rStyle w:val="FootnoteReference"/>
          <w:rFonts w:ascii="Helvetica Neue" w:hAnsi="Helvetica Neue" w:cs="Arial"/>
          <w:iCs/>
          <w:color w:val="000000" w:themeColor="text1"/>
          <w:bdr w:val="none" w:sz="0" w:space="0" w:color="auto" w:frame="1"/>
        </w:rPr>
        <w:footnoteReference w:id="9"/>
      </w:r>
      <w:r w:rsidR="00EF053B" w:rsidRPr="00EC4B43">
        <w:rPr>
          <w:rFonts w:ascii="Helvetica Neue" w:hAnsi="Helvetica Neue" w:cs="Arial"/>
          <w:iCs/>
          <w:color w:val="000000" w:themeColor="text1"/>
          <w:bdr w:val="none" w:sz="0" w:space="0" w:color="auto" w:frame="1"/>
        </w:rPr>
        <w:t xml:space="preserve"> </w:t>
      </w:r>
      <w:r w:rsidRPr="00421C11">
        <w:rPr>
          <w:rStyle w:val="Emphasis"/>
          <w:i w:val="0"/>
          <w:iCs w:val="0"/>
          <w:color w:val="000000" w:themeColor="text1"/>
          <w:szCs w:val="24"/>
          <w:bdr w:val="none" w:sz="0" w:space="0" w:color="auto" w:frame="1"/>
        </w:rPr>
        <w:t>both onsite and offsite, including multi-organizational leadership and teamwork exercises.</w:t>
      </w:r>
    </w:p>
    <w:p w14:paraId="784DC85B" w14:textId="77777777" w:rsidR="008E029A" w:rsidRPr="00884321" w:rsidRDefault="008E029A" w:rsidP="008E029A">
      <w:pPr>
        <w:snapToGrid w:val="0"/>
        <w:rPr>
          <w:rStyle w:val="Emphasis"/>
          <w:i w:val="0"/>
          <w:color w:val="111111"/>
          <w:bdr w:val="none" w:sz="0" w:space="0" w:color="auto" w:frame="1"/>
          <w:lang w:val="en-US"/>
        </w:rPr>
      </w:pPr>
    </w:p>
    <w:p w14:paraId="5B0C3395" w14:textId="62E8E995" w:rsidR="008E029A" w:rsidRPr="00FF0A3F" w:rsidRDefault="008E029A" w:rsidP="009E2BCD">
      <w:pPr>
        <w:pStyle w:val="Heading3"/>
        <w:rPr>
          <w:rStyle w:val="Emphasis"/>
          <w:i w:val="0"/>
          <w:color w:val="111111"/>
          <w:bdr w:val="none" w:sz="0" w:space="0" w:color="auto" w:frame="1"/>
        </w:rPr>
      </w:pPr>
      <w:bookmarkStart w:id="898" w:name="_Toc87627672"/>
      <w:r w:rsidRPr="00FF0A3F">
        <w:rPr>
          <w:rStyle w:val="Emphasis"/>
          <w:i w:val="0"/>
          <w:color w:val="111111"/>
          <w:bdr w:val="none" w:sz="0" w:space="0" w:color="auto" w:frame="1"/>
        </w:rPr>
        <w:t>Other competences</w:t>
      </w:r>
      <w:bookmarkEnd w:id="898"/>
    </w:p>
    <w:p w14:paraId="4F9621DD" w14:textId="77777777" w:rsidR="00C91BD1" w:rsidRPr="00C91BD1" w:rsidRDefault="00C91BD1" w:rsidP="00C91BD1">
      <w:pPr>
        <w:pStyle w:val="BodyText"/>
        <w:spacing w:after="120"/>
        <w:ind w:firstLine="567"/>
        <w:rPr>
          <w:rFonts w:eastAsiaTheme="minorEastAsia"/>
          <w:color w:val="000000"/>
          <w:szCs w:val="24"/>
          <w:lang w:eastAsia="ja-JP"/>
        </w:rPr>
      </w:pPr>
      <w:r w:rsidRPr="00C91BD1">
        <w:rPr>
          <w:rFonts w:eastAsiaTheme="minorEastAsia"/>
          <w:color w:val="000000"/>
          <w:szCs w:val="24"/>
          <w:lang w:eastAsia="ja-JP"/>
        </w:rPr>
        <w:t xml:space="preserve">Engineers and Scientists at NPPs are trained and educated with disciplines of science and technology but typically have limited formal education on such disciples as economics, law, psychology, sociology and communication.   </w:t>
      </w:r>
    </w:p>
    <w:p w14:paraId="4D9E0C0D" w14:textId="23C5E88C" w:rsidR="00C91BD1" w:rsidRPr="00C91BD1" w:rsidRDefault="00C91BD1" w:rsidP="00C91BD1">
      <w:pPr>
        <w:pStyle w:val="BodyText"/>
        <w:spacing w:after="120"/>
        <w:ind w:firstLine="567"/>
        <w:rPr>
          <w:rFonts w:eastAsiaTheme="minorEastAsia"/>
          <w:color w:val="000000"/>
          <w:szCs w:val="24"/>
          <w:lang w:eastAsia="ja-JP"/>
        </w:rPr>
      </w:pPr>
      <w:r w:rsidRPr="00C91BD1">
        <w:rPr>
          <w:rFonts w:eastAsiaTheme="minorEastAsia"/>
          <w:color w:val="000000"/>
          <w:szCs w:val="24"/>
          <w:lang w:eastAsia="ja-JP"/>
        </w:rPr>
        <w:t xml:space="preserve">Nevertheless, management of NPPs in today’s environment requires competence in systematic management of complex social and technical systems, with extensive interfaces with outside. Rather than starting to learn disciplines other than science/engineering when he/she took highly managerial position, institutionalizing a “technology management” training system will help extension of competence to non-technical areas. Some universities even formulated, under the support of the IAEA, International Nuclear Management Academy (INMA) for universities that provide master’s degree programmes focusing on management </w:t>
      </w:r>
      <w:r w:rsidRPr="00C91BD1">
        <w:rPr>
          <w:rFonts w:eastAsiaTheme="minorEastAsia"/>
          <w:color w:val="000000"/>
          <w:szCs w:val="24"/>
          <w:lang w:eastAsia="ja-JP"/>
        </w:rPr>
        <w:lastRenderedPageBreak/>
        <w:t>for the nuclear and radiological sectors. (NE Series NG-T-6.12, “INMA’S programmes in Nuclear Technology Management”</w:t>
      </w:r>
      <w:r w:rsidR="00480244">
        <w:rPr>
          <w:rFonts w:eastAsiaTheme="minorEastAsia"/>
          <w:color w:val="000000"/>
          <w:szCs w:val="24"/>
          <w:lang w:eastAsia="ja-JP"/>
        </w:rPr>
        <w:t xml:space="preserve"> </w:t>
      </w:r>
      <w:r w:rsidR="00480244">
        <w:rPr>
          <w:rFonts w:eastAsiaTheme="minorEastAsia"/>
          <w:color w:val="000000"/>
          <w:szCs w:val="24"/>
          <w:lang w:eastAsia="ja-JP"/>
        </w:rPr>
        <w:fldChar w:fldCharType="begin"/>
      </w:r>
      <w:r w:rsidR="00142662">
        <w:rPr>
          <w:rFonts w:eastAsiaTheme="minorEastAsia"/>
          <w:color w:val="000000"/>
          <w:szCs w:val="24"/>
          <w:lang w:eastAsia="ja-JP"/>
        </w:rPr>
        <w:instrText xml:space="preserve"> ADDIN ZOTERO_ITEM CSL_CITATION {"citationID":"Db4NMZNL","properties":{"formattedCitation":"[29]","plainCitation":"[29]","noteIndex":0},"citationItems":[{"id":1092,"uris":["http://zotero.org/users/6184040/items/GXBDHSND"],"uri":["http://zotero.org/users/6184040/items/GXBDHSND"],"itemData":{"id":1092,"type":"book","collection-number":"NG-T-6.12","collection-title":"Nuclear Energy Series","event-place":"Vienna","ISBN":"978-92-0-107217-7","publisher":"INTERNATIONAL ATOMIC ENERGY AGENCY","publisher-place":"Vienna","title":"International Nuclear Management Academy Master’s Programmes in Nuclear Technology Management","URL":"https://www.iaea.org/publications/12196/international-nuclear-management-academy-masters-programmes-in-nuclear-technology-management","issued":{"date-parts":[["2020"]]}}}],"schema":"https://github.com/citation-style-language/schema/raw/master/csl-citation.json"} </w:instrText>
      </w:r>
      <w:r w:rsidR="00480244">
        <w:rPr>
          <w:rFonts w:eastAsiaTheme="minorEastAsia"/>
          <w:color w:val="000000"/>
          <w:szCs w:val="24"/>
          <w:lang w:eastAsia="ja-JP"/>
        </w:rPr>
        <w:fldChar w:fldCharType="separate"/>
      </w:r>
      <w:r w:rsidR="00142662" w:rsidRPr="00142662">
        <w:rPr>
          <w:rFonts w:eastAsiaTheme="minorEastAsia"/>
        </w:rPr>
        <w:t>[29]</w:t>
      </w:r>
      <w:r w:rsidR="00480244">
        <w:rPr>
          <w:rFonts w:eastAsiaTheme="minorEastAsia"/>
          <w:color w:val="000000"/>
          <w:szCs w:val="24"/>
          <w:lang w:eastAsia="ja-JP"/>
        </w:rPr>
        <w:fldChar w:fldCharType="end"/>
      </w:r>
      <w:r w:rsidRPr="00C91BD1">
        <w:rPr>
          <w:rFonts w:eastAsiaTheme="minorEastAsia"/>
          <w:color w:val="000000"/>
          <w:szCs w:val="24"/>
          <w:lang w:eastAsia="ja-JP"/>
        </w:rPr>
        <w:t>) It is expected that INMA becomes accessible to currently employed nuclear professionals by distance learning or by short courses.</w:t>
      </w:r>
    </w:p>
    <w:p w14:paraId="56C61F7A" w14:textId="77777777" w:rsidR="00276F6C" w:rsidRDefault="00276F6C" w:rsidP="005205DB">
      <w:pPr>
        <w:pStyle w:val="Default"/>
        <w:ind w:firstLine="720"/>
        <w:jc w:val="both"/>
      </w:pPr>
    </w:p>
    <w:p w14:paraId="414B0A61" w14:textId="6C129929" w:rsidR="00276F6C" w:rsidRPr="000C28B9" w:rsidRDefault="0F0BDE2F" w:rsidP="009E2BCD">
      <w:pPr>
        <w:pStyle w:val="Heading2"/>
      </w:pPr>
      <w:bookmarkStart w:id="899" w:name="_Toc87627673"/>
      <w:r>
        <w:t>(</w:t>
      </w:r>
      <w:r w:rsidR="13E40FC4">
        <w:t>Effective</w:t>
      </w:r>
      <w:r>
        <w:t>)</w:t>
      </w:r>
      <w:r w:rsidR="13E40FC4">
        <w:t xml:space="preserve"> </w:t>
      </w:r>
      <w:r w:rsidR="3325DEFE">
        <w:t>d</w:t>
      </w:r>
      <w:r w:rsidR="78C768DE">
        <w:t>ecision-</w:t>
      </w:r>
      <w:r w:rsidR="3325DEFE">
        <w:t>m</w:t>
      </w:r>
      <w:r w:rsidR="78C768DE">
        <w:t>aking</w:t>
      </w:r>
      <w:bookmarkEnd w:id="899"/>
    </w:p>
    <w:p w14:paraId="4350CAC9" w14:textId="4D6940D4" w:rsidR="009E3FBB" w:rsidRPr="009E3FBB" w:rsidRDefault="009E3FBB" w:rsidP="009E3FBB">
      <w:pPr>
        <w:pStyle w:val="BodyText"/>
        <w:spacing w:after="120"/>
        <w:ind w:firstLine="567"/>
      </w:pPr>
      <w:r w:rsidRPr="009E3FBB">
        <w:t>Safety of a NPP depends on sound decisions, be it about design, procedure, emergency action or else; examples of critical decisions pertaining to the Fukushima</w:t>
      </w:r>
      <w:r w:rsidR="00FF7F8D">
        <w:t xml:space="preserve"> </w:t>
      </w:r>
      <w:r w:rsidRPr="009E3FBB">
        <w:t xml:space="preserve">Daiichi </w:t>
      </w:r>
      <w:r w:rsidR="00FF7F8D">
        <w:t>A</w:t>
      </w:r>
      <w:r w:rsidRPr="009E3FBB">
        <w:t>ccident include locating electrical equipment room and Emergency DGs below the ground level, and stopping operation of the Isolation Condenser at Unit 1 etc..</w:t>
      </w:r>
    </w:p>
    <w:p w14:paraId="3D0F0F6C" w14:textId="77777777" w:rsidR="00276F6C" w:rsidRPr="000C28B9" w:rsidRDefault="00276F6C" w:rsidP="009E2BCD">
      <w:pPr>
        <w:pStyle w:val="Heading3"/>
      </w:pPr>
      <w:bookmarkStart w:id="900" w:name="_Toc87627674"/>
      <w:r w:rsidRPr="00D13F25">
        <w:t>De</w:t>
      </w:r>
      <w:r w:rsidRPr="002A5F1B">
        <w:rPr>
          <w:rStyle w:val="Emphasis"/>
          <w:i w:val="0"/>
        </w:rPr>
        <w:t>cision</w:t>
      </w:r>
      <w:r w:rsidRPr="00AD5053">
        <w:rPr>
          <w:rStyle w:val="Emphasis"/>
          <w:color w:val="000000" w:themeColor="text1"/>
        </w:rPr>
        <w:t>-</w:t>
      </w:r>
      <w:r w:rsidRPr="002A5F1B">
        <w:rPr>
          <w:rStyle w:val="Emphasis"/>
          <w:i w:val="0"/>
        </w:rPr>
        <w:t>making</w:t>
      </w:r>
      <w:r w:rsidRPr="00AD5053">
        <w:rPr>
          <w:rStyle w:val="Emphasis"/>
          <w:color w:val="000000" w:themeColor="text1"/>
        </w:rPr>
        <w:t xml:space="preserve"> </w:t>
      </w:r>
      <w:r w:rsidRPr="002A5F1B">
        <w:rPr>
          <w:rStyle w:val="Emphasis"/>
          <w:i w:val="0"/>
        </w:rPr>
        <w:t>syst</w:t>
      </w:r>
      <w:r w:rsidRPr="002A5F1B">
        <w:t>em</w:t>
      </w:r>
      <w:bookmarkEnd w:id="900"/>
    </w:p>
    <w:p w14:paraId="68FF3A49" w14:textId="469C49D4" w:rsidR="002A6BBA" w:rsidRPr="002A6BBA" w:rsidRDefault="002A6BBA" w:rsidP="002A6BBA">
      <w:pPr>
        <w:pStyle w:val="BodyText"/>
        <w:spacing w:after="120"/>
        <w:ind w:firstLine="567"/>
        <w:rPr>
          <w:szCs w:val="24"/>
        </w:rPr>
      </w:pPr>
      <w:r w:rsidRPr="002A6BBA">
        <w:rPr>
          <w:szCs w:val="24"/>
        </w:rPr>
        <w:t>Who and how are important for this system:</w:t>
      </w:r>
    </w:p>
    <w:p w14:paraId="226BE281" w14:textId="77777777" w:rsidR="002A6BBA" w:rsidRPr="002A6BBA" w:rsidRDefault="002A6BBA" w:rsidP="00AC768F">
      <w:pPr>
        <w:pStyle w:val="ListParagraph"/>
        <w:numPr>
          <w:ilvl w:val="0"/>
          <w:numId w:val="18"/>
        </w:numPr>
        <w:overflowPunct/>
        <w:autoSpaceDE/>
        <w:autoSpaceDN/>
        <w:adjustRightInd/>
        <w:spacing w:after="0" w:line="240" w:lineRule="auto"/>
        <w:contextualSpacing w:val="0"/>
        <w:jc w:val="left"/>
        <w:textAlignment w:val="auto"/>
        <w:rPr>
          <w:rFonts w:ascii="Times New Roman" w:hAnsi="Times New Roman" w:cs="Times New Roman"/>
          <w:sz w:val="24"/>
          <w:szCs w:val="24"/>
        </w:rPr>
      </w:pPr>
      <w:r w:rsidRPr="002A6BBA">
        <w:rPr>
          <w:rFonts w:ascii="Times New Roman" w:hAnsi="Times New Roman" w:cs="Times New Roman"/>
          <w:sz w:val="24"/>
          <w:szCs w:val="24"/>
        </w:rPr>
        <w:t>Before deliberation (</w:t>
      </w:r>
      <w:r w:rsidRPr="002A6BBA">
        <w:rPr>
          <w:rFonts w:ascii="Times New Roman" w:hAnsi="Times New Roman" w:cs="Times New Roman"/>
          <w:i/>
          <w:sz w:val="24"/>
          <w:szCs w:val="24"/>
        </w:rPr>
        <w:t>who</w:t>
      </w:r>
      <w:r w:rsidRPr="002A6BBA">
        <w:rPr>
          <w:rFonts w:ascii="Times New Roman" w:hAnsi="Times New Roman" w:cs="Times New Roman"/>
          <w:sz w:val="24"/>
          <w:szCs w:val="24"/>
        </w:rPr>
        <w:t>): define constituencies, namely who to include in decision group vertically (along the line of hierarchy) and horizontally (across the different disciplinary areas) for competency and avoiding silo</w:t>
      </w:r>
    </w:p>
    <w:p w14:paraId="1FDD3C7E" w14:textId="77777777" w:rsidR="002A6BBA" w:rsidRPr="002A6BBA" w:rsidRDefault="002A6BBA" w:rsidP="00AC768F">
      <w:pPr>
        <w:pStyle w:val="ListParagraph"/>
        <w:numPr>
          <w:ilvl w:val="0"/>
          <w:numId w:val="18"/>
        </w:numPr>
        <w:overflowPunct/>
        <w:autoSpaceDE/>
        <w:autoSpaceDN/>
        <w:adjustRightInd/>
        <w:spacing w:after="0" w:line="240" w:lineRule="auto"/>
        <w:contextualSpacing w:val="0"/>
        <w:jc w:val="left"/>
        <w:textAlignment w:val="auto"/>
        <w:rPr>
          <w:rFonts w:ascii="Times New Roman" w:hAnsi="Times New Roman" w:cs="Times New Roman"/>
          <w:sz w:val="24"/>
          <w:szCs w:val="24"/>
        </w:rPr>
      </w:pPr>
      <w:r w:rsidRPr="002A6BBA">
        <w:rPr>
          <w:rFonts w:ascii="Times New Roman" w:hAnsi="Times New Roman" w:cs="Times New Roman"/>
          <w:sz w:val="24"/>
          <w:szCs w:val="24"/>
        </w:rPr>
        <w:t>Process (</w:t>
      </w:r>
      <w:r w:rsidRPr="002A6BBA">
        <w:rPr>
          <w:rFonts w:ascii="Times New Roman" w:hAnsi="Times New Roman" w:cs="Times New Roman"/>
          <w:i/>
          <w:sz w:val="24"/>
          <w:szCs w:val="24"/>
        </w:rPr>
        <w:t>how</w:t>
      </w:r>
      <w:r w:rsidRPr="002A6BBA">
        <w:rPr>
          <w:rFonts w:ascii="Times New Roman" w:hAnsi="Times New Roman" w:cs="Times New Roman"/>
          <w:sz w:val="24"/>
          <w:szCs w:val="24"/>
        </w:rPr>
        <w:t>): define problem and approach (top-down or bottom-up), establish the goal and weighted decision criteria, collect information, evaluate options, and recording</w:t>
      </w:r>
    </w:p>
    <w:p w14:paraId="05666825" w14:textId="77777777" w:rsidR="002A6BBA" w:rsidRPr="00AF1A1A" w:rsidRDefault="002A6BBA" w:rsidP="002A6BBA">
      <w:pPr>
        <w:pStyle w:val="ListParagraph"/>
        <w:ind w:left="780"/>
        <w:rPr>
          <w:rStyle w:val="Emphasis"/>
          <w:rFonts w:ascii="Helvetica Neue" w:hAnsi="Helvetica Neue" w:cs="Arial"/>
          <w:bCs/>
          <w:i w:val="0"/>
          <w:iCs w:val="0"/>
          <w:color w:val="000000" w:themeColor="text1"/>
        </w:rPr>
      </w:pPr>
    </w:p>
    <w:p w14:paraId="059DE225" w14:textId="77777777" w:rsidR="00276F6C" w:rsidRPr="000C28B9" w:rsidRDefault="00276F6C" w:rsidP="00276F6C">
      <w:r w:rsidRPr="000C28B9">
        <w:t>Building decision-making competency</w:t>
      </w:r>
    </w:p>
    <w:p w14:paraId="6DE9CAAC" w14:textId="4884493D" w:rsidR="00694B23" w:rsidRDefault="00694B23" w:rsidP="008F37C6">
      <w:pPr>
        <w:pStyle w:val="BodyText"/>
        <w:spacing w:after="120"/>
        <w:ind w:firstLine="567"/>
        <w:rPr>
          <w:rFonts w:eastAsia="MS PGothic"/>
          <w:szCs w:val="24"/>
          <w:lang w:eastAsia="ja-JP"/>
        </w:rPr>
      </w:pPr>
      <w:r w:rsidRPr="00694B23">
        <w:rPr>
          <w:rFonts w:eastAsia="MS PGothic"/>
          <w:color w:val="2E2E2E"/>
          <w:szCs w:val="24"/>
          <w:lang w:eastAsia="ja-JP"/>
        </w:rPr>
        <w:t>In a decision-making process, any organization, group or individual cannot escape from limitation of available experience and information (including those from external advisors) usable for decision, from cognitive bias</w:t>
      </w:r>
      <w:r>
        <w:rPr>
          <w:rFonts w:eastAsia="MS PGothic"/>
          <w:color w:val="2E2E2E"/>
          <w:szCs w:val="24"/>
          <w:lang w:eastAsia="ja-JP"/>
        </w:rPr>
        <w:t xml:space="preserve"> </w:t>
      </w:r>
      <w:r w:rsidRPr="00694B23">
        <w:rPr>
          <w:rFonts w:eastAsia="MS PGothic"/>
          <w:szCs w:val="24"/>
          <w:lang w:eastAsia="ja-JP"/>
        </w:rPr>
        <w:t xml:space="preserve">(organizational and cultural), </w:t>
      </w:r>
      <w:r w:rsidRPr="00694B23">
        <w:rPr>
          <w:rFonts w:eastAsia="MS PGothic"/>
          <w:color w:val="2E2E2E"/>
          <w:szCs w:val="24"/>
          <w:lang w:eastAsia="ja-JP"/>
        </w:rPr>
        <w:t xml:space="preserve">from time pressure, from emotion, from short-sightedness, from various constraints (political, societal, financial) etc. Training of decision-making tool such as Delphi method for consensus building, of critical thinking, of </w:t>
      </w:r>
      <w:r w:rsidRPr="00694B23">
        <w:rPr>
          <w:rFonts w:eastAsia="MS PGothic"/>
          <w:szCs w:val="24"/>
          <w:lang w:eastAsia="ja-JP"/>
        </w:rPr>
        <w:t>tolerance/strength to listen to a variety of alternative views will support improvement of competency in this area. Further, decision analysis would assist competence building by use of an analytical method such as MCDA (Multi Criteria Decision Analysis) or AHP (Analytic Hierarchy Process).</w:t>
      </w:r>
    </w:p>
    <w:p w14:paraId="25690227" w14:textId="77777777" w:rsidR="00694B23" w:rsidRPr="00694B23" w:rsidRDefault="00694B23" w:rsidP="00694B23">
      <w:pPr>
        <w:overflowPunct/>
        <w:autoSpaceDE/>
        <w:autoSpaceDN/>
        <w:adjustRightInd/>
        <w:spacing w:after="0"/>
        <w:ind w:firstLineChars="150" w:firstLine="360"/>
        <w:jc w:val="left"/>
        <w:textAlignment w:val="auto"/>
        <w:rPr>
          <w:rFonts w:eastAsia="MS PGothic"/>
          <w:szCs w:val="24"/>
          <w:lang w:val="en-US" w:eastAsia="ja-JP"/>
        </w:rPr>
      </w:pPr>
    </w:p>
    <w:p w14:paraId="44C92B83" w14:textId="77777777" w:rsidR="00276F6C" w:rsidRPr="000C28B9" w:rsidRDefault="00276F6C" w:rsidP="00276F6C">
      <w:r w:rsidRPr="000C28B9">
        <w:t>Value-impact aspect</w:t>
      </w:r>
    </w:p>
    <w:p w14:paraId="1EF9B0FF" w14:textId="5113344C" w:rsidR="00CF3086" w:rsidRPr="00CF3086" w:rsidRDefault="00CF3086" w:rsidP="00CF3086">
      <w:pPr>
        <w:pStyle w:val="BodyText"/>
        <w:spacing w:after="120"/>
        <w:ind w:firstLine="567"/>
        <w:rPr>
          <w:rFonts w:eastAsia="MS PGothic"/>
          <w:szCs w:val="24"/>
          <w:lang w:eastAsia="ja-JP"/>
        </w:rPr>
      </w:pPr>
      <w:r w:rsidRPr="00CF3086">
        <w:rPr>
          <w:rFonts w:eastAsia="MS PGothic"/>
          <w:szCs w:val="24"/>
          <w:lang w:eastAsia="ja-JP"/>
        </w:rPr>
        <w:t>One of the important elements for consideration in decision-making is value vs. impact aspect, in which value is expected benefit such as risk reduction or performance improvement and impact is typically an investment to obtain the benefit or adverse effect such as on equipment availability, safety, but not limited to. Value vs. impact covers wider issues than cost vs. benefit. For example, stopping operation of isotope production reactor</w:t>
      </w:r>
      <w:r w:rsidR="00F31708">
        <w:rPr>
          <w:rFonts w:eastAsia="MS PGothic"/>
          <w:szCs w:val="24"/>
          <w:lang w:eastAsia="ja-JP"/>
        </w:rPr>
        <w:t xml:space="preserve"> </w:t>
      </w:r>
      <w:r w:rsidR="00F31708">
        <w:rPr>
          <w:rFonts w:eastAsia="MS PGothic"/>
          <w:szCs w:val="24"/>
          <w:lang w:eastAsia="ja-JP"/>
        </w:rPr>
        <w:fldChar w:fldCharType="begin"/>
      </w:r>
      <w:r w:rsidR="00142662">
        <w:rPr>
          <w:rFonts w:eastAsia="MS PGothic"/>
          <w:szCs w:val="24"/>
          <w:lang w:eastAsia="ja-JP"/>
        </w:rPr>
        <w:instrText xml:space="preserve"> ADDIN ZOTERO_ITEM CSL_CITATION {"citationID":"ZoSIveKi","properties":{"formattedCitation":"[30]","plainCitation":"[30]","noteIndex":0},"citationItems":[{"id":1093,"uris":["http://zotero.org/users/6184040/items/X58N5FFX"],"uri":["http://zotero.org/users/6184040/items/X58N5FFX"],"itemData":{"id":1093,"type":"post-weblog","container-title":"IPFM BLOG","title":"NRU reactor at Chalk River Labs shut down for repairs","author":[{"literal":"International Panel on Fissile Materials"}],"issued":{"date-parts":[["2009",5,15]]}}}],"schema":"https://github.com/citation-style-language/schema/raw/master/csl-citation.json"} </w:instrText>
      </w:r>
      <w:r w:rsidR="00F31708">
        <w:rPr>
          <w:rFonts w:eastAsia="MS PGothic"/>
          <w:szCs w:val="24"/>
          <w:lang w:eastAsia="ja-JP"/>
        </w:rPr>
        <w:fldChar w:fldCharType="separate"/>
      </w:r>
      <w:r w:rsidR="00142662" w:rsidRPr="00142662">
        <w:rPr>
          <w:rFonts w:eastAsia="MS PGothic"/>
        </w:rPr>
        <w:t>[30]</w:t>
      </w:r>
      <w:r w:rsidR="00F31708">
        <w:rPr>
          <w:rFonts w:eastAsia="MS PGothic"/>
          <w:szCs w:val="24"/>
          <w:lang w:eastAsia="ja-JP"/>
        </w:rPr>
        <w:fldChar w:fldCharType="end"/>
      </w:r>
      <w:r w:rsidRPr="00CF3086">
        <w:rPr>
          <w:rFonts w:eastAsia="MS PGothic"/>
          <w:szCs w:val="24"/>
          <w:lang w:eastAsia="ja-JP"/>
        </w:rPr>
        <w:t xml:space="preserve"> due to concern over safety (value in risk reduction) may contradict with shortage of supply of medical isotope (impact in overall health).</w:t>
      </w:r>
    </w:p>
    <w:p w14:paraId="62932E81" w14:textId="77777777" w:rsidR="00276F6C" w:rsidRPr="008C3241" w:rsidRDefault="00276F6C" w:rsidP="008C3241">
      <w:pPr>
        <w:pStyle w:val="BodyText"/>
        <w:spacing w:after="120"/>
        <w:ind w:firstLine="567"/>
        <w:rPr>
          <w:rStyle w:val="apple-converted-space"/>
          <w:shd w:val="clear" w:color="auto" w:fill="FFFFFF"/>
        </w:rPr>
      </w:pPr>
    </w:p>
    <w:p w14:paraId="436BF1E4" w14:textId="5685F59A" w:rsidR="00276F6C" w:rsidRPr="00614606" w:rsidRDefault="00276F6C" w:rsidP="009E2BCD">
      <w:pPr>
        <w:pStyle w:val="Heading3"/>
      </w:pPr>
      <w:bookmarkStart w:id="901" w:name="_Toc87627675"/>
      <w:r w:rsidRPr="00614606">
        <w:t xml:space="preserve">Consideration of </w:t>
      </w:r>
      <w:r w:rsidR="00880A90" w:rsidRPr="00614606">
        <w:t>D</w:t>
      </w:r>
      <w:r w:rsidRPr="00614606">
        <w:t xml:space="preserve">iverse </w:t>
      </w:r>
      <w:r w:rsidR="00880A90" w:rsidRPr="00614606">
        <w:t>V</w:t>
      </w:r>
      <w:r w:rsidRPr="00614606">
        <w:t>iews</w:t>
      </w:r>
      <w:bookmarkEnd w:id="901"/>
    </w:p>
    <w:p w14:paraId="4145F27D" w14:textId="0DD72BB6" w:rsidR="00CA7041" w:rsidRPr="00614606" w:rsidRDefault="00CA7041" w:rsidP="00D74FF5">
      <w:pPr>
        <w:pStyle w:val="BodyText"/>
        <w:spacing w:after="120"/>
        <w:ind w:firstLine="567"/>
        <w:rPr>
          <w:i/>
          <w:iCs/>
        </w:rPr>
      </w:pPr>
      <w:r w:rsidRPr="00614606">
        <w:rPr>
          <w:rStyle w:val="Emphasis"/>
          <w:i w:val="0"/>
          <w:iCs w:val="0"/>
        </w:rPr>
        <w:t>In a certain culture that place high value on harmony/consensus or on cohesiveness rather than independent critical thinking, there is a phenomen</w:t>
      </w:r>
      <w:r w:rsidR="00DB0FDE" w:rsidRPr="00614606">
        <w:rPr>
          <w:rStyle w:val="Emphasis"/>
          <w:i w:val="0"/>
          <w:iCs w:val="0"/>
        </w:rPr>
        <w:t>on</w:t>
      </w:r>
      <w:r w:rsidRPr="00614606">
        <w:rPr>
          <w:rStyle w:val="Emphasis"/>
          <w:i w:val="0"/>
          <w:iCs w:val="0"/>
        </w:rPr>
        <w:t xml:space="preserve"> that people prefer not to oppose majority view by setting aside own view.</w:t>
      </w:r>
    </w:p>
    <w:p w14:paraId="3374701D" w14:textId="3EF4800C" w:rsidR="00CA7041" w:rsidRPr="00614606" w:rsidRDefault="00CA7041" w:rsidP="007F2D36">
      <w:pPr>
        <w:pStyle w:val="BodyText"/>
        <w:spacing w:after="120"/>
        <w:ind w:firstLine="567"/>
        <w:rPr>
          <w:rFonts w:eastAsiaTheme="minorEastAsia"/>
        </w:rPr>
      </w:pPr>
      <w:r w:rsidRPr="00614606">
        <w:rPr>
          <w:rStyle w:val="Emphasis"/>
          <w:i w:val="0"/>
          <w:iCs w:val="0"/>
        </w:rPr>
        <w:lastRenderedPageBreak/>
        <w:t>In this groupthink</w:t>
      </w:r>
      <w:r w:rsidRPr="00614606">
        <w:rPr>
          <w:rStyle w:val="apple-converted-space"/>
          <w:shd w:val="clear" w:color="auto" w:fill="FFFFFF"/>
        </w:rPr>
        <w:t>, chances are lost to look at things with different perspectives and to reach elevated level in quality of decision through discussion</w:t>
      </w:r>
      <w:r w:rsidR="002133C6">
        <w:rPr>
          <w:rStyle w:val="apple-converted-space"/>
          <w:shd w:val="clear" w:color="auto" w:fill="FFFFFF"/>
        </w:rPr>
        <w:t xml:space="preserve"> </w:t>
      </w:r>
      <w:r w:rsidR="002133C6">
        <w:rPr>
          <w:rStyle w:val="apple-converted-space"/>
          <w:shd w:val="clear" w:color="auto" w:fill="FFFFFF"/>
        </w:rPr>
        <w:fldChar w:fldCharType="begin"/>
      </w:r>
      <w:r w:rsidR="00142662">
        <w:rPr>
          <w:rStyle w:val="apple-converted-space"/>
          <w:shd w:val="clear" w:color="auto" w:fill="FFFFFF"/>
        </w:rPr>
        <w:instrText xml:space="preserve"> ADDIN ZOTERO_ITEM CSL_CITATION {"citationID":"nTsHfs2i","properties":{"formattedCitation":"[31]","plainCitation":"[31]","noteIndex":0},"citationItems":[{"id":1094,"uris":["http://zotero.org/users/6184040/items/Y96W6LPA"],"uri":["http://zotero.org/users/6184040/items/Y96W6LPA"],"itemData":{"id":1094,"type":"article-journal","container-title":"Political Psychology","issue":"International Society of Political Psychology","title":"Victims of Groupthink","volume":"Vol.12, No. 2.","author":[{"literal":"Irving L. Janis'"}],"issued":{"date-parts":[["1991",6]]}}}],"schema":"https://github.com/citation-style-language/schema/raw/master/csl-citation.json"} </w:instrText>
      </w:r>
      <w:r w:rsidR="002133C6">
        <w:rPr>
          <w:rStyle w:val="apple-converted-space"/>
          <w:shd w:val="clear" w:color="auto" w:fill="FFFFFF"/>
        </w:rPr>
        <w:fldChar w:fldCharType="separate"/>
      </w:r>
      <w:r w:rsidR="00142662" w:rsidRPr="00142662">
        <w:t>[31]</w:t>
      </w:r>
      <w:r w:rsidR="002133C6">
        <w:rPr>
          <w:rStyle w:val="apple-converted-space"/>
          <w:shd w:val="clear" w:color="auto" w:fill="FFFFFF"/>
        </w:rPr>
        <w:fldChar w:fldCharType="end"/>
      </w:r>
      <w:r w:rsidRPr="00614606">
        <w:rPr>
          <w:rStyle w:val="apple-converted-space"/>
          <w:shd w:val="clear" w:color="auto" w:fill="FFFFFF"/>
        </w:rPr>
        <w:t>.</w:t>
      </w:r>
      <w:r w:rsidRPr="00614606">
        <w:t xml:space="preserve"> </w:t>
      </w:r>
      <w:r w:rsidRPr="00614606">
        <w:rPr>
          <w:rFonts w:eastAsiaTheme="minorEastAsia"/>
        </w:rPr>
        <w:t>Various case studies</w:t>
      </w:r>
      <w:r w:rsidR="00626D52">
        <w:rPr>
          <w:rFonts w:eastAsiaTheme="minorEastAsia"/>
        </w:rPr>
        <w:t xml:space="preserve"> </w:t>
      </w:r>
      <w:r w:rsidR="00626D52">
        <w:rPr>
          <w:rFonts w:eastAsiaTheme="minorEastAsia"/>
        </w:rPr>
        <w:fldChar w:fldCharType="begin"/>
      </w:r>
      <w:r w:rsidR="00142662">
        <w:rPr>
          <w:rFonts w:eastAsiaTheme="minorEastAsia"/>
        </w:rPr>
        <w:instrText xml:space="preserve"> ADDIN ZOTERO_ITEM CSL_CITATION {"citationID":"vX5Pmh17","properties":{"formattedCitation":"[32]","plainCitation":"[32]","noteIndex":0},"citationItems":[{"id":1095,"uris":["http://zotero.org/users/6184040/items/P5BKBXPC"],"uri":["http://zotero.org/users/6184040/items/P5BKBXPC"],"itemData":{"id":1095,"type":"book","title":"Rebel Ideas: The Power of Diverse Thinking","author":[{"literal":"Mathew Syed"}],"issued":{"date-parts":[["2019"]]}}}],"schema":"https://github.com/citation-style-language/schema/raw/master/csl-citation.json"} </w:instrText>
      </w:r>
      <w:r w:rsidR="00626D52">
        <w:rPr>
          <w:rFonts w:eastAsiaTheme="minorEastAsia"/>
        </w:rPr>
        <w:fldChar w:fldCharType="separate"/>
      </w:r>
      <w:r w:rsidR="00142662" w:rsidRPr="00142662">
        <w:rPr>
          <w:rFonts w:eastAsiaTheme="minorEastAsia"/>
        </w:rPr>
        <w:t>[32]</w:t>
      </w:r>
      <w:r w:rsidR="00626D52">
        <w:rPr>
          <w:rFonts w:eastAsiaTheme="minorEastAsia"/>
        </w:rPr>
        <w:fldChar w:fldCharType="end"/>
      </w:r>
      <w:r w:rsidRPr="00614606">
        <w:rPr>
          <w:rFonts w:eastAsiaTheme="minorEastAsia"/>
        </w:rPr>
        <w:t xml:space="preserve"> show that a group consisting of different-minded people can avoid collective blindness and reach a better understanding (avoiding mistakes, reducing blind spots and adding alternative viewpoints), a better solution, and even “recombinant innovation” than a group consisting of like-minded members. However, it must be noted that, if diverse view is not presented, this cognitive diversity yields no result, which is often the case in a group with hierarchy dominance</w:t>
      </w:r>
      <w:r w:rsidR="008C3241">
        <w:rPr>
          <w:rFonts w:eastAsiaTheme="minorEastAsia"/>
        </w:rPr>
        <w:t xml:space="preserve"> </w:t>
      </w:r>
      <w:r w:rsidR="003C54A3">
        <w:rPr>
          <w:rFonts w:eastAsiaTheme="minorEastAsia"/>
        </w:rPr>
        <w:fldChar w:fldCharType="begin"/>
      </w:r>
      <w:r w:rsidR="00142662">
        <w:rPr>
          <w:rFonts w:eastAsiaTheme="minorEastAsia"/>
        </w:rPr>
        <w:instrText xml:space="preserve"> ADDIN ZOTERO_ITEM CSL_CITATION {"citationID":"fV1kbWQi","properties":{"formattedCitation":"[32]","plainCitation":"[32]","noteIndex":0},"citationItems":[{"id":1095,"uris":["http://zotero.org/users/6184040/items/P5BKBXPC"],"uri":["http://zotero.org/users/6184040/items/P5BKBXPC"],"itemData":{"id":1095,"type":"book","title":"Rebel Ideas: The Power of Diverse Thinking","author":[{"literal":"Mathew Syed"}],"issued":{"date-parts":[["2019"]]}}}],"schema":"https://github.com/citation-style-language/schema/raw/master/csl-citation.json"} </w:instrText>
      </w:r>
      <w:r w:rsidR="003C54A3">
        <w:rPr>
          <w:rFonts w:eastAsiaTheme="minorEastAsia"/>
        </w:rPr>
        <w:fldChar w:fldCharType="separate"/>
      </w:r>
      <w:r w:rsidR="00142662" w:rsidRPr="00142662">
        <w:rPr>
          <w:rFonts w:eastAsiaTheme="minorEastAsia"/>
        </w:rPr>
        <w:t>[32]</w:t>
      </w:r>
      <w:r w:rsidR="003C54A3">
        <w:rPr>
          <w:rFonts w:eastAsiaTheme="minorEastAsia"/>
        </w:rPr>
        <w:fldChar w:fldCharType="end"/>
      </w:r>
      <w:r w:rsidRPr="00614606">
        <w:rPr>
          <w:rFonts w:eastAsiaTheme="minorEastAsia"/>
        </w:rPr>
        <w:t>.</w:t>
      </w:r>
    </w:p>
    <w:p w14:paraId="14FDE60C" w14:textId="4531FAC9" w:rsidR="00CA7041" w:rsidRPr="00614606" w:rsidRDefault="00CA7041" w:rsidP="008C3241">
      <w:pPr>
        <w:pStyle w:val="BodyText"/>
        <w:spacing w:after="120"/>
        <w:ind w:firstLine="567"/>
      </w:pPr>
      <w:r w:rsidRPr="00614606">
        <w:t>Recognition of this tendency of group think in an organization or a society or a region</w:t>
      </w:r>
      <w:r w:rsidR="0083037B">
        <w:t xml:space="preserve"> </w:t>
      </w:r>
      <w:r w:rsidR="007C7937">
        <w:fldChar w:fldCharType="begin"/>
      </w:r>
      <w:r w:rsidR="00142662">
        <w:instrText xml:space="preserve"> ADDIN ZOTERO_ITEM CSL_CITATION {"citationID":"roD5iaBe","properties":{"formattedCitation":"[33, 34]","plainCitation":"[33, 34]","noteIndex":0},"citationItems":[{"id":1096,"uris":["http://zotero.org/users/6184040/items/Q968LZFP"],"uri":["http://zotero.org/users/6184040/items/Q968LZFP"],"itemData":{"id":1096,"type":"book","title":"The geography of thought","author":[{"literal":"Richard E. Nisbett"}],"issued":{"date-parts":[["2003"]]}}},{"id":1097,"uris":["http://zotero.org/users/6184040/items/QYBK9B9N"],"uri":["http://zotero.org/users/6184040/items/QYBK9B9N"],"itemData":{"id":1097,"type":"paper-conference","title":"Decision Making","author":[{"literal":"Müller et al"}],"issued":{"date-parts":[["2008"]]}}}],"schema":"https://github.com/citation-style-language/schema/raw/master/csl-citation.json"} </w:instrText>
      </w:r>
      <w:r w:rsidR="007C7937">
        <w:fldChar w:fldCharType="separate"/>
      </w:r>
      <w:r w:rsidR="00142662" w:rsidRPr="00142662">
        <w:t>[33, 34]</w:t>
      </w:r>
      <w:r w:rsidR="007C7937">
        <w:fldChar w:fldCharType="end"/>
      </w:r>
      <w:r w:rsidRPr="00614606">
        <w:t xml:space="preserve"> may help remove biases in decision-making. There are methods to avoid groupthink that can be institutionalized such as</w:t>
      </w:r>
      <w:r w:rsidR="008C3241">
        <w:t>:</w:t>
      </w:r>
    </w:p>
    <w:p w14:paraId="6B6F2835" w14:textId="77777777" w:rsidR="00CA7041" w:rsidRPr="00614606" w:rsidRDefault="00CA7041" w:rsidP="00CA7041">
      <w:pPr>
        <w:pStyle w:val="Default"/>
        <w:ind w:leftChars="100" w:left="240"/>
        <w:rPr>
          <w:rFonts w:ascii="Times New Roman" w:hAnsi="Times New Roman" w:cs="Times New Roman"/>
          <w:color w:val="auto"/>
        </w:rPr>
      </w:pPr>
      <w:r w:rsidRPr="00614606">
        <w:rPr>
          <w:rFonts w:ascii="Times New Roman" w:hAnsi="Times New Roman" w:cs="Times New Roman"/>
          <w:color w:val="auto"/>
        </w:rPr>
        <w:t xml:space="preserve">a) inviting external advisors for different perspective, </w:t>
      </w:r>
    </w:p>
    <w:p w14:paraId="22666EE5" w14:textId="77777777" w:rsidR="00CA7041" w:rsidRPr="00614606" w:rsidRDefault="00CA7041" w:rsidP="00CA7041">
      <w:pPr>
        <w:pStyle w:val="Default"/>
        <w:ind w:leftChars="100" w:left="240"/>
        <w:rPr>
          <w:rFonts w:ascii="Times New Roman" w:hAnsi="Times New Roman" w:cs="Times New Roman"/>
          <w:color w:val="auto"/>
        </w:rPr>
      </w:pPr>
      <w:r w:rsidRPr="00614606">
        <w:rPr>
          <w:rFonts w:ascii="Times New Roman" w:hAnsi="Times New Roman" w:cs="Times New Roman"/>
          <w:color w:val="auto"/>
        </w:rPr>
        <w:t xml:space="preserve">b) encouraging every participant to make critical review of the proposed options, </w:t>
      </w:r>
    </w:p>
    <w:p w14:paraId="4EB9018F" w14:textId="48118595" w:rsidR="00CA7041" w:rsidRPr="00614606" w:rsidRDefault="00CA7041" w:rsidP="00CA7041">
      <w:pPr>
        <w:pStyle w:val="Default"/>
        <w:ind w:leftChars="100" w:left="240"/>
        <w:rPr>
          <w:rFonts w:ascii="Times New Roman" w:hAnsi="Times New Roman" w:cs="Times New Roman"/>
          <w:color w:val="auto"/>
        </w:rPr>
      </w:pPr>
      <w:r w:rsidRPr="00614606">
        <w:rPr>
          <w:rFonts w:ascii="Times New Roman" w:hAnsi="Times New Roman" w:cs="Times New Roman"/>
          <w:color w:val="auto"/>
        </w:rPr>
        <w:t xml:space="preserve">c) dividing a meeting to small groups to solicitate diverse views, </w:t>
      </w:r>
    </w:p>
    <w:p w14:paraId="2A7DB7E6" w14:textId="206B2B74" w:rsidR="00CA7041" w:rsidRPr="00614606" w:rsidRDefault="00CA7041" w:rsidP="008C3241">
      <w:pPr>
        <w:pStyle w:val="Default"/>
        <w:spacing w:after="120"/>
        <w:ind w:leftChars="100" w:left="240"/>
        <w:rPr>
          <w:rFonts w:ascii="Times New Roman" w:hAnsi="Times New Roman" w:cs="Times New Roman"/>
          <w:color w:val="auto"/>
        </w:rPr>
      </w:pPr>
      <w:r w:rsidRPr="00614606">
        <w:rPr>
          <w:rFonts w:ascii="Times New Roman" w:hAnsi="Times New Roman" w:cs="Times New Roman"/>
          <w:color w:val="auto"/>
        </w:rPr>
        <w:t>d) assignment of a “devil’s advocate”</w:t>
      </w:r>
      <w:r w:rsidR="004462B9">
        <w:rPr>
          <w:rFonts w:ascii="Times New Roman" w:hAnsi="Times New Roman" w:cs="Times New Roman"/>
          <w:color w:val="auto"/>
        </w:rPr>
        <w:t xml:space="preserve"> </w:t>
      </w:r>
      <w:r w:rsidR="004462B9">
        <w:rPr>
          <w:rFonts w:ascii="Times New Roman" w:hAnsi="Times New Roman" w:cs="Times New Roman"/>
          <w:color w:val="auto"/>
        </w:rPr>
        <w:fldChar w:fldCharType="begin"/>
      </w:r>
      <w:r w:rsidR="00142662">
        <w:rPr>
          <w:rFonts w:ascii="Times New Roman" w:hAnsi="Times New Roman" w:cs="Times New Roman"/>
          <w:color w:val="auto"/>
        </w:rPr>
        <w:instrText xml:space="preserve"> ADDIN ZOTERO_ITEM CSL_CITATION {"citationID":"XViU0PHh","properties":{"formattedCitation":"[35]","plainCitation":"[35]","noteIndex":0},"citationItems":[{"id":1098,"uris":["http://zotero.org/users/6184040/items/SRI7PX37"],"uri":["http://zotero.org/users/6184040/items/SRI7PX37"],"itemData":{"id":1098,"type":"article","publisher":"College of Commerce and Business Administration, Bureau of Economic and Business Research, University of Illinois, Urbana-Champaign","title":"The use of Devil's Advocates in Strategic Decision-Making","author":[{"literal":"Charles R. Schwenk"}],"issued":{"date-parts":[["1984"]]}}}],"schema":"https://github.com/citation-style-language/schema/raw/master/csl-citation.json"} </w:instrText>
      </w:r>
      <w:r w:rsidR="004462B9">
        <w:rPr>
          <w:rFonts w:ascii="Times New Roman" w:hAnsi="Times New Roman" w:cs="Times New Roman"/>
          <w:color w:val="auto"/>
        </w:rPr>
        <w:fldChar w:fldCharType="separate"/>
      </w:r>
      <w:r w:rsidR="00142662" w:rsidRPr="00142662">
        <w:rPr>
          <w:rFonts w:ascii="Times New Roman" w:hAnsi="Times New Roman" w:cs="Times New Roman"/>
        </w:rPr>
        <w:t>[35]</w:t>
      </w:r>
      <w:r w:rsidR="004462B9">
        <w:rPr>
          <w:rFonts w:ascii="Times New Roman" w:hAnsi="Times New Roman" w:cs="Times New Roman"/>
          <w:color w:val="auto"/>
        </w:rPr>
        <w:fldChar w:fldCharType="end"/>
      </w:r>
      <w:r w:rsidR="004462B9">
        <w:rPr>
          <w:rFonts w:ascii="Times New Roman" w:hAnsi="Times New Roman" w:cs="Times New Roman"/>
          <w:color w:val="auto"/>
        </w:rPr>
        <w:t xml:space="preserve"> </w:t>
      </w:r>
      <w:r w:rsidRPr="00614606">
        <w:rPr>
          <w:rFonts w:ascii="Times New Roman" w:hAnsi="Times New Roman" w:cs="Times New Roman"/>
          <w:color w:val="auto"/>
        </w:rPr>
        <w:t xml:space="preserve">who is supposed to raise incisive questions or provide an alternative view. Decision sheet records questions raised by “devil’s advocate” and related discussions before reaching a conclusion. </w:t>
      </w:r>
    </w:p>
    <w:p w14:paraId="3404AA14" w14:textId="43FBEA42" w:rsidR="00CA7041" w:rsidRPr="00614606" w:rsidRDefault="00CA7041" w:rsidP="008C3241">
      <w:pPr>
        <w:pStyle w:val="BodyText"/>
        <w:spacing w:after="120"/>
        <w:ind w:firstLine="567"/>
      </w:pPr>
      <w:r w:rsidRPr="00614606">
        <w:t>The organization or group or decision-maker needs strength to listen to alternative views with respect, which is important in case there is tendency to dominance hierarchy</w:t>
      </w:r>
      <w:r w:rsidR="00F41EB3">
        <w:t xml:space="preserve"> </w:t>
      </w:r>
      <w:r w:rsidR="00F41EB3">
        <w:fldChar w:fldCharType="begin"/>
      </w:r>
      <w:r w:rsidR="00142662">
        <w:instrText xml:space="preserve"> ADDIN ZOTERO_ITEM CSL_CITATION {"citationID":"r4mN6seh","properties":{"formattedCitation":"[32]","plainCitation":"[32]","noteIndex":0},"citationItems":[{"id":1095,"uris":["http://zotero.org/users/6184040/items/P5BKBXPC"],"uri":["http://zotero.org/users/6184040/items/P5BKBXPC"],"itemData":{"id":1095,"type":"book","title":"Rebel Ideas: The Power of Diverse Thinking","author":[{"literal":"Mathew Syed"}],"issued":{"date-parts":[["2019"]]}}}],"schema":"https://github.com/citation-style-language/schema/raw/master/csl-citation.json"} </w:instrText>
      </w:r>
      <w:r w:rsidR="00F41EB3">
        <w:fldChar w:fldCharType="separate"/>
      </w:r>
      <w:r w:rsidR="00142662" w:rsidRPr="00142662">
        <w:t>[32]</w:t>
      </w:r>
      <w:r w:rsidR="00F41EB3">
        <w:fldChar w:fldCharType="end"/>
      </w:r>
      <w:r w:rsidRPr="00614606">
        <w:t>.</w:t>
      </w:r>
    </w:p>
    <w:p w14:paraId="73828297" w14:textId="77777777" w:rsidR="00276F6C" w:rsidRPr="000C28B9" w:rsidRDefault="00276F6C" w:rsidP="00276F6C">
      <w:pPr>
        <w:pStyle w:val="Default"/>
        <w:ind w:firstLineChars="150" w:firstLine="360"/>
        <w:rPr>
          <w:rFonts w:ascii="Times New Roman" w:eastAsia="Times New Roman" w:hAnsi="Times New Roman" w:cs="Times New Roman"/>
        </w:rPr>
      </w:pPr>
    </w:p>
    <w:p w14:paraId="70D8DF2D" w14:textId="77777777" w:rsidR="00276F6C" w:rsidRPr="000C28B9" w:rsidRDefault="00276F6C" w:rsidP="009E2BCD">
      <w:pPr>
        <w:pStyle w:val="Heading3"/>
      </w:pPr>
      <w:bookmarkStart w:id="902" w:name="_Toc87627676"/>
      <w:r w:rsidRPr="00AD5053">
        <w:t>Risk-informed</w:t>
      </w:r>
      <w:bookmarkEnd w:id="902"/>
      <w:r w:rsidRPr="000C28B9">
        <w:t xml:space="preserve"> </w:t>
      </w:r>
    </w:p>
    <w:p w14:paraId="2A6FF9BD" w14:textId="32180A68" w:rsidR="00D978E3" w:rsidRPr="00D978E3" w:rsidRDefault="00D978E3" w:rsidP="004213FC">
      <w:pPr>
        <w:pStyle w:val="BodyText"/>
        <w:spacing w:after="120"/>
        <w:ind w:firstLine="567"/>
      </w:pPr>
      <w:r w:rsidRPr="00D978E3">
        <w:t>Although traditional approach for safety of nuclear installations relied primarily on deterministic approach, advent of PRA technology and accumulated data (initiating event, reliability, human performance and phenomenology) enabled use of both deterministic and probabilistic approach for decision-making</w:t>
      </w:r>
      <w:r>
        <w:t xml:space="preserve"> </w:t>
      </w:r>
      <w:r>
        <w:fldChar w:fldCharType="begin"/>
      </w:r>
      <w:r w:rsidR="00142662">
        <w:instrText xml:space="preserve"> ADDIN ZOTERO_ITEM CSL_CITATION {"citationID":"7UpOQNyz","properties":{"formattedCitation":"[36]","plainCitation":"[36]","noteIndex":0},"citationItems":[{"id":1099,"uris":["http://zotero.org/users/6184040/items/P7AM4YZE"],"uri":["http://zotero.org/users/6184040/items/P7AM4YZE"],"itemData":{"id":1099,"type":"book","abstract":"This report is intended to promote a common understanding among the\ninternational nuclear community (designers, suppliers, constructors, licensees,\nsupport organizations and regulators) of how the concept of risk can be used in\nmaking safety decisions relating to nuclear installations. The integration of\noperating experience, deterministic considerations, probabilistic considerations,\nconsideration of uncertainties and other factors (see Section 3) serves to help\nensure coherent and balanced decisions.","collection-number":"INSAG-25","event-place":"Vienna","language":"en-GB","number-of-pages":"39","publisher":"IAEA","publisher-place":"Vienna","title":"A framework for an integrated risk informed decision making process","title-short":"INSAG-25","URL":"https://www-pub.iaea.org/MTCD/publications/PDF/Pub1499_web.pdf","author":[{"family":"International Nuclear Safety Advisory Group","given":""}],"issued":{"date-parts":[["2011"]]}}}],"schema":"https://github.com/citation-style-language/schema/raw/master/csl-citation.json"} </w:instrText>
      </w:r>
      <w:r>
        <w:fldChar w:fldCharType="separate"/>
      </w:r>
      <w:r w:rsidR="00142662" w:rsidRPr="00142662">
        <w:t>[36]</w:t>
      </w:r>
      <w:r>
        <w:fldChar w:fldCharType="end"/>
      </w:r>
      <w:r w:rsidRPr="00D978E3">
        <w:t>. This dual approach takes advantage of risk information and is because neither of them is complete. Risk-informed is different from risk-based.</w:t>
      </w:r>
    </w:p>
    <w:p w14:paraId="24CC9450" w14:textId="24BF83D3" w:rsidR="00D978E3" w:rsidRPr="00D978E3" w:rsidRDefault="00D978E3" w:rsidP="004213FC">
      <w:pPr>
        <w:pStyle w:val="BodyText"/>
        <w:spacing w:after="120"/>
        <w:ind w:firstLine="567"/>
        <w:rPr>
          <w:rFonts w:eastAsiaTheme="minorEastAsia"/>
        </w:rPr>
      </w:pPr>
      <w:r w:rsidRPr="00D978E3">
        <w:rPr>
          <w:rFonts w:eastAsiaTheme="minorEastAsia"/>
        </w:rPr>
        <w:t>For robust safety decision, consideration must be given to aleatoric and epistemic uncertainties inherent in risk information. Practically, decision-makers may face a situation where uncertain</w:t>
      </w:r>
      <w:r w:rsidR="00910430">
        <w:rPr>
          <w:rFonts w:eastAsiaTheme="minorEastAsia"/>
        </w:rPr>
        <w:t>ty</w:t>
      </w:r>
      <w:r w:rsidRPr="00D978E3">
        <w:rPr>
          <w:rFonts w:eastAsiaTheme="minorEastAsia"/>
        </w:rPr>
        <w:t xml:space="preserve"> is significantly large such as in external events. Some approaches are taken in those cases such as inviting experts panel (such as SSHAC</w:t>
      </w:r>
      <w:r w:rsidR="005633EE">
        <w:rPr>
          <w:rFonts w:eastAsiaTheme="minorEastAsia"/>
        </w:rPr>
        <w:t xml:space="preserve"> </w:t>
      </w:r>
      <w:r w:rsidR="00FC4698">
        <w:rPr>
          <w:rFonts w:eastAsiaTheme="minorEastAsia"/>
        </w:rPr>
        <w:fldChar w:fldCharType="begin"/>
      </w:r>
      <w:r w:rsidR="00142662">
        <w:rPr>
          <w:rFonts w:eastAsiaTheme="minorEastAsia"/>
        </w:rPr>
        <w:instrText xml:space="preserve"> ADDIN ZOTERO_ITEM CSL_CITATION {"citationID":"HD5sMHke","properties":{"formattedCitation":"[37]","plainCitation":"[37]","noteIndex":0},"citationItems":[{"id":1101,"uris":["http://zotero.org/users/6184040/items/2QVZ4ZCJ"],"uri":["http://zotero.org/users/6184040/items/2QVZ4ZCJ"],"itemData":{"id":1101,"type":"book","collection-number":"2213","collection-title":"NUREG","title":"Updated Implementation Guidelines for SSHAC Hazard Studies","author":[{"literal":"U.S.NRC"}],"issued":{"date-parts":[["2018",10]]}}}],"schema":"https://github.com/citation-style-language/schema/raw/master/csl-citation.json"} </w:instrText>
      </w:r>
      <w:r w:rsidR="00FC4698">
        <w:rPr>
          <w:rFonts w:eastAsiaTheme="minorEastAsia"/>
        </w:rPr>
        <w:fldChar w:fldCharType="separate"/>
      </w:r>
      <w:r w:rsidR="00142662" w:rsidRPr="00142662">
        <w:rPr>
          <w:rFonts w:eastAsiaTheme="minorEastAsia"/>
        </w:rPr>
        <w:t>[37]</w:t>
      </w:r>
      <w:r w:rsidR="00FC4698">
        <w:rPr>
          <w:rFonts w:eastAsiaTheme="minorEastAsia"/>
        </w:rPr>
        <w:fldChar w:fldCharType="end"/>
      </w:r>
      <w:r w:rsidRPr="00D978E3">
        <w:rPr>
          <w:rFonts w:eastAsiaTheme="minorEastAsia"/>
        </w:rPr>
        <w:t xml:space="preserve"> in earthquake), in an attempt to reach a consensus view, to reduce epistemic uncertainties caused by lack of knowledge or incomplete modelling. Adequate considerations to uncertainties, particularly assuring safety margins to avoid cliff edge effect, must be given in safety assessment [IAEA SSR-2/1 Rev 1 para.5.73]</w:t>
      </w:r>
      <w:r w:rsidR="00126D85">
        <w:rPr>
          <w:rFonts w:eastAsiaTheme="minorEastAsia"/>
        </w:rPr>
        <w:t xml:space="preserve"> </w:t>
      </w:r>
      <w:r w:rsidR="00B2339A">
        <w:rPr>
          <w:rFonts w:eastAsiaTheme="minorEastAsia"/>
        </w:rPr>
        <w:fldChar w:fldCharType="begin"/>
      </w:r>
      <w:r w:rsidR="00142662">
        <w:rPr>
          <w:rFonts w:eastAsiaTheme="minorEastAsia"/>
        </w:rPr>
        <w:instrText xml:space="preserve"> ADDIN ZOTERO_ITEM CSL_CITATION {"citationID":"9c5rmniq","properties":{"formattedCitation":"[38]","plainCitation":"[38]","noteIndex":0},"citationItems":[{"id":1032,"uris":["http://zotero.org/users/6184040/items/83JWIG3K"],"uri":["http://zotero.org/users/6184040/items/83JWIG3K"],"itemData":{"id":1032,"type":"book","abstract":"This publication establishes requirements applicable to the design of nuclear power plants and elaborates on the safety objective, safety principles and concepts that provide the basis for deriving the safety requirements that must be met for the design of a nuclear power plant. It will be useful for organizations involved in design, manufacture, construction, modification, maintenance, operation and decommissioning of nuclear power plants, as well as for regulatory bodies. A review of Safety Requirements publications was commenced in 2011 following the accident in the Fukushima Daiichi nuclear power plant in Japan. The review revealed no significant areas of weakness and resulted in just a small set of amendments to strengthen the requirements and facilitate their implementation, which are contained in the present publication.","collection-number":"No. SSR-2/1 (Rev. 1)","collection-title":"IAEA Safety Standards Series","event-place":"Vienna","ISBN":"978-92-0-109315-8","language":"en-GB","note":"Specific Safety Requirements No. SSR-2/1","number-of-pages":"71","publisher":"IAEA","publisher-place":"Vienna","title":"Safety of Nuclear Power Plants: Design","title-short":"Safety of Nuclear Power Plants: Design","URL":"http://www-pub.iaea.org/MTCD/Publications/PDF/Pub1715web-46541668.pdf","author":[{"literal":"International Atomic Energy Agency"}],"issued":{"date-parts":[["2016"]]}}}],"schema":"https://github.com/citation-style-language/schema/raw/master/csl-citation.json"} </w:instrText>
      </w:r>
      <w:r w:rsidR="00B2339A">
        <w:rPr>
          <w:rFonts w:eastAsiaTheme="minorEastAsia"/>
        </w:rPr>
        <w:fldChar w:fldCharType="separate"/>
      </w:r>
      <w:r w:rsidR="00142662" w:rsidRPr="00142662">
        <w:rPr>
          <w:rFonts w:eastAsiaTheme="minorEastAsia"/>
        </w:rPr>
        <w:t>[38]</w:t>
      </w:r>
      <w:r w:rsidR="00B2339A">
        <w:rPr>
          <w:rFonts w:eastAsiaTheme="minorEastAsia"/>
        </w:rPr>
        <w:fldChar w:fldCharType="end"/>
      </w:r>
      <w:r w:rsidRPr="00D978E3">
        <w:rPr>
          <w:rFonts w:eastAsiaTheme="minorEastAsia"/>
        </w:rPr>
        <w:t xml:space="preserve">. This consequence-oriented conservative approach may be applied to such threats having cliff edge effect (as in flooding and tsunami, though likelihood is not neglected) where reaching a certain level triggers loss of safety functions. IAEA TECDOC-1909 </w:t>
      </w:r>
      <w:r w:rsidR="008378E1">
        <w:rPr>
          <w:rFonts w:eastAsiaTheme="minorEastAsia"/>
        </w:rPr>
        <w:fldChar w:fldCharType="begin"/>
      </w:r>
      <w:r w:rsidR="00142662">
        <w:rPr>
          <w:rFonts w:eastAsiaTheme="minorEastAsia"/>
        </w:rPr>
        <w:instrText xml:space="preserve"> ADDIN ZOTERO_ITEM CSL_CITATION {"citationID":"BbqgA69Q","properties":{"formattedCitation":"[39]","plainCitation":"[39]","noteIndex":0},"citationItems":[{"id":1038,"uris":["http://zotero.org/users/6184040/items/3JT3DMSU"],"uri":["http://zotero.org/users/6184040/items/3JT3DMSU"],"itemData":{"id":1038,"type":"book","abstract":"This publication describes the general concept of using quantitative and qualitative information to be integrated in making safety related decisions. By following this approach, the balanced decision option could be selected in a systematic and traceable manner. The publication also provides practical insights on the selection of the various factors that could be included in the integrated risk informed decision making (IRIDM) process and provides suggestions on how the integration of the factors can be performed. Practical issues and challenges that need to be addressed in adopting an IRIDM approach are also discussed. Some examples of decision making are reviewed against the IRIDM framework to show how the process has been used or can be used.","collection-number":"IAEA-TECDOC-1909","event-place":"Vienna","ISBN":"978-92-0-107220-7","language":"en-GB","publisher":"IAEA","publisher-place":"Vienna","title":"Considerations on Performing Integrated Risk Informed Decision Making","URL":"http://www-pub.iaea.org/MTCD/Publications/PDF/TE-1909_web.pdf","author":[{"literal":"International Atomic Energy Agency"}],"issued":{"date-parts":[["2020"]]}}}],"schema":"https://github.com/citation-style-language/schema/raw/master/csl-citation.json"} </w:instrText>
      </w:r>
      <w:r w:rsidR="008378E1">
        <w:rPr>
          <w:rFonts w:eastAsiaTheme="minorEastAsia"/>
        </w:rPr>
        <w:fldChar w:fldCharType="separate"/>
      </w:r>
      <w:r w:rsidR="00142662" w:rsidRPr="00142662">
        <w:rPr>
          <w:rFonts w:eastAsiaTheme="minorEastAsia"/>
        </w:rPr>
        <w:t>[39]</w:t>
      </w:r>
      <w:r w:rsidR="008378E1">
        <w:rPr>
          <w:rFonts w:eastAsiaTheme="minorEastAsia"/>
        </w:rPr>
        <w:fldChar w:fldCharType="end"/>
      </w:r>
      <w:r w:rsidRPr="00D978E3">
        <w:rPr>
          <w:rFonts w:eastAsiaTheme="minorEastAsia"/>
          <w:vertAlign w:val="superscript"/>
        </w:rPr>
        <w:t xml:space="preserve"> </w:t>
      </w:r>
      <w:r w:rsidRPr="00D978E3">
        <w:rPr>
          <w:rFonts w:eastAsiaTheme="minorEastAsia"/>
        </w:rPr>
        <w:t>provides guidance for preparation, assessment, selection of options, process of decision-making with examples.</w:t>
      </w:r>
    </w:p>
    <w:p w14:paraId="48DF29B2" w14:textId="77777777" w:rsidR="00276F6C" w:rsidRPr="000C28B9" w:rsidRDefault="00276F6C" w:rsidP="00276F6C"/>
    <w:p w14:paraId="344F7EB0" w14:textId="77777777" w:rsidR="00276F6C" w:rsidRPr="000C28B9" w:rsidRDefault="00276F6C" w:rsidP="007A223D">
      <w:pPr>
        <w:pStyle w:val="Heading3"/>
        <w:rPr>
          <w:color w:val="000000"/>
        </w:rPr>
      </w:pPr>
      <w:bookmarkStart w:id="903" w:name="_Toc87627677"/>
      <w:r w:rsidRPr="00AD5053">
        <w:lastRenderedPageBreak/>
        <w:t>Organizational traits in decision-making</w:t>
      </w:r>
      <w:bookmarkEnd w:id="903"/>
    </w:p>
    <w:p w14:paraId="2E8AED0B" w14:textId="77777777" w:rsidR="004213FC" w:rsidRPr="004213FC" w:rsidRDefault="004213FC" w:rsidP="004213FC">
      <w:pPr>
        <w:pStyle w:val="BodyText"/>
        <w:spacing w:after="120"/>
        <w:ind w:firstLine="567"/>
      </w:pPr>
      <w:r w:rsidRPr="004213FC">
        <w:rPr>
          <w:rFonts w:eastAsiaTheme="minorEastAsia"/>
          <w:strike/>
          <w:noProof/>
        </w:rPr>
        <w:drawing>
          <wp:anchor distT="0" distB="0" distL="114300" distR="114300" simplePos="0" relativeHeight="251660295" behindDoc="0" locked="0" layoutInCell="1" allowOverlap="1" wp14:anchorId="22B488F4" wp14:editId="02F6B6D6">
            <wp:simplePos x="0" y="0"/>
            <wp:positionH relativeFrom="column">
              <wp:posOffset>113030</wp:posOffset>
            </wp:positionH>
            <wp:positionV relativeFrom="paragraph">
              <wp:posOffset>106680</wp:posOffset>
            </wp:positionV>
            <wp:extent cx="2823845" cy="2056765"/>
            <wp:effectExtent l="0" t="0" r="0" b="63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823845" cy="2056765"/>
                    </a:xfrm>
                    <a:prstGeom prst="rect">
                      <a:avLst/>
                    </a:prstGeom>
                  </pic:spPr>
                </pic:pic>
              </a:graphicData>
            </a:graphic>
            <wp14:sizeRelH relativeFrom="page">
              <wp14:pctWidth>0</wp14:pctWidth>
            </wp14:sizeRelH>
            <wp14:sizeRelV relativeFrom="page">
              <wp14:pctHeight>0</wp14:pctHeight>
            </wp14:sizeRelV>
          </wp:anchor>
        </w:drawing>
      </w:r>
      <w:r w:rsidRPr="004213FC">
        <w:rPr>
          <w:rFonts w:eastAsiaTheme="minorEastAsia"/>
        </w:rPr>
        <w:t xml:space="preserve">Any organization or group or individual cannot escape from own bias and hidden assumptions. Understanding such bias and assumptions helps reduce influences from them for robust decision. One example is to analyze “Why bad decisions were made in your organization?” to recognize organizational traits, weaknesses and bias/assumption to change for the better. </w:t>
      </w:r>
      <w:r w:rsidRPr="004213FC">
        <w:t>The pie chart illustrates an example of distribution of causes of bad decisions, where lack of competence on the part of decision-maker is not included.</w:t>
      </w:r>
    </w:p>
    <w:p w14:paraId="724483F5" w14:textId="77777777" w:rsidR="00276F6C" w:rsidRPr="005205DB" w:rsidRDefault="00276F6C" w:rsidP="00276F6C">
      <w:pPr>
        <w:pStyle w:val="BodyText"/>
        <w:rPr>
          <w:lang w:val="en-GB"/>
        </w:rPr>
      </w:pPr>
    </w:p>
    <w:p w14:paraId="1C54AB27" w14:textId="77777777" w:rsidR="009B75CC" w:rsidRPr="000C28B9" w:rsidRDefault="009B75CC" w:rsidP="009B75CC">
      <w:pPr>
        <w:pStyle w:val="BodyText"/>
      </w:pPr>
      <w:bookmarkStart w:id="904" w:name="_Toc78389286"/>
      <w:bookmarkStart w:id="905" w:name="_Toc78389763"/>
      <w:bookmarkStart w:id="906" w:name="_Toc78390240"/>
      <w:bookmarkStart w:id="907" w:name="_Toc78389287"/>
      <w:bookmarkStart w:id="908" w:name="_Toc78389764"/>
      <w:bookmarkStart w:id="909" w:name="_Toc78390241"/>
      <w:bookmarkEnd w:id="904"/>
      <w:bookmarkEnd w:id="905"/>
      <w:bookmarkEnd w:id="906"/>
      <w:bookmarkEnd w:id="907"/>
      <w:bookmarkEnd w:id="908"/>
      <w:bookmarkEnd w:id="909"/>
    </w:p>
    <w:p w14:paraId="5ABD00D0" w14:textId="7852296B" w:rsidR="00B23C71" w:rsidRPr="000C28B9" w:rsidRDefault="13E40FC4" w:rsidP="009F0F6F">
      <w:pPr>
        <w:pStyle w:val="Heading2"/>
      </w:pPr>
      <w:bookmarkStart w:id="910" w:name="_Toc87627678"/>
      <w:r>
        <w:t>Building (</w:t>
      </w:r>
      <w:bookmarkStart w:id="911" w:name="_Toc78389326"/>
      <w:bookmarkStart w:id="912" w:name="_Toc78389803"/>
      <w:bookmarkStart w:id="913" w:name="_Toc78390280"/>
      <w:bookmarkStart w:id="914" w:name="_Toc78389327"/>
      <w:bookmarkStart w:id="915" w:name="_Toc78389804"/>
      <w:bookmarkStart w:id="916" w:name="_Toc78390281"/>
      <w:bookmarkStart w:id="917" w:name="_Toc78389328"/>
      <w:bookmarkStart w:id="918" w:name="_Toc78389805"/>
      <w:bookmarkStart w:id="919" w:name="_Toc78390282"/>
      <w:bookmarkStart w:id="920" w:name="_Toc78389329"/>
      <w:bookmarkStart w:id="921" w:name="_Toc78389806"/>
      <w:bookmarkStart w:id="922" w:name="_Toc78390283"/>
      <w:bookmarkStart w:id="923" w:name="_Toc78389330"/>
      <w:bookmarkStart w:id="924" w:name="_Toc78389807"/>
      <w:bookmarkStart w:id="925" w:name="_Toc78390284"/>
      <w:bookmarkStart w:id="926" w:name="_Toc78389331"/>
      <w:bookmarkStart w:id="927" w:name="_Toc78389808"/>
      <w:bookmarkStart w:id="928" w:name="_Toc78390285"/>
      <w:bookmarkStart w:id="929" w:name="_Toc78389332"/>
      <w:bookmarkStart w:id="930" w:name="_Toc78389809"/>
      <w:bookmarkStart w:id="931" w:name="_Toc78390286"/>
      <w:bookmarkStart w:id="932" w:name="_Toc78389333"/>
      <w:bookmarkStart w:id="933" w:name="_Toc78389810"/>
      <w:bookmarkStart w:id="934" w:name="_Toc78390287"/>
      <w:bookmarkStart w:id="935" w:name="_Toc78389334"/>
      <w:bookmarkStart w:id="936" w:name="_Toc78389811"/>
      <w:bookmarkStart w:id="937" w:name="_Toc78390288"/>
      <w:bookmarkStart w:id="938" w:name="_Toc78389335"/>
      <w:bookmarkStart w:id="939" w:name="_Toc78389812"/>
      <w:bookmarkStart w:id="940" w:name="_Toc78390289"/>
      <w:bookmarkStart w:id="941" w:name="_Toc78389336"/>
      <w:bookmarkStart w:id="942" w:name="_Toc78389813"/>
      <w:bookmarkStart w:id="943" w:name="_Toc78390290"/>
      <w:bookmarkStart w:id="944" w:name="_Toc78389337"/>
      <w:bookmarkStart w:id="945" w:name="_Toc78389814"/>
      <w:bookmarkStart w:id="946" w:name="_Toc78390291"/>
      <w:bookmarkStart w:id="947" w:name="_Toc78389338"/>
      <w:bookmarkStart w:id="948" w:name="_Toc78389815"/>
      <w:bookmarkStart w:id="949" w:name="_Toc78390292"/>
      <w:bookmarkStart w:id="950" w:name="_Toc78389339"/>
      <w:bookmarkStart w:id="951" w:name="_Toc78389816"/>
      <w:bookmarkStart w:id="952" w:name="_Toc78390293"/>
      <w:bookmarkStart w:id="953" w:name="_Toc78389340"/>
      <w:bookmarkStart w:id="954" w:name="_Toc78389817"/>
      <w:bookmarkStart w:id="955" w:name="_Toc78390294"/>
      <w:bookmarkStart w:id="956" w:name="_Toc78389341"/>
      <w:bookmarkStart w:id="957" w:name="_Toc78389818"/>
      <w:bookmarkStart w:id="958" w:name="_Toc78390295"/>
      <w:bookmarkStart w:id="959" w:name="_Toc78389342"/>
      <w:bookmarkStart w:id="960" w:name="_Toc78389819"/>
      <w:bookmarkStart w:id="961" w:name="_Toc78390296"/>
      <w:bookmarkStart w:id="962" w:name="_Toc78389343"/>
      <w:bookmarkStart w:id="963" w:name="_Toc78389820"/>
      <w:bookmarkStart w:id="964" w:name="_Toc78390297"/>
      <w:bookmarkStart w:id="965" w:name="_Toc78389344"/>
      <w:bookmarkStart w:id="966" w:name="_Toc78389821"/>
      <w:bookmarkStart w:id="967" w:name="_Toc78390298"/>
      <w:bookmarkStart w:id="968" w:name="_Toc78389345"/>
      <w:bookmarkStart w:id="969" w:name="_Toc78389822"/>
      <w:bookmarkStart w:id="970" w:name="_Toc78390299"/>
      <w:bookmarkStart w:id="971" w:name="_Toc78389346"/>
      <w:bookmarkStart w:id="972" w:name="_Toc78389823"/>
      <w:bookmarkStart w:id="973" w:name="_Toc78390300"/>
      <w:bookmarkStart w:id="974" w:name="_Toc78389347"/>
      <w:bookmarkStart w:id="975" w:name="_Toc78389824"/>
      <w:bookmarkStart w:id="976" w:name="_Toc78390301"/>
      <w:bookmarkStart w:id="977" w:name="_Toc78389348"/>
      <w:bookmarkStart w:id="978" w:name="_Toc78389825"/>
      <w:bookmarkStart w:id="979" w:name="_Toc78390302"/>
      <w:bookmarkStart w:id="980" w:name="_Toc78389349"/>
      <w:bookmarkStart w:id="981" w:name="_Toc78389826"/>
      <w:bookmarkStart w:id="982" w:name="_Toc78390303"/>
      <w:bookmarkStart w:id="983" w:name="_Toc78389350"/>
      <w:bookmarkStart w:id="984" w:name="_Toc78389827"/>
      <w:bookmarkStart w:id="985" w:name="_Toc78390304"/>
      <w:bookmarkStart w:id="986" w:name="_Toc78389351"/>
      <w:bookmarkStart w:id="987" w:name="_Toc78389828"/>
      <w:bookmarkStart w:id="988" w:name="_Toc78390305"/>
      <w:bookmarkStart w:id="989" w:name="_Toc73526165"/>
      <w:bookmarkStart w:id="990" w:name="_Toc73527128"/>
      <w:bookmarkStart w:id="991" w:name="_Toc73527266"/>
      <w:bookmarkStart w:id="992" w:name="_Toc73527405"/>
      <w:bookmarkStart w:id="993" w:name="_Toc73527544"/>
      <w:bookmarkStart w:id="994" w:name="_Toc78389352"/>
      <w:bookmarkStart w:id="995" w:name="_Toc78389829"/>
      <w:bookmarkStart w:id="996" w:name="_Toc78390306"/>
      <w:bookmarkStart w:id="997" w:name="_Toc73526166"/>
      <w:bookmarkStart w:id="998" w:name="_Toc73527129"/>
      <w:bookmarkStart w:id="999" w:name="_Toc73527267"/>
      <w:bookmarkStart w:id="1000" w:name="_Toc73527406"/>
      <w:bookmarkStart w:id="1001" w:name="_Toc73527545"/>
      <w:bookmarkStart w:id="1002" w:name="_Toc78389353"/>
      <w:bookmarkStart w:id="1003" w:name="_Toc78389830"/>
      <w:bookmarkStart w:id="1004" w:name="_Toc78390307"/>
      <w:bookmarkStart w:id="1005" w:name="_Toc73526167"/>
      <w:bookmarkStart w:id="1006" w:name="_Toc73527130"/>
      <w:bookmarkStart w:id="1007" w:name="_Toc73527268"/>
      <w:bookmarkStart w:id="1008" w:name="_Toc73527407"/>
      <w:bookmarkStart w:id="1009" w:name="_Toc73527546"/>
      <w:bookmarkStart w:id="1010" w:name="_Toc78389354"/>
      <w:bookmarkStart w:id="1011" w:name="_Toc78389831"/>
      <w:bookmarkStart w:id="1012" w:name="_Toc78390308"/>
      <w:bookmarkStart w:id="1013" w:name="_Toc73526168"/>
      <w:bookmarkStart w:id="1014" w:name="_Toc73527131"/>
      <w:bookmarkStart w:id="1015" w:name="_Toc73527269"/>
      <w:bookmarkStart w:id="1016" w:name="_Toc73527408"/>
      <w:bookmarkStart w:id="1017" w:name="_Toc73527547"/>
      <w:bookmarkStart w:id="1018" w:name="_Toc78389355"/>
      <w:bookmarkStart w:id="1019" w:name="_Toc78389832"/>
      <w:bookmarkStart w:id="1020" w:name="_Toc78390309"/>
      <w:bookmarkStart w:id="1021" w:name="_Toc73526169"/>
      <w:bookmarkStart w:id="1022" w:name="_Toc73527132"/>
      <w:bookmarkStart w:id="1023" w:name="_Toc73527270"/>
      <w:bookmarkStart w:id="1024" w:name="_Toc73527409"/>
      <w:bookmarkStart w:id="1025" w:name="_Toc73527548"/>
      <w:bookmarkStart w:id="1026" w:name="_Toc78389356"/>
      <w:bookmarkStart w:id="1027" w:name="_Toc78389833"/>
      <w:bookmarkStart w:id="1028" w:name="_Toc78390310"/>
      <w:bookmarkStart w:id="1029" w:name="_Toc73526170"/>
      <w:bookmarkStart w:id="1030" w:name="_Toc73527133"/>
      <w:bookmarkStart w:id="1031" w:name="_Toc73527271"/>
      <w:bookmarkStart w:id="1032" w:name="_Toc73527410"/>
      <w:bookmarkStart w:id="1033" w:name="_Toc73527549"/>
      <w:bookmarkStart w:id="1034" w:name="_Toc78389357"/>
      <w:bookmarkStart w:id="1035" w:name="_Toc78389834"/>
      <w:bookmarkStart w:id="1036" w:name="_Toc78390311"/>
      <w:bookmarkStart w:id="1037" w:name="_Toc73526171"/>
      <w:bookmarkStart w:id="1038" w:name="_Toc73527134"/>
      <w:bookmarkStart w:id="1039" w:name="_Toc73527272"/>
      <w:bookmarkStart w:id="1040" w:name="_Toc73527411"/>
      <w:bookmarkStart w:id="1041" w:name="_Toc73527550"/>
      <w:bookmarkStart w:id="1042" w:name="_Toc78389358"/>
      <w:bookmarkStart w:id="1043" w:name="_Toc78389835"/>
      <w:bookmarkStart w:id="1044" w:name="_Toc78390312"/>
      <w:bookmarkStart w:id="1045" w:name="_Toc73526172"/>
      <w:bookmarkStart w:id="1046" w:name="_Toc73527135"/>
      <w:bookmarkStart w:id="1047" w:name="_Toc73527273"/>
      <w:bookmarkStart w:id="1048" w:name="_Toc73527412"/>
      <w:bookmarkStart w:id="1049" w:name="_Toc73527551"/>
      <w:bookmarkStart w:id="1050" w:name="_Toc78389359"/>
      <w:bookmarkStart w:id="1051" w:name="_Toc78389836"/>
      <w:bookmarkStart w:id="1052" w:name="_Toc78390313"/>
      <w:bookmarkStart w:id="1053" w:name="_Toc73526173"/>
      <w:bookmarkStart w:id="1054" w:name="_Toc73527136"/>
      <w:bookmarkStart w:id="1055" w:name="_Toc73527274"/>
      <w:bookmarkStart w:id="1056" w:name="_Toc73527413"/>
      <w:bookmarkStart w:id="1057" w:name="_Toc73527552"/>
      <w:bookmarkStart w:id="1058" w:name="_Toc78389360"/>
      <w:bookmarkStart w:id="1059" w:name="_Toc78389837"/>
      <w:bookmarkStart w:id="1060" w:name="_Toc78390314"/>
      <w:bookmarkStart w:id="1061" w:name="_Toc73526174"/>
      <w:bookmarkStart w:id="1062" w:name="_Toc73527137"/>
      <w:bookmarkStart w:id="1063" w:name="_Toc73527275"/>
      <w:bookmarkStart w:id="1064" w:name="_Toc73527414"/>
      <w:bookmarkStart w:id="1065" w:name="_Toc73527553"/>
      <w:bookmarkStart w:id="1066" w:name="_Toc78389361"/>
      <w:bookmarkStart w:id="1067" w:name="_Toc78389838"/>
      <w:bookmarkStart w:id="1068" w:name="_Toc78390315"/>
      <w:bookmarkStart w:id="1069" w:name="_Toc73526175"/>
      <w:bookmarkStart w:id="1070" w:name="_Toc73527138"/>
      <w:bookmarkStart w:id="1071" w:name="_Toc73527276"/>
      <w:bookmarkStart w:id="1072" w:name="_Toc73527415"/>
      <w:bookmarkStart w:id="1073" w:name="_Toc73527554"/>
      <w:bookmarkStart w:id="1074" w:name="_Toc78389362"/>
      <w:bookmarkStart w:id="1075" w:name="_Toc78389839"/>
      <w:bookmarkStart w:id="1076" w:name="_Toc78390316"/>
      <w:bookmarkStart w:id="1077" w:name="_Toc73526176"/>
      <w:bookmarkStart w:id="1078" w:name="_Toc73527139"/>
      <w:bookmarkStart w:id="1079" w:name="_Toc73527277"/>
      <w:bookmarkStart w:id="1080" w:name="_Toc73527416"/>
      <w:bookmarkStart w:id="1081" w:name="_Toc73527555"/>
      <w:bookmarkStart w:id="1082" w:name="_Toc78389363"/>
      <w:bookmarkStart w:id="1083" w:name="_Toc78389840"/>
      <w:bookmarkStart w:id="1084" w:name="_Toc78390317"/>
      <w:bookmarkStart w:id="1085" w:name="_Toc73526177"/>
      <w:bookmarkStart w:id="1086" w:name="_Toc73527140"/>
      <w:bookmarkStart w:id="1087" w:name="_Toc73527278"/>
      <w:bookmarkStart w:id="1088" w:name="_Toc73527417"/>
      <w:bookmarkStart w:id="1089" w:name="_Toc73527556"/>
      <w:bookmarkStart w:id="1090" w:name="_Toc78389364"/>
      <w:bookmarkStart w:id="1091" w:name="_Toc78389841"/>
      <w:bookmarkStart w:id="1092" w:name="_Toc78390318"/>
      <w:bookmarkStart w:id="1093" w:name="_Toc73526178"/>
      <w:bookmarkStart w:id="1094" w:name="_Toc73527141"/>
      <w:bookmarkStart w:id="1095" w:name="_Toc73527279"/>
      <w:bookmarkStart w:id="1096" w:name="_Toc73527418"/>
      <w:bookmarkStart w:id="1097" w:name="_Toc73527557"/>
      <w:bookmarkStart w:id="1098" w:name="_Toc78389365"/>
      <w:bookmarkStart w:id="1099" w:name="_Toc78389842"/>
      <w:bookmarkStart w:id="1100" w:name="_Toc78390319"/>
      <w:bookmarkStart w:id="1101" w:name="_Toc73526179"/>
      <w:bookmarkStart w:id="1102" w:name="_Toc73527142"/>
      <w:bookmarkStart w:id="1103" w:name="_Toc73527280"/>
      <w:bookmarkStart w:id="1104" w:name="_Toc73527419"/>
      <w:bookmarkStart w:id="1105" w:name="_Toc73527558"/>
      <w:bookmarkStart w:id="1106" w:name="_Toc78389366"/>
      <w:bookmarkStart w:id="1107" w:name="_Toc78389843"/>
      <w:bookmarkStart w:id="1108" w:name="_Toc78390320"/>
      <w:bookmarkStart w:id="1109" w:name="_Toc73526180"/>
      <w:bookmarkStart w:id="1110" w:name="_Toc73527143"/>
      <w:bookmarkStart w:id="1111" w:name="_Toc73527281"/>
      <w:bookmarkStart w:id="1112" w:name="_Toc73527420"/>
      <w:bookmarkStart w:id="1113" w:name="_Toc73527559"/>
      <w:bookmarkStart w:id="1114" w:name="_Toc78389367"/>
      <w:bookmarkStart w:id="1115" w:name="_Toc78389844"/>
      <w:bookmarkStart w:id="1116" w:name="_Toc78390321"/>
      <w:bookmarkStart w:id="1117" w:name="_Toc73526181"/>
      <w:bookmarkStart w:id="1118" w:name="_Toc73527144"/>
      <w:bookmarkStart w:id="1119" w:name="_Toc73527282"/>
      <w:bookmarkStart w:id="1120" w:name="_Toc73527421"/>
      <w:bookmarkStart w:id="1121" w:name="_Toc73527560"/>
      <w:bookmarkStart w:id="1122" w:name="_Toc78389368"/>
      <w:bookmarkStart w:id="1123" w:name="_Toc78389845"/>
      <w:bookmarkStart w:id="1124" w:name="_Toc78390322"/>
      <w:bookmarkStart w:id="1125" w:name="_Toc73526182"/>
      <w:bookmarkStart w:id="1126" w:name="_Toc73527145"/>
      <w:bookmarkStart w:id="1127" w:name="_Toc73527283"/>
      <w:bookmarkStart w:id="1128" w:name="_Toc73527422"/>
      <w:bookmarkStart w:id="1129" w:name="_Toc73527561"/>
      <w:bookmarkStart w:id="1130" w:name="_Toc78389369"/>
      <w:bookmarkStart w:id="1131" w:name="_Toc78389846"/>
      <w:bookmarkStart w:id="1132" w:name="_Toc78390323"/>
      <w:bookmarkStart w:id="1133" w:name="_Toc73526183"/>
      <w:bookmarkStart w:id="1134" w:name="_Toc73527146"/>
      <w:bookmarkStart w:id="1135" w:name="_Toc73527284"/>
      <w:bookmarkStart w:id="1136" w:name="_Toc73527423"/>
      <w:bookmarkStart w:id="1137" w:name="_Toc73527562"/>
      <w:bookmarkStart w:id="1138" w:name="_Toc78389370"/>
      <w:bookmarkStart w:id="1139" w:name="_Toc78389847"/>
      <w:bookmarkStart w:id="1140" w:name="_Toc78390324"/>
      <w:bookmarkStart w:id="1141" w:name="_Toc73526184"/>
      <w:bookmarkStart w:id="1142" w:name="_Toc73527147"/>
      <w:bookmarkStart w:id="1143" w:name="_Toc73527285"/>
      <w:bookmarkStart w:id="1144" w:name="_Toc73527424"/>
      <w:bookmarkStart w:id="1145" w:name="_Toc73527563"/>
      <w:bookmarkStart w:id="1146" w:name="_Toc78389371"/>
      <w:bookmarkStart w:id="1147" w:name="_Toc78389848"/>
      <w:bookmarkStart w:id="1148" w:name="_Toc78390325"/>
      <w:bookmarkStart w:id="1149" w:name="_Toc73526185"/>
      <w:bookmarkStart w:id="1150" w:name="_Toc73527148"/>
      <w:bookmarkStart w:id="1151" w:name="_Toc73527286"/>
      <w:bookmarkStart w:id="1152" w:name="_Toc73527425"/>
      <w:bookmarkStart w:id="1153" w:name="_Toc73527564"/>
      <w:bookmarkStart w:id="1154" w:name="_Toc78389372"/>
      <w:bookmarkStart w:id="1155" w:name="_Toc78389849"/>
      <w:bookmarkStart w:id="1156" w:name="_Toc78390326"/>
      <w:bookmarkStart w:id="1157" w:name="_Toc73526186"/>
      <w:bookmarkStart w:id="1158" w:name="_Toc73527149"/>
      <w:bookmarkStart w:id="1159" w:name="_Toc73527287"/>
      <w:bookmarkStart w:id="1160" w:name="_Toc73527426"/>
      <w:bookmarkStart w:id="1161" w:name="_Toc73527565"/>
      <w:bookmarkStart w:id="1162" w:name="_Toc78389373"/>
      <w:bookmarkStart w:id="1163" w:name="_Toc78389850"/>
      <w:bookmarkStart w:id="1164" w:name="_Toc78390327"/>
      <w:bookmarkStart w:id="1165" w:name="_Toc73526187"/>
      <w:bookmarkStart w:id="1166" w:name="_Toc73527150"/>
      <w:bookmarkStart w:id="1167" w:name="_Toc73527288"/>
      <w:bookmarkStart w:id="1168" w:name="_Toc73527427"/>
      <w:bookmarkStart w:id="1169" w:name="_Toc73527566"/>
      <w:bookmarkStart w:id="1170" w:name="_Toc78389374"/>
      <w:bookmarkStart w:id="1171" w:name="_Toc78389851"/>
      <w:bookmarkStart w:id="1172" w:name="_Toc78390328"/>
      <w:bookmarkStart w:id="1173" w:name="_Toc73526188"/>
      <w:bookmarkStart w:id="1174" w:name="_Toc73527151"/>
      <w:bookmarkStart w:id="1175" w:name="_Toc73527289"/>
      <w:bookmarkStart w:id="1176" w:name="_Toc73527428"/>
      <w:bookmarkStart w:id="1177" w:name="_Toc73527567"/>
      <w:bookmarkStart w:id="1178" w:name="_Toc78389375"/>
      <w:bookmarkStart w:id="1179" w:name="_Toc78389852"/>
      <w:bookmarkStart w:id="1180" w:name="_Toc78390329"/>
      <w:bookmarkStart w:id="1181" w:name="_Toc73526189"/>
      <w:bookmarkStart w:id="1182" w:name="_Toc73527152"/>
      <w:bookmarkStart w:id="1183" w:name="_Toc73527290"/>
      <w:bookmarkStart w:id="1184" w:name="_Toc73527429"/>
      <w:bookmarkStart w:id="1185" w:name="_Toc73527568"/>
      <w:bookmarkStart w:id="1186" w:name="_Toc78389376"/>
      <w:bookmarkStart w:id="1187" w:name="_Toc78389853"/>
      <w:bookmarkStart w:id="1188" w:name="_Toc78390330"/>
      <w:bookmarkStart w:id="1189" w:name="_Toc73526190"/>
      <w:bookmarkStart w:id="1190" w:name="_Toc73527153"/>
      <w:bookmarkStart w:id="1191" w:name="_Toc73527291"/>
      <w:bookmarkStart w:id="1192" w:name="_Toc73527430"/>
      <w:bookmarkStart w:id="1193" w:name="_Toc73527569"/>
      <w:bookmarkStart w:id="1194" w:name="_Toc78389377"/>
      <w:bookmarkStart w:id="1195" w:name="_Toc78389854"/>
      <w:bookmarkStart w:id="1196" w:name="_Toc78390331"/>
      <w:bookmarkStart w:id="1197" w:name="_Toc73526191"/>
      <w:bookmarkStart w:id="1198" w:name="_Toc73527154"/>
      <w:bookmarkStart w:id="1199" w:name="_Toc73527292"/>
      <w:bookmarkStart w:id="1200" w:name="_Toc73527431"/>
      <w:bookmarkStart w:id="1201" w:name="_Toc73527570"/>
      <w:bookmarkStart w:id="1202" w:name="_Toc78389378"/>
      <w:bookmarkStart w:id="1203" w:name="_Toc78389855"/>
      <w:bookmarkStart w:id="1204" w:name="_Toc78390332"/>
      <w:bookmarkStart w:id="1205" w:name="_Toc73526192"/>
      <w:bookmarkStart w:id="1206" w:name="_Toc73527155"/>
      <w:bookmarkStart w:id="1207" w:name="_Toc73527293"/>
      <w:bookmarkStart w:id="1208" w:name="_Toc73527432"/>
      <w:bookmarkStart w:id="1209" w:name="_Toc73527571"/>
      <w:bookmarkStart w:id="1210" w:name="_Toc78389379"/>
      <w:bookmarkStart w:id="1211" w:name="_Toc78389856"/>
      <w:bookmarkStart w:id="1212" w:name="_Toc78390333"/>
      <w:bookmarkStart w:id="1213" w:name="_Toc73526193"/>
      <w:bookmarkStart w:id="1214" w:name="_Toc73527156"/>
      <w:bookmarkStart w:id="1215" w:name="_Toc73527294"/>
      <w:bookmarkStart w:id="1216" w:name="_Toc73527433"/>
      <w:bookmarkStart w:id="1217" w:name="_Toc73527572"/>
      <w:bookmarkStart w:id="1218" w:name="_Toc78389380"/>
      <w:bookmarkStart w:id="1219" w:name="_Toc78389857"/>
      <w:bookmarkStart w:id="1220" w:name="_Toc78390334"/>
      <w:bookmarkStart w:id="1221" w:name="_Toc73526194"/>
      <w:bookmarkStart w:id="1222" w:name="_Toc73527157"/>
      <w:bookmarkStart w:id="1223" w:name="_Toc73527295"/>
      <w:bookmarkStart w:id="1224" w:name="_Toc73527434"/>
      <w:bookmarkStart w:id="1225" w:name="_Toc73527573"/>
      <w:bookmarkStart w:id="1226" w:name="_Toc78389381"/>
      <w:bookmarkStart w:id="1227" w:name="_Toc78389858"/>
      <w:bookmarkStart w:id="1228" w:name="_Toc78390335"/>
      <w:bookmarkStart w:id="1229" w:name="_Toc73526195"/>
      <w:bookmarkStart w:id="1230" w:name="_Toc73527158"/>
      <w:bookmarkStart w:id="1231" w:name="_Toc73527296"/>
      <w:bookmarkStart w:id="1232" w:name="_Toc73527435"/>
      <w:bookmarkStart w:id="1233" w:name="_Toc73527574"/>
      <w:bookmarkStart w:id="1234" w:name="_Toc78389382"/>
      <w:bookmarkStart w:id="1235" w:name="_Toc78389859"/>
      <w:bookmarkStart w:id="1236" w:name="_Toc78390336"/>
      <w:bookmarkStart w:id="1237" w:name="_Toc73526196"/>
      <w:bookmarkStart w:id="1238" w:name="_Toc73527159"/>
      <w:bookmarkStart w:id="1239" w:name="_Toc73527297"/>
      <w:bookmarkStart w:id="1240" w:name="_Toc73527436"/>
      <w:bookmarkStart w:id="1241" w:name="_Toc73527575"/>
      <w:bookmarkStart w:id="1242" w:name="_Toc78389383"/>
      <w:bookmarkStart w:id="1243" w:name="_Toc78389860"/>
      <w:bookmarkStart w:id="1244" w:name="_Toc78390337"/>
      <w:bookmarkStart w:id="1245" w:name="_Toc73526197"/>
      <w:bookmarkStart w:id="1246" w:name="_Toc73527160"/>
      <w:bookmarkStart w:id="1247" w:name="_Toc73527298"/>
      <w:bookmarkStart w:id="1248" w:name="_Toc73527437"/>
      <w:bookmarkStart w:id="1249" w:name="_Toc73527576"/>
      <w:bookmarkStart w:id="1250" w:name="_Toc78389384"/>
      <w:bookmarkStart w:id="1251" w:name="_Toc78389861"/>
      <w:bookmarkStart w:id="1252" w:name="_Toc78390338"/>
      <w:bookmarkStart w:id="1253" w:name="_Toc73526198"/>
      <w:bookmarkStart w:id="1254" w:name="_Toc73527161"/>
      <w:bookmarkStart w:id="1255" w:name="_Toc73527299"/>
      <w:bookmarkStart w:id="1256" w:name="_Toc73527438"/>
      <w:bookmarkStart w:id="1257" w:name="_Toc73527577"/>
      <w:bookmarkStart w:id="1258" w:name="_Toc78389385"/>
      <w:bookmarkStart w:id="1259" w:name="_Toc78389862"/>
      <w:bookmarkStart w:id="1260" w:name="_Toc78390339"/>
      <w:bookmarkStart w:id="1261" w:name="_Toc73526199"/>
      <w:bookmarkStart w:id="1262" w:name="_Toc73527162"/>
      <w:bookmarkStart w:id="1263" w:name="_Toc73527300"/>
      <w:bookmarkStart w:id="1264" w:name="_Toc73527439"/>
      <w:bookmarkStart w:id="1265" w:name="_Toc73527578"/>
      <w:bookmarkStart w:id="1266" w:name="_Toc78389386"/>
      <w:bookmarkStart w:id="1267" w:name="_Toc78389863"/>
      <w:bookmarkStart w:id="1268" w:name="_Toc78390340"/>
      <w:bookmarkStart w:id="1269" w:name="_Toc73526200"/>
      <w:bookmarkStart w:id="1270" w:name="_Toc73527163"/>
      <w:bookmarkStart w:id="1271" w:name="_Toc73527301"/>
      <w:bookmarkStart w:id="1272" w:name="_Toc73527440"/>
      <w:bookmarkStart w:id="1273" w:name="_Toc73527579"/>
      <w:bookmarkStart w:id="1274" w:name="_Toc78389387"/>
      <w:bookmarkStart w:id="1275" w:name="_Toc78389864"/>
      <w:bookmarkStart w:id="1276" w:name="_Toc78390341"/>
      <w:bookmarkStart w:id="1277" w:name="_Toc73526201"/>
      <w:bookmarkStart w:id="1278" w:name="_Toc73527164"/>
      <w:bookmarkStart w:id="1279" w:name="_Toc73527302"/>
      <w:bookmarkStart w:id="1280" w:name="_Toc73527441"/>
      <w:bookmarkStart w:id="1281" w:name="_Toc73527580"/>
      <w:bookmarkStart w:id="1282" w:name="_Toc78389388"/>
      <w:bookmarkStart w:id="1283" w:name="_Toc78389865"/>
      <w:bookmarkStart w:id="1284" w:name="_Toc78390342"/>
      <w:bookmarkStart w:id="1285" w:name="_Toc73526202"/>
      <w:bookmarkStart w:id="1286" w:name="_Toc73527165"/>
      <w:bookmarkStart w:id="1287" w:name="_Toc73527303"/>
      <w:bookmarkStart w:id="1288" w:name="_Toc73527442"/>
      <w:bookmarkStart w:id="1289" w:name="_Toc73527581"/>
      <w:bookmarkStart w:id="1290" w:name="_Toc78389389"/>
      <w:bookmarkStart w:id="1291" w:name="_Toc78389866"/>
      <w:bookmarkStart w:id="1292" w:name="_Toc78390343"/>
      <w:bookmarkStart w:id="1293" w:name="_Toc73526203"/>
      <w:bookmarkStart w:id="1294" w:name="_Toc73527166"/>
      <w:bookmarkStart w:id="1295" w:name="_Toc73527304"/>
      <w:bookmarkStart w:id="1296" w:name="_Toc73527443"/>
      <w:bookmarkStart w:id="1297" w:name="_Toc73527582"/>
      <w:bookmarkStart w:id="1298" w:name="_Toc78389390"/>
      <w:bookmarkStart w:id="1299" w:name="_Toc78389867"/>
      <w:bookmarkStart w:id="1300" w:name="_Toc78390344"/>
      <w:bookmarkStart w:id="1301" w:name="_Toc73526204"/>
      <w:bookmarkStart w:id="1302" w:name="_Toc73527167"/>
      <w:bookmarkStart w:id="1303" w:name="_Toc73527305"/>
      <w:bookmarkStart w:id="1304" w:name="_Toc73527444"/>
      <w:bookmarkStart w:id="1305" w:name="_Toc73527583"/>
      <w:bookmarkStart w:id="1306" w:name="_Toc78389391"/>
      <w:bookmarkStart w:id="1307" w:name="_Toc78389868"/>
      <w:bookmarkStart w:id="1308" w:name="_Toc78390345"/>
      <w:bookmarkStart w:id="1309" w:name="_Toc73526205"/>
      <w:bookmarkStart w:id="1310" w:name="_Toc73527168"/>
      <w:bookmarkStart w:id="1311" w:name="_Toc73527306"/>
      <w:bookmarkStart w:id="1312" w:name="_Toc73527445"/>
      <w:bookmarkStart w:id="1313" w:name="_Toc73527584"/>
      <w:bookmarkStart w:id="1314" w:name="_Toc78389392"/>
      <w:bookmarkStart w:id="1315" w:name="_Toc78389869"/>
      <w:bookmarkStart w:id="1316" w:name="_Toc78390346"/>
      <w:bookmarkStart w:id="1317" w:name="_Toc73526206"/>
      <w:bookmarkStart w:id="1318" w:name="_Toc73527169"/>
      <w:bookmarkStart w:id="1319" w:name="_Toc73527307"/>
      <w:bookmarkStart w:id="1320" w:name="_Toc73527446"/>
      <w:bookmarkStart w:id="1321" w:name="_Toc73527585"/>
      <w:bookmarkStart w:id="1322" w:name="_Toc78389393"/>
      <w:bookmarkStart w:id="1323" w:name="_Toc78389870"/>
      <w:bookmarkStart w:id="1324" w:name="_Toc78390347"/>
      <w:bookmarkStart w:id="1325" w:name="_Toc73526207"/>
      <w:bookmarkStart w:id="1326" w:name="_Toc73527170"/>
      <w:bookmarkStart w:id="1327" w:name="_Toc73527308"/>
      <w:bookmarkStart w:id="1328" w:name="_Toc73527447"/>
      <w:bookmarkStart w:id="1329" w:name="_Toc73527586"/>
      <w:bookmarkStart w:id="1330" w:name="_Toc78389394"/>
      <w:bookmarkStart w:id="1331" w:name="_Toc78389871"/>
      <w:bookmarkStart w:id="1332" w:name="_Toc78390348"/>
      <w:bookmarkStart w:id="1333" w:name="_Toc73526208"/>
      <w:bookmarkStart w:id="1334" w:name="_Toc73527171"/>
      <w:bookmarkStart w:id="1335" w:name="_Toc73527309"/>
      <w:bookmarkStart w:id="1336" w:name="_Toc73527448"/>
      <w:bookmarkStart w:id="1337" w:name="_Toc73527587"/>
      <w:bookmarkStart w:id="1338" w:name="_Toc78389395"/>
      <w:bookmarkStart w:id="1339" w:name="_Toc78389872"/>
      <w:bookmarkStart w:id="1340" w:name="_Toc78390349"/>
      <w:bookmarkStart w:id="1341" w:name="_Toc73526209"/>
      <w:bookmarkStart w:id="1342" w:name="_Toc73527172"/>
      <w:bookmarkStart w:id="1343" w:name="_Toc73527310"/>
      <w:bookmarkStart w:id="1344" w:name="_Toc73527449"/>
      <w:bookmarkStart w:id="1345" w:name="_Toc73527588"/>
      <w:bookmarkStart w:id="1346" w:name="_Toc78389396"/>
      <w:bookmarkStart w:id="1347" w:name="_Toc78389873"/>
      <w:bookmarkStart w:id="1348" w:name="_Toc78390350"/>
      <w:bookmarkStart w:id="1349" w:name="_Toc73526210"/>
      <w:bookmarkStart w:id="1350" w:name="_Toc73527173"/>
      <w:bookmarkStart w:id="1351" w:name="_Toc73527311"/>
      <w:bookmarkStart w:id="1352" w:name="_Toc73527450"/>
      <w:bookmarkStart w:id="1353" w:name="_Toc73527589"/>
      <w:bookmarkStart w:id="1354" w:name="_Toc78389397"/>
      <w:bookmarkStart w:id="1355" w:name="_Toc78389874"/>
      <w:bookmarkStart w:id="1356" w:name="_Toc78390351"/>
      <w:bookmarkStart w:id="1357" w:name="_Toc73526211"/>
      <w:bookmarkStart w:id="1358" w:name="_Toc73527174"/>
      <w:bookmarkStart w:id="1359" w:name="_Toc73527312"/>
      <w:bookmarkStart w:id="1360" w:name="_Toc73527451"/>
      <w:bookmarkStart w:id="1361" w:name="_Toc73527590"/>
      <w:bookmarkStart w:id="1362" w:name="_Toc78389398"/>
      <w:bookmarkStart w:id="1363" w:name="_Toc78389875"/>
      <w:bookmarkStart w:id="1364" w:name="_Toc78390352"/>
      <w:bookmarkStart w:id="1365" w:name="_Toc73526212"/>
      <w:bookmarkStart w:id="1366" w:name="_Toc73527175"/>
      <w:bookmarkStart w:id="1367" w:name="_Toc73527313"/>
      <w:bookmarkStart w:id="1368" w:name="_Toc73527452"/>
      <w:bookmarkStart w:id="1369" w:name="_Toc73527591"/>
      <w:bookmarkStart w:id="1370" w:name="_Toc78389399"/>
      <w:bookmarkStart w:id="1371" w:name="_Toc78389876"/>
      <w:bookmarkStart w:id="1372" w:name="_Toc78390353"/>
      <w:bookmarkStart w:id="1373" w:name="_Toc73526213"/>
      <w:bookmarkStart w:id="1374" w:name="_Toc73527176"/>
      <w:bookmarkStart w:id="1375" w:name="_Toc73527314"/>
      <w:bookmarkStart w:id="1376" w:name="_Toc73527453"/>
      <w:bookmarkStart w:id="1377" w:name="_Toc73527592"/>
      <w:bookmarkStart w:id="1378" w:name="_Toc78389400"/>
      <w:bookmarkStart w:id="1379" w:name="_Toc78389877"/>
      <w:bookmarkStart w:id="1380" w:name="_Toc78390354"/>
      <w:bookmarkStart w:id="1381" w:name="_Toc73526214"/>
      <w:bookmarkStart w:id="1382" w:name="_Toc73527177"/>
      <w:bookmarkStart w:id="1383" w:name="_Toc73527315"/>
      <w:bookmarkStart w:id="1384" w:name="_Toc73527454"/>
      <w:bookmarkStart w:id="1385" w:name="_Toc73527593"/>
      <w:bookmarkStart w:id="1386" w:name="_Toc78389401"/>
      <w:bookmarkStart w:id="1387" w:name="_Toc78389878"/>
      <w:bookmarkStart w:id="1388" w:name="_Toc78390355"/>
      <w:bookmarkStart w:id="1389" w:name="_Toc73526215"/>
      <w:bookmarkStart w:id="1390" w:name="_Toc73527178"/>
      <w:bookmarkStart w:id="1391" w:name="_Toc73527316"/>
      <w:bookmarkStart w:id="1392" w:name="_Toc73527455"/>
      <w:bookmarkStart w:id="1393" w:name="_Toc73527594"/>
      <w:bookmarkStart w:id="1394" w:name="_Toc78389402"/>
      <w:bookmarkStart w:id="1395" w:name="_Toc78389879"/>
      <w:bookmarkStart w:id="1396" w:name="_Toc78390356"/>
      <w:bookmarkStart w:id="1397" w:name="_Toc73526216"/>
      <w:bookmarkStart w:id="1398" w:name="_Toc73527179"/>
      <w:bookmarkStart w:id="1399" w:name="_Toc73527317"/>
      <w:bookmarkStart w:id="1400" w:name="_Toc73527456"/>
      <w:bookmarkStart w:id="1401" w:name="_Toc73527595"/>
      <w:bookmarkStart w:id="1402" w:name="_Toc78389403"/>
      <w:bookmarkStart w:id="1403" w:name="_Toc78389880"/>
      <w:bookmarkStart w:id="1404" w:name="_Toc78390357"/>
      <w:bookmarkStart w:id="1405" w:name="_Toc73526217"/>
      <w:bookmarkStart w:id="1406" w:name="_Toc73527180"/>
      <w:bookmarkStart w:id="1407" w:name="_Toc73527318"/>
      <w:bookmarkStart w:id="1408" w:name="_Toc73527457"/>
      <w:bookmarkStart w:id="1409" w:name="_Toc73527596"/>
      <w:bookmarkStart w:id="1410" w:name="_Toc78389404"/>
      <w:bookmarkStart w:id="1411" w:name="_Toc78389881"/>
      <w:bookmarkStart w:id="1412" w:name="_Toc78390358"/>
      <w:bookmarkStart w:id="1413" w:name="_Toc73526218"/>
      <w:bookmarkStart w:id="1414" w:name="_Toc73527181"/>
      <w:bookmarkStart w:id="1415" w:name="_Toc73527319"/>
      <w:bookmarkStart w:id="1416" w:name="_Toc73527458"/>
      <w:bookmarkStart w:id="1417" w:name="_Toc73527597"/>
      <w:bookmarkStart w:id="1418" w:name="_Toc78389405"/>
      <w:bookmarkStart w:id="1419" w:name="_Toc78389882"/>
      <w:bookmarkStart w:id="1420" w:name="_Toc78390359"/>
      <w:bookmarkStart w:id="1421" w:name="_Toc73526219"/>
      <w:bookmarkStart w:id="1422" w:name="_Toc73527182"/>
      <w:bookmarkStart w:id="1423" w:name="_Toc73527320"/>
      <w:bookmarkStart w:id="1424" w:name="_Toc73527459"/>
      <w:bookmarkStart w:id="1425" w:name="_Toc73527598"/>
      <w:bookmarkStart w:id="1426" w:name="_Toc78389406"/>
      <w:bookmarkStart w:id="1427" w:name="_Toc78389883"/>
      <w:bookmarkStart w:id="1428" w:name="_Toc78390360"/>
      <w:bookmarkStart w:id="1429" w:name="_Toc73526220"/>
      <w:bookmarkStart w:id="1430" w:name="_Toc73527183"/>
      <w:bookmarkStart w:id="1431" w:name="_Toc73527321"/>
      <w:bookmarkStart w:id="1432" w:name="_Toc73527460"/>
      <w:bookmarkStart w:id="1433" w:name="_Toc73527599"/>
      <w:bookmarkStart w:id="1434" w:name="_Toc78389407"/>
      <w:bookmarkStart w:id="1435" w:name="_Toc78389884"/>
      <w:bookmarkStart w:id="1436" w:name="_Toc78390361"/>
      <w:bookmarkStart w:id="1437" w:name="_Toc73526221"/>
      <w:bookmarkStart w:id="1438" w:name="_Toc73527184"/>
      <w:bookmarkStart w:id="1439" w:name="_Toc73527322"/>
      <w:bookmarkStart w:id="1440" w:name="_Toc73527461"/>
      <w:bookmarkStart w:id="1441" w:name="_Toc73527600"/>
      <w:bookmarkStart w:id="1442" w:name="_Toc78389408"/>
      <w:bookmarkStart w:id="1443" w:name="_Toc78389885"/>
      <w:bookmarkStart w:id="1444" w:name="_Toc78390362"/>
      <w:bookmarkStart w:id="1445" w:name="_Toc73526222"/>
      <w:bookmarkStart w:id="1446" w:name="_Toc73527185"/>
      <w:bookmarkStart w:id="1447" w:name="_Toc73527323"/>
      <w:bookmarkStart w:id="1448" w:name="_Toc73527462"/>
      <w:bookmarkStart w:id="1449" w:name="_Toc73527601"/>
      <w:bookmarkStart w:id="1450" w:name="_Toc78389409"/>
      <w:bookmarkStart w:id="1451" w:name="_Toc78389886"/>
      <w:bookmarkStart w:id="1452" w:name="_Toc78390363"/>
      <w:bookmarkStart w:id="1453" w:name="_Toc73526223"/>
      <w:bookmarkStart w:id="1454" w:name="_Toc73527186"/>
      <w:bookmarkStart w:id="1455" w:name="_Toc73527324"/>
      <w:bookmarkStart w:id="1456" w:name="_Toc73527463"/>
      <w:bookmarkStart w:id="1457" w:name="_Toc73527602"/>
      <w:bookmarkStart w:id="1458" w:name="_Toc78389410"/>
      <w:bookmarkStart w:id="1459" w:name="_Toc78389887"/>
      <w:bookmarkStart w:id="1460" w:name="_Toc78390364"/>
      <w:bookmarkStart w:id="1461" w:name="_Toc73526224"/>
      <w:bookmarkStart w:id="1462" w:name="_Toc73527187"/>
      <w:bookmarkStart w:id="1463" w:name="_Toc73527325"/>
      <w:bookmarkStart w:id="1464" w:name="_Toc73527464"/>
      <w:bookmarkStart w:id="1465" w:name="_Toc73527603"/>
      <w:bookmarkStart w:id="1466" w:name="_Toc78389411"/>
      <w:bookmarkStart w:id="1467" w:name="_Toc78389888"/>
      <w:bookmarkStart w:id="1468" w:name="_Toc78390365"/>
      <w:bookmarkStart w:id="1469" w:name="_Toc73526225"/>
      <w:bookmarkStart w:id="1470" w:name="_Toc73527188"/>
      <w:bookmarkStart w:id="1471" w:name="_Toc73527326"/>
      <w:bookmarkStart w:id="1472" w:name="_Toc73527465"/>
      <w:bookmarkStart w:id="1473" w:name="_Toc73527604"/>
      <w:bookmarkStart w:id="1474" w:name="_Toc78389412"/>
      <w:bookmarkStart w:id="1475" w:name="_Toc78389889"/>
      <w:bookmarkStart w:id="1476" w:name="_Toc78390366"/>
      <w:bookmarkStart w:id="1477" w:name="_Toc73526226"/>
      <w:bookmarkStart w:id="1478" w:name="_Toc73527189"/>
      <w:bookmarkStart w:id="1479" w:name="_Toc73527327"/>
      <w:bookmarkStart w:id="1480" w:name="_Toc73527466"/>
      <w:bookmarkStart w:id="1481" w:name="_Toc73527605"/>
      <w:bookmarkStart w:id="1482" w:name="_Toc78389413"/>
      <w:bookmarkStart w:id="1483" w:name="_Toc78389890"/>
      <w:bookmarkStart w:id="1484" w:name="_Toc78390367"/>
      <w:bookmarkStart w:id="1485" w:name="_Toc73526227"/>
      <w:bookmarkStart w:id="1486" w:name="_Toc73527190"/>
      <w:bookmarkStart w:id="1487" w:name="_Toc73527328"/>
      <w:bookmarkStart w:id="1488" w:name="_Toc73527467"/>
      <w:bookmarkStart w:id="1489" w:name="_Toc73527606"/>
      <w:bookmarkStart w:id="1490" w:name="_Toc78389414"/>
      <w:bookmarkStart w:id="1491" w:name="_Toc78389891"/>
      <w:bookmarkStart w:id="1492" w:name="_Toc78390368"/>
      <w:bookmarkStart w:id="1493" w:name="_Toc59107665"/>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r>
        <w:t xml:space="preserve">Organizational) </w:t>
      </w:r>
      <w:r w:rsidR="3E0EE64A">
        <w:t>resilience</w:t>
      </w:r>
      <w:bookmarkEnd w:id="910"/>
      <w:bookmarkEnd w:id="1493"/>
    </w:p>
    <w:p w14:paraId="4468DDFF" w14:textId="77777777" w:rsidR="00855F95" w:rsidRPr="002C023A" w:rsidRDefault="00855F95" w:rsidP="00855F95">
      <w:pPr>
        <w:pStyle w:val="BodyText"/>
        <w:spacing w:after="120"/>
        <w:ind w:firstLine="567"/>
        <w:rPr>
          <w:szCs w:val="24"/>
        </w:rPr>
      </w:pPr>
      <w:r w:rsidRPr="002C023A">
        <w:rPr>
          <w:szCs w:val="24"/>
        </w:rPr>
        <w:t xml:space="preserve">The concept of resilience has gained more attention over the last ten years. Resilience is defined as the ability to withstand and adapt to stress and challenge and continue, or even advance, performance. Within high reliability organizations Resilience Engineering (RE), a discipline within safety science dedicated to building resilience within the organization, has provided a complementary perspective on how to manage unexpected situations and thrive safely. The core goal of RE is to build organizational capacity to withstand, adapt and bounce back from unexpected situations and return to safe operations. Through the research and application within high-hazard arenas, RE provides various methods that build adaptive capacity and consequently strengthen resilience. Some of these techniques and approaches are very similar to those implemented for decades within the nuclear industry, like processes on how best to respond, monitor, learn, and anticipate. </w:t>
      </w:r>
    </w:p>
    <w:p w14:paraId="0619555C" w14:textId="77777777" w:rsidR="00855F95" w:rsidRPr="002C023A" w:rsidRDefault="00855F95" w:rsidP="00855F95">
      <w:pPr>
        <w:pStyle w:val="BodyText"/>
        <w:spacing w:after="120"/>
        <w:ind w:firstLine="567"/>
        <w:rPr>
          <w:szCs w:val="24"/>
        </w:rPr>
      </w:pPr>
      <w:r w:rsidRPr="002C023A">
        <w:rPr>
          <w:szCs w:val="24"/>
        </w:rPr>
        <w:t xml:space="preserve">However, the novel concept RE offers the nuclear and other high-hazard industries, is where the effort is focused. Often work is rationalized and when looking closer how work was performed it will reveal several of gaps between work as imagined and work as done. The tendency is to plan work in a linear fashion and look back on the actions that took place prior to the event occurrence. The gap that exists between work as imagined and work as done, is called drift. And recently, drift has been more actively explored for the efficiencies and improvements it can bring to work processes. Learning from the study of these gaps between “work as planned” and “work as done” is one way to increase adaptive capacity and strengthen resilience, and in a number of ways: first, it creates efficiencies, conserving capacity. And second, the act of understanding these inefficient and/or less effective modes of operating, exercise engagement, reflection, and critical decision-making. And, when done in a team environment, also foster team collaborations. These are all capabilities that foster resilience and increase adaptive capacity. </w:t>
      </w:r>
    </w:p>
    <w:p w14:paraId="14EC561C" w14:textId="77777777" w:rsidR="00855F95" w:rsidRPr="002C023A" w:rsidRDefault="00855F95" w:rsidP="00855F95">
      <w:pPr>
        <w:pStyle w:val="BodyText"/>
        <w:spacing w:after="120"/>
        <w:ind w:firstLine="567"/>
        <w:rPr>
          <w:szCs w:val="24"/>
        </w:rPr>
      </w:pPr>
      <w:r w:rsidRPr="002C023A">
        <w:rPr>
          <w:szCs w:val="24"/>
        </w:rPr>
        <w:t xml:space="preserve">Building adaptive capacity into the management system is also necessary to strengthen organizational resilience. For example, by building controlled flexibility into existing procedures. If the procedure cannot be adhered to, it is likely an indicator of ineffectiveness. </w:t>
      </w:r>
      <w:r w:rsidRPr="002C023A">
        <w:rPr>
          <w:szCs w:val="24"/>
        </w:rPr>
        <w:lastRenderedPageBreak/>
        <w:t xml:space="preserve">Therefore, it may require that a controlled process be followed that paradoxically allows the system to respond more flexibly. </w:t>
      </w:r>
    </w:p>
    <w:p w14:paraId="49B01FAD" w14:textId="77777777" w:rsidR="00855F95" w:rsidRPr="002C023A" w:rsidRDefault="00855F95" w:rsidP="00855F95">
      <w:pPr>
        <w:pStyle w:val="BodyText"/>
        <w:spacing w:after="120"/>
        <w:ind w:firstLine="567"/>
        <w:rPr>
          <w:szCs w:val="24"/>
        </w:rPr>
      </w:pPr>
      <w:r w:rsidRPr="002C023A">
        <w:rPr>
          <w:szCs w:val="24"/>
        </w:rPr>
        <w:t xml:space="preserve">In addition, resilience can also be built through exercises similar as the stress tests. To create forums for diverse group of individuals to “think-out-of-box" for identifying technical, organizational, human resilience capacities. The technique of ideation can be a helpful tool, as it quickly produces creative thinking and structure the outcome of the process. Examples of areas to explore can be possible design extension conditions, emergency equipment's, scenarios for training the management of unexpected or more widely explore what risks has not been considered. </w:t>
      </w:r>
    </w:p>
    <w:p w14:paraId="04BC0FD6" w14:textId="77777777" w:rsidR="00855F95" w:rsidRPr="002C023A" w:rsidRDefault="00855F95" w:rsidP="00855F95">
      <w:pPr>
        <w:pStyle w:val="BodyText"/>
        <w:spacing w:after="120"/>
        <w:ind w:firstLine="567"/>
        <w:rPr>
          <w:szCs w:val="24"/>
        </w:rPr>
      </w:pPr>
      <w:r w:rsidRPr="002C023A">
        <w:rPr>
          <w:szCs w:val="24"/>
        </w:rPr>
        <w:t xml:space="preserve">Resilience can also be generated through utilization of artificial intelligence. Today’s, advancement with digitalization opens up for new ways of using data. IT-system can be created to better foresee potential pitfalls and generate better overview of the operational process as well as the maintenance parameters. </w:t>
      </w:r>
    </w:p>
    <w:p w14:paraId="3DB82C01" w14:textId="77777777" w:rsidR="00855F95" w:rsidRPr="002C023A" w:rsidRDefault="00855F95" w:rsidP="00855F95">
      <w:pPr>
        <w:pStyle w:val="BodyText"/>
        <w:spacing w:after="120"/>
        <w:ind w:firstLine="567"/>
        <w:rPr>
          <w:szCs w:val="24"/>
        </w:rPr>
      </w:pPr>
      <w:r w:rsidRPr="002C023A">
        <w:rPr>
          <w:szCs w:val="24"/>
        </w:rPr>
        <w:t xml:space="preserve">Four initial steps are recommended to build adaptive capacity and resilience into the nuclear organization: </w:t>
      </w:r>
    </w:p>
    <w:p w14:paraId="5D7D0318" w14:textId="1722AAD7" w:rsidR="00855F95" w:rsidRPr="002C023A" w:rsidRDefault="00855F95" w:rsidP="00855F95">
      <w:pPr>
        <w:pStyle w:val="ListParagraph"/>
        <w:numPr>
          <w:ilvl w:val="0"/>
          <w:numId w:val="1"/>
        </w:numPr>
        <w:rPr>
          <w:rFonts w:ascii="Times New Roman" w:hAnsi="Times New Roman" w:cs="Times New Roman"/>
          <w:sz w:val="24"/>
          <w:szCs w:val="24"/>
        </w:rPr>
      </w:pPr>
      <w:r w:rsidRPr="002C023A">
        <w:rPr>
          <w:rFonts w:ascii="Times New Roman" w:hAnsi="Times New Roman" w:cs="Times New Roman"/>
          <w:sz w:val="24"/>
          <w:szCs w:val="24"/>
        </w:rPr>
        <w:t>Acknowledge there are both residual (existing) and emergent risks. It is not possible to anticipate and prepare for all potential events or build a perfect system. Building resilience into the system enhances its adaptive capacity, or its capacity to address the unexpected without negative incident.</w:t>
      </w:r>
    </w:p>
    <w:p w14:paraId="1FEC9CAB" w14:textId="77777777" w:rsidR="00855F95" w:rsidRPr="002C023A" w:rsidRDefault="00855F95" w:rsidP="00855F95">
      <w:pPr>
        <w:pStyle w:val="ListParagraph"/>
        <w:numPr>
          <w:ilvl w:val="0"/>
          <w:numId w:val="1"/>
        </w:numPr>
        <w:rPr>
          <w:rFonts w:ascii="Times New Roman" w:hAnsi="Times New Roman" w:cs="Times New Roman"/>
          <w:sz w:val="24"/>
          <w:szCs w:val="24"/>
        </w:rPr>
      </w:pPr>
      <w:r w:rsidRPr="002C023A">
        <w:rPr>
          <w:rFonts w:ascii="Times New Roman" w:eastAsia="Times New Roman" w:hAnsi="Times New Roman" w:cs="Times New Roman"/>
          <w:sz w:val="24"/>
          <w:szCs w:val="24"/>
        </w:rPr>
        <w:t>Analyse and be sensitive for gaps between work as planned and work as performed. Use the insights gained through this analysis to close gaps. Take advantage of the opportunity to learn from transgressions from work as planned. Drift away from work as planned is often the safest route to success and/or avoidance of error. of the organization’s ways of working to close gaps and improve.</w:t>
      </w:r>
    </w:p>
    <w:p w14:paraId="534303A4" w14:textId="77777777" w:rsidR="00855F95" w:rsidRPr="002C023A" w:rsidRDefault="00855F95" w:rsidP="00855F95">
      <w:pPr>
        <w:pStyle w:val="ListParagraph"/>
        <w:numPr>
          <w:ilvl w:val="0"/>
          <w:numId w:val="1"/>
        </w:numPr>
        <w:rPr>
          <w:rFonts w:ascii="Times New Roman" w:hAnsi="Times New Roman" w:cs="Times New Roman"/>
          <w:sz w:val="24"/>
          <w:szCs w:val="24"/>
        </w:rPr>
      </w:pPr>
      <w:r w:rsidRPr="002C023A">
        <w:rPr>
          <w:rFonts w:ascii="Times New Roman" w:eastAsia="Times New Roman" w:hAnsi="Times New Roman" w:cs="Times New Roman"/>
          <w:sz w:val="24"/>
          <w:szCs w:val="24"/>
        </w:rPr>
        <w:t>Allow slack in the organization to leave time for reflection and learning. Build Shared Space into the organization to allow time to reflect, think and learn – if possible, for individuals and as a team. Because the organization is often reinforced to be operationally lean, adding slack in the system may require flexibility and the resource of time. Doing so will grow critical thinking skills and develop the ability to handle the complexity of the nuclear socio-technical system.</w:t>
      </w:r>
    </w:p>
    <w:p w14:paraId="4CEF9B45" w14:textId="1D0CB5F3" w:rsidR="00855F95" w:rsidRPr="002C023A" w:rsidRDefault="00855F95" w:rsidP="00855F95">
      <w:pPr>
        <w:pStyle w:val="ListParagraph"/>
        <w:numPr>
          <w:ilvl w:val="0"/>
          <w:numId w:val="1"/>
        </w:numPr>
        <w:rPr>
          <w:rFonts w:ascii="Times New Roman" w:hAnsi="Times New Roman" w:cs="Times New Roman"/>
          <w:sz w:val="24"/>
          <w:szCs w:val="24"/>
        </w:rPr>
      </w:pPr>
      <w:r w:rsidRPr="002C023A">
        <w:rPr>
          <w:rFonts w:ascii="Times New Roman" w:eastAsia="Times New Roman" w:hAnsi="Times New Roman" w:cs="Times New Roman"/>
          <w:sz w:val="24"/>
          <w:szCs w:val="24"/>
        </w:rPr>
        <w:t>Create forums for dynamic thinking to explore new solutions or scenarios which could lead to new solutions and innovation and uncover previously unrecognized risks. Different techniques are available to facilitate the creative process.</w:t>
      </w:r>
    </w:p>
    <w:p w14:paraId="2A3BB50C" w14:textId="3DAFDD5C" w:rsidR="095E9B11" w:rsidRPr="000C28B9" w:rsidRDefault="095E9B11" w:rsidP="095E9B11">
      <w:pPr>
        <w:pStyle w:val="BodyText"/>
        <w:rPr>
          <w:szCs w:val="24"/>
        </w:rPr>
      </w:pPr>
    </w:p>
    <w:p w14:paraId="53622F9E" w14:textId="0013B7D0" w:rsidR="095E9B11" w:rsidRDefault="2B9F79D9" w:rsidP="001943B9">
      <w:pPr>
        <w:pStyle w:val="Heading2"/>
      </w:pPr>
      <w:bookmarkStart w:id="1494" w:name="_Toc87627679"/>
      <w:r>
        <w:t xml:space="preserve">Operational </w:t>
      </w:r>
      <w:r w:rsidR="13E40FC4">
        <w:t>Risk Management</w:t>
      </w:r>
      <w:bookmarkEnd w:id="1494"/>
    </w:p>
    <w:p w14:paraId="63728332" w14:textId="5FB48683" w:rsidR="006A60E4" w:rsidRDefault="006A60E4" w:rsidP="0083547D">
      <w:pPr>
        <w:snapToGrid w:val="0"/>
        <w:ind w:firstLine="567"/>
      </w:pPr>
      <w:r>
        <w:t xml:space="preserve">Today’s nuclear stations have organizational structures that support both safety and continued reliable station operations. Leadership post-Fukushima have led to increased introspection for how organizations are structured to identify and manage risk contributors to business continuity. Leaders should be knowledgeable of the risk contributors to safety and plant business interruptions. Clearly, a comprehensive understanding of risk contributors involves education and training covering multiple sources of risk hazards. For the purposes of this report, ISiD is focused on nuclear safety. Other enterprise risk hazards exist and are further described in Appendix 1. </w:t>
      </w:r>
    </w:p>
    <w:p w14:paraId="3B2011FF" w14:textId="77777777" w:rsidR="006A60E4" w:rsidRDefault="006A60E4" w:rsidP="006A60E4">
      <w:pPr>
        <w:snapToGrid w:val="0"/>
        <w:ind w:firstLine="567"/>
      </w:pPr>
      <w:r>
        <w:lastRenderedPageBreak/>
        <w:t xml:space="preserve">Nuclear industry leaders, including regulatory authorities, have the responsibility to ensure that organizational provisions are in place to address and manage these risk sources commensurate with their significance to safety and production. </w:t>
      </w:r>
      <w:r w:rsidRPr="00A40193">
        <w:rPr>
          <w:b/>
          <w:bCs/>
        </w:rPr>
        <w:t>Organizational strength in training, procedural practices, problem identification/reporting, education, decision-making, and communications are essential both across and throughout organizations</w:t>
      </w:r>
      <w:r>
        <w:t xml:space="preserve">. All of which lead to improved organizational technical competence and performance. These concepts are further highlighted in INPO’s 12-008, Excellence in Integrated Risk Management which emphasizes the following five sequential elements of integrated risk management: </w:t>
      </w:r>
    </w:p>
    <w:p w14:paraId="568D1C99" w14:textId="6B29CB8E" w:rsidR="006A60E4" w:rsidRDefault="006A60E4" w:rsidP="00AC768F">
      <w:pPr>
        <w:pStyle w:val="ListParagraph"/>
        <w:numPr>
          <w:ilvl w:val="0"/>
          <w:numId w:val="12"/>
        </w:numPr>
        <w:snapToGrid w:val="0"/>
        <w:spacing w:line="240" w:lineRule="auto"/>
      </w:pPr>
      <w:r w:rsidRPr="00A40193">
        <w:rPr>
          <w:b/>
          <w:bCs/>
        </w:rPr>
        <w:t>Identify the Potential Risks</w:t>
      </w:r>
      <w:r>
        <w:t xml:space="preserve">: Implement methods to identify conditions and activities that individually and collectively have the potential to result in adverse outcomes.  </w:t>
      </w:r>
    </w:p>
    <w:p w14:paraId="7E8EFD4F" w14:textId="676EF47D" w:rsidR="006A60E4" w:rsidRDefault="006A60E4" w:rsidP="00AC768F">
      <w:pPr>
        <w:pStyle w:val="ListParagraph"/>
        <w:numPr>
          <w:ilvl w:val="0"/>
          <w:numId w:val="12"/>
        </w:numPr>
        <w:snapToGrid w:val="0"/>
      </w:pPr>
      <w:r w:rsidRPr="00A40193">
        <w:rPr>
          <w:b/>
          <w:bCs/>
        </w:rPr>
        <w:t>Assess the Risk</w:t>
      </w:r>
      <w:r>
        <w:t xml:space="preserve">: Analyze, quantify, and qualify the likelihood of adverse outcomes. </w:t>
      </w:r>
    </w:p>
    <w:p w14:paraId="4E98B6D6" w14:textId="015D7FDA" w:rsidR="006A60E4" w:rsidRDefault="006A60E4" w:rsidP="00AC768F">
      <w:pPr>
        <w:pStyle w:val="ListParagraph"/>
        <w:numPr>
          <w:ilvl w:val="0"/>
          <w:numId w:val="12"/>
        </w:numPr>
        <w:snapToGrid w:val="0"/>
        <w:spacing w:line="240" w:lineRule="auto"/>
      </w:pPr>
      <w:r w:rsidRPr="00A40193">
        <w:rPr>
          <w:b/>
          <w:bCs/>
        </w:rPr>
        <w:t>Minimize or Mitigate the Risk</w:t>
      </w:r>
      <w:r>
        <w:t xml:space="preserve">: Develop strategies, define roles and responsibilities, and identify tools to prevent unnecessary risk or to mitigate residual risk. </w:t>
      </w:r>
    </w:p>
    <w:p w14:paraId="53AB0263" w14:textId="335E4B9A" w:rsidR="006A60E4" w:rsidRDefault="006A60E4" w:rsidP="00AC768F">
      <w:pPr>
        <w:pStyle w:val="ListParagraph"/>
        <w:numPr>
          <w:ilvl w:val="0"/>
          <w:numId w:val="12"/>
        </w:numPr>
        <w:snapToGrid w:val="0"/>
      </w:pPr>
      <w:r w:rsidRPr="00A40193">
        <w:rPr>
          <w:b/>
          <w:bCs/>
        </w:rPr>
        <w:t>Implement Risk Management Strategies</w:t>
      </w:r>
      <w:r>
        <w:t xml:space="preserve">: Implement activities necessary to control, execute, and monitor risk management strategies. </w:t>
      </w:r>
    </w:p>
    <w:p w14:paraId="62877737" w14:textId="00BFD73E" w:rsidR="006A60E4" w:rsidRDefault="006A60E4" w:rsidP="00AC768F">
      <w:pPr>
        <w:pStyle w:val="ListParagraph"/>
        <w:numPr>
          <w:ilvl w:val="0"/>
          <w:numId w:val="12"/>
        </w:numPr>
        <w:snapToGrid w:val="0"/>
      </w:pPr>
      <w:r w:rsidRPr="00A40193">
        <w:rPr>
          <w:b/>
          <w:bCs/>
        </w:rPr>
        <w:t>Learn and Adapt</w:t>
      </w:r>
      <w:r>
        <w:t xml:space="preserve">: Periodically evaluate risk management strategies to identify and implement improvements to minimize risk. </w:t>
      </w:r>
    </w:p>
    <w:p w14:paraId="3D31C00C" w14:textId="33FB2AFB" w:rsidR="006A60E4" w:rsidRDefault="006A60E4" w:rsidP="006A60E4">
      <w:pPr>
        <w:snapToGrid w:val="0"/>
        <w:ind w:firstLine="567"/>
      </w:pPr>
      <w:r>
        <w:t>The areas identified in INPO 12-008, represent key process elements supporting robust organizational strength-in-depth</w:t>
      </w:r>
      <w:r w:rsidR="568F6BA5">
        <w:t xml:space="preserve"> (</w:t>
      </w:r>
      <w:r>
        <w:t>ISiD</w:t>
      </w:r>
      <w:r w:rsidR="1D67C076">
        <w:t>)</w:t>
      </w:r>
      <w:r>
        <w:t xml:space="preserve"> that leaders need to monitor and advocate. This includes periodic scrutiny relative to ing questioning the organizational effectiveness across all enterprise risk contributors in order to support continuous learning and improvement. Overlaying this section’s concepts during the discourse of this document can be helpful for identifying areas of improvement and other organizational gaps that may need strengthening.</w:t>
      </w:r>
    </w:p>
    <w:p w14:paraId="61637144" w14:textId="77777777" w:rsidR="006A60E4" w:rsidRDefault="006A60E4" w:rsidP="006A60E4">
      <w:pPr>
        <w:snapToGrid w:val="0"/>
        <w:ind w:firstLine="567"/>
      </w:pPr>
      <w:r>
        <w:t xml:space="preserve">The discussion below describes role of operational risk management from an ISiD perspective and associated organizational framework. The focus of this section is to describe risk-informed management organizational processes and elements as an integral part of ISiD. Also discussed are the different organizational levels of risk exposure for utilities with corporate facilities and separate facilities (i.e., fleet of assets at different locations). The parent corporation is considered linked to its separately located assets (i.e., facilities) and therefore risk hazards are linked from the individual assets up through and including the corporation. Organizations with deep provisions ISiD and resilience have formal communication processes to identify, evaluate, and implement corrections or other provisional actions quickly, efficiently, and effectively. The discussion below further describes these features as part of recognition of the sources of risk and management of those risks horizontally and vertically throughout organizations managing multiple assets. A clear understanding of the concept risk informed is important. This is illustrated below in which probabilistic information is combined or “blended” with deterministic information. This strengthens the decision-making process since both sets of information work together to take into consideration other factors outside the design basis in which to deliberate. </w:t>
      </w:r>
    </w:p>
    <w:p w14:paraId="3EFD1572" w14:textId="181BC6FF" w:rsidR="006A60E4" w:rsidRDefault="00733139" w:rsidP="00A40193">
      <w:pPr>
        <w:snapToGrid w:val="0"/>
      </w:pPr>
      <w:r>
        <w:rPr>
          <w:noProof/>
        </w:rPr>
        <w:lastRenderedPageBreak/>
        <w:drawing>
          <wp:inline distT="0" distB="0" distL="0" distR="0" wp14:anchorId="7CADE7B2" wp14:editId="662055B9">
            <wp:extent cx="5731510" cy="3223895"/>
            <wp:effectExtent l="0" t="0" r="2540" b="0"/>
            <wp:docPr id="14" name="Picture 14"/>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stretch>
                      <a:fillRect/>
                    </a:stretch>
                  </pic:blipFill>
                  <pic:spPr>
                    <a:xfrm>
                      <a:off x="0" y="0"/>
                      <a:ext cx="5731510" cy="3223895"/>
                    </a:xfrm>
                    <a:prstGeom prst="rect">
                      <a:avLst/>
                    </a:prstGeom>
                  </pic:spPr>
                </pic:pic>
              </a:graphicData>
            </a:graphic>
          </wp:inline>
        </w:drawing>
      </w:r>
    </w:p>
    <w:p w14:paraId="0E2C84CB" w14:textId="77777777" w:rsidR="006A60E4" w:rsidRDefault="006A60E4" w:rsidP="006A60E4">
      <w:pPr>
        <w:snapToGrid w:val="0"/>
        <w:ind w:firstLine="567"/>
      </w:pPr>
    </w:p>
    <w:p w14:paraId="5CEF1312" w14:textId="6C0A5F53" w:rsidR="006A60E4" w:rsidRDefault="006A60E4" w:rsidP="00A27CE8">
      <w:pPr>
        <w:pStyle w:val="Heading3"/>
      </w:pPr>
      <w:bookmarkStart w:id="1495" w:name="_Toc87627680"/>
      <w:r>
        <w:t>Insights from Near Term Task Force Review of Insights from the Fukushima Dai-Ichi Accident  - Recommendations for Enhancing Reactor Safety in the 21st Century</w:t>
      </w:r>
      <w:bookmarkEnd w:id="1495"/>
    </w:p>
    <w:p w14:paraId="5ABB83A3" w14:textId="77777777" w:rsidR="006A60E4" w:rsidRDefault="006A60E4" w:rsidP="006A60E4">
      <w:pPr>
        <w:snapToGrid w:val="0"/>
        <w:ind w:firstLine="567"/>
      </w:pPr>
      <w:r>
        <w:t>The NRC Near-Term Task Force was established in 2011and was established in response to Commission direction to conduct a systematic and methodical review of U.S. Nuclear Regulatory Commission processes and regulations to determine whether the agency should make additional improvements to its regulatory system and to make recommendations to the Commission for its policy direction, in light of the accident at the Fukushima Dai-ichi Nuclear Power Plant. In this report the Task Force concluded that,</w:t>
      </w:r>
    </w:p>
    <w:p w14:paraId="66B5E5D8" w14:textId="77777777" w:rsidR="006A60E4" w:rsidRDefault="006A60E4" w:rsidP="006A60E4">
      <w:pPr>
        <w:snapToGrid w:val="0"/>
        <w:ind w:firstLine="567"/>
      </w:pPr>
      <w:r>
        <w:t>“a more balanced application of the Commission’s defense-in-depth philosophy using risk insights would provide an enhanced regulatory framework that is logical, systematic, coherent, and better understood.”</w:t>
      </w:r>
    </w:p>
    <w:p w14:paraId="6B3F834E" w14:textId="77777777" w:rsidR="006A60E4" w:rsidRDefault="006A60E4" w:rsidP="006A60E4">
      <w:pPr>
        <w:snapToGrid w:val="0"/>
        <w:ind w:firstLine="567"/>
      </w:pPr>
      <w:r>
        <w:t>This led to Recommendation 1 of the Task Force:</w:t>
      </w:r>
    </w:p>
    <w:p w14:paraId="7E9D407E" w14:textId="77777777" w:rsidR="006A60E4" w:rsidRDefault="006A60E4" w:rsidP="006A60E4">
      <w:pPr>
        <w:snapToGrid w:val="0"/>
        <w:ind w:firstLine="567"/>
      </w:pPr>
      <w:r>
        <w:t>The Task Force recommends establishing a logical, systematic, and coherent regulatory framework for adequate protection that appropriately balances defense-in-depth and risk considerations.</w:t>
      </w:r>
    </w:p>
    <w:p w14:paraId="71C01709" w14:textId="77777777" w:rsidR="006A60E4" w:rsidRDefault="006A60E4" w:rsidP="006A60E4">
      <w:pPr>
        <w:snapToGrid w:val="0"/>
        <w:ind w:firstLine="567"/>
      </w:pPr>
      <w:r>
        <w:t xml:space="preserve">This recommendation establishes an important concept in that any adequate framework for ISiD an operational risk management function, which provides data and information necessary to identify and weigh risks across various hazards or potential threats to the company, is an essential element. This includes many different areas affecting many different company organizations and therefore training in risk concepts and specific risks to the company are an important training topic for all organizaitonal levels, as appropriate. </w:t>
      </w:r>
    </w:p>
    <w:p w14:paraId="71409872" w14:textId="77777777" w:rsidR="006A60E4" w:rsidRDefault="006A60E4" w:rsidP="006A60E4">
      <w:pPr>
        <w:snapToGrid w:val="0"/>
        <w:ind w:firstLine="567"/>
      </w:pPr>
      <w:r>
        <w:lastRenderedPageBreak/>
        <w:t>Furthermore, there was recognition in light of the Fukushima event that traditional defense-in-depth philosophies supported and modified by state-of-the-art Probabilistic Risk Assessment should continue to serve as a primary organizing principle of the NRC’s regulatory framework. Based on this it follows that today’s nuclear power industry leaders who ascribe to ISiD should have a working knowledge and understanding of the risk assessment approaches and contributors associated with their facilities and assets. This understanding should be sufficient to be a part of decision-making processes. This was evident in the Fukushima event as it is clear that there was not a decision-maker understanding of the external event risks associated with the location of the Fukushima Dai-Ichi station. Had these risk elements of ISiD been more rigorously incorporated in the organization and its leadership, then this understanding would more likely have resulted in an increased understanding of risk contributors leading to severe or catastrophic damage at the Fukkushima facilities and could have led to additional “hardening” of the facility relative to an external flooding.</w:t>
      </w:r>
    </w:p>
    <w:p w14:paraId="56254812" w14:textId="77777777" w:rsidR="006A60E4" w:rsidRDefault="006A60E4" w:rsidP="006A60E4">
      <w:pPr>
        <w:snapToGrid w:val="0"/>
        <w:ind w:firstLine="567"/>
      </w:pPr>
      <w:r>
        <w:t>In Recommendation 8 the Task Force recommended:</w:t>
      </w:r>
    </w:p>
    <w:p w14:paraId="6F4AC1B6" w14:textId="77777777" w:rsidR="006A60E4" w:rsidRDefault="006A60E4" w:rsidP="006A60E4">
      <w:pPr>
        <w:snapToGrid w:val="0"/>
        <w:ind w:firstLine="567"/>
      </w:pPr>
      <w:r>
        <w:t>“The Task Force recommends strengthening and integrating onsite emergency response capabilities such as EOPs, SAMGs, and EDMGs.”</w:t>
      </w:r>
    </w:p>
    <w:p w14:paraId="21F667E4" w14:textId="77777777" w:rsidR="006A60E4" w:rsidRDefault="006A60E4" w:rsidP="006A60E4">
      <w:pPr>
        <w:snapToGrid w:val="0"/>
        <w:ind w:firstLine="567"/>
      </w:pPr>
      <w:r>
        <w:tab/>
        <w:t xml:space="preserve">Although this recommendation is directed to emergency operating procedures (EOPs), severe accident management guidelines (SAMGs) and extensive damage mitigation guidelines (EDMGs), what is relative to ISiD is the recommendation for training of organizational personnel including management personnel in the decision-making aspects of these processes. This training incorporates important decision making points in the mitigation of severe accidents and should be included in the core compentencies of a ISiD. </w:t>
      </w:r>
    </w:p>
    <w:p w14:paraId="04FC6A93" w14:textId="77777777" w:rsidR="006A60E4" w:rsidRDefault="006A60E4" w:rsidP="006A60E4">
      <w:pPr>
        <w:snapToGrid w:val="0"/>
        <w:ind w:firstLine="567"/>
      </w:pPr>
    </w:p>
    <w:p w14:paraId="62914D96" w14:textId="43084CD6" w:rsidR="006A60E4" w:rsidRDefault="006A60E4" w:rsidP="00A27CE8">
      <w:pPr>
        <w:pStyle w:val="Heading3"/>
      </w:pPr>
      <w:bookmarkStart w:id="1496" w:name="_Toc87627681"/>
      <w:r>
        <w:t>Elements of Strength-in-Depth for Operational Risk Management</w:t>
      </w:r>
      <w:bookmarkEnd w:id="1496"/>
    </w:p>
    <w:p w14:paraId="7B5A5891" w14:textId="77777777" w:rsidR="006A60E4" w:rsidRDefault="006A60E4" w:rsidP="006A60E4">
      <w:pPr>
        <w:snapToGrid w:val="0"/>
        <w:ind w:firstLine="567"/>
      </w:pPr>
      <w:r>
        <w:t xml:space="preserve">The management of risk requires that there is an understanding of threats and hazards that may occur at a facility such as a nuclear power plant. This includes both nuclear safety risks but also business interruption risks and not all threats and hazards represent a significant exposure to a corporation or its employees. However, it is the determination of what is “significant” and the associated technical/economic bases for that determination that are important for the parent organization to understand and to be able to demonstrate that they have appropriate processes and procedures for making such risk determinations. The management of risk hazards with respect to Strength-in Depth is broadly applied across all owner-controlled facilities. Both quantitative and qualitative risk assessment methods are available and can be used depending upon the type of hazard or risk to be evaluated. The use of formal quantitative methods such as Probabilistic Risk Assessment are encouraged as these methods are technically robust for evaluating risk and its contributors (e.g., nuclear safety in terms of core damage frequency), and in so doing, establish a facility-specific risk basis similar in concept to that of design basis. </w:t>
      </w:r>
    </w:p>
    <w:p w14:paraId="5404B427" w14:textId="77777777" w:rsidR="006A60E4" w:rsidRDefault="006A60E4" w:rsidP="006A60E4">
      <w:pPr>
        <w:snapToGrid w:val="0"/>
        <w:ind w:firstLine="567"/>
      </w:pPr>
      <w:r>
        <w:t xml:space="preserve">Qualitative methods are also appropriate and can be used in many areas where decision-making may depend on qualitative considerations alone or on a mix of both quantitative risk results and other important qualitative factors (e.g., operating experience, regulatory constraints, engineering considerations), sometimes referred to as “risk informed”. Also, qualitative risk methods are alternatives that can be used when generally accepted quantitative </w:t>
      </w:r>
      <w:r>
        <w:lastRenderedPageBreak/>
        <w:t>methods (e.g., PRA) are not available (e.g., physical security) or not appropriate for hazard or risk to be evaluated (e.g., pandemic). The presence and use of risk management principles and tools by the parent organization and its vendors and contractors is an area for periodic self-assessment and continuous improvement.</w:t>
      </w:r>
    </w:p>
    <w:p w14:paraId="53801136" w14:textId="77777777" w:rsidR="006A60E4" w:rsidRDefault="006A60E4" w:rsidP="006A60E4">
      <w:pPr>
        <w:snapToGrid w:val="0"/>
        <w:ind w:firstLine="567"/>
      </w:pPr>
      <w:r>
        <w:t>The following figures conceptually identify some key elements of a risk management process framework that can be considered for use in developing an organizational risk management program and associated processes. The intent is to highlight governance areas necessary to verify the scope and effectiveness of utility risk management programs and processes.  Also included withing the risk management structure are associated vendor and contractor organizations performing work activities at the facility.</w:t>
      </w:r>
    </w:p>
    <w:p w14:paraId="732124AC" w14:textId="5E497D1F" w:rsidR="006A60E4" w:rsidRDefault="006A60E4" w:rsidP="00A27CE8">
      <w:pPr>
        <w:pStyle w:val="Heading3"/>
      </w:pPr>
      <w:bookmarkStart w:id="1497" w:name="_Toc87627682"/>
      <w:r>
        <w:t>O</w:t>
      </w:r>
      <w:r w:rsidR="009E6857">
        <w:t>perational</w:t>
      </w:r>
      <w:r>
        <w:t xml:space="preserve"> R</w:t>
      </w:r>
      <w:r w:rsidR="009E6857">
        <w:t>isk</w:t>
      </w:r>
      <w:r>
        <w:t xml:space="preserve"> M</w:t>
      </w:r>
      <w:r w:rsidR="009E6857">
        <w:t>anagement</w:t>
      </w:r>
      <w:r>
        <w:t xml:space="preserve"> S</w:t>
      </w:r>
      <w:r w:rsidR="009E6857">
        <w:t>tr</w:t>
      </w:r>
      <w:r w:rsidR="005B3A40">
        <w:t>u</w:t>
      </w:r>
      <w:r w:rsidR="009E6857">
        <w:t>ctual</w:t>
      </w:r>
      <w:r>
        <w:t xml:space="preserve"> F</w:t>
      </w:r>
      <w:r w:rsidR="009E6857">
        <w:t>ramework</w:t>
      </w:r>
      <w:bookmarkEnd w:id="1497"/>
    </w:p>
    <w:p w14:paraId="5988D571" w14:textId="77777777" w:rsidR="006A60E4" w:rsidRDefault="006A60E4" w:rsidP="006A60E4">
      <w:pPr>
        <w:snapToGrid w:val="0"/>
        <w:ind w:firstLine="567"/>
      </w:pPr>
    </w:p>
    <w:p w14:paraId="71712CBC" w14:textId="60BD210C" w:rsidR="006A60E4" w:rsidRDefault="009E6857" w:rsidP="009E6857">
      <w:pPr>
        <w:snapToGrid w:val="0"/>
      </w:pPr>
      <w:r>
        <w:rPr>
          <w:noProof/>
        </w:rPr>
        <w:drawing>
          <wp:inline distT="0" distB="0" distL="0" distR="0" wp14:anchorId="52A9B029" wp14:editId="2D8242F3">
            <wp:extent cx="5731510" cy="4298950"/>
            <wp:effectExtent l="0" t="0" r="2540" b="635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1DCE1C97" w14:textId="77777777" w:rsidR="006A60E4" w:rsidRDefault="006A60E4" w:rsidP="006A60E4">
      <w:pPr>
        <w:snapToGrid w:val="0"/>
        <w:ind w:firstLine="567"/>
      </w:pPr>
    </w:p>
    <w:p w14:paraId="072B7CBD" w14:textId="77777777" w:rsidR="006A60E4" w:rsidRDefault="006A60E4" w:rsidP="006A60E4">
      <w:pPr>
        <w:snapToGrid w:val="0"/>
        <w:ind w:firstLine="567"/>
      </w:pPr>
      <w:r>
        <w:t xml:space="preserve">The figure above provides an organizational process flow for identifying and managing risk at the corporate level through to separate and individual facility levels. This structure can be applied to both short-term (i.e., decisions needed very quickly) and long-term (i.e., strategic) decision-making where risk information is an important consideration to be factored into the decision-making process and into supporting processes to manage and monitor risk levels to acceptable values based on organizational decisions. These decisions may be incorporated into </w:t>
      </w:r>
      <w:r>
        <w:lastRenderedPageBreak/>
        <w:t xml:space="preserve">facility procedures or other decision-making organizational groups responsible for operational decision-making, facility improvements, and on-going facility performance. </w:t>
      </w:r>
    </w:p>
    <w:p w14:paraId="2A5D14C3" w14:textId="77777777" w:rsidR="006A60E4" w:rsidRDefault="006A60E4" w:rsidP="006A60E4">
      <w:pPr>
        <w:snapToGrid w:val="0"/>
        <w:ind w:firstLine="567"/>
      </w:pPr>
      <w:r>
        <w:t xml:space="preserve">In the process flow above, risk hazards are identified, evaluated, and assessed through quantitative methods, qualitative methods, or a combination of both. The five sequential elements of integrated risk management as discussed in Section 3.1 of this document are incorporated into each process area. The results of these various elements produce risk knowledge and risk insights that can be then transferred or communicated into organizational controls through existing facility programs and processes. For short term processes on time limited decisions, these insights can be communicated through operational decision-making groups or chain-of-command communication. For longer term issues or decisions that represent permanent changes, other management level decision making teams or Integrated Decision-Making Panels (IDPs). IDPs are specially trained on risk concepts and the use of risk insights and can provide important knowledge transfer from technical risk analyses results into program/procedure changes, process changes, special contingencies, or other management-directed activities. </w:t>
      </w:r>
    </w:p>
    <w:p w14:paraId="4FF235DC" w14:textId="77777777" w:rsidR="006A60E4" w:rsidRDefault="006A60E4" w:rsidP="006A60E4">
      <w:pPr>
        <w:snapToGrid w:val="0"/>
        <w:ind w:firstLine="567"/>
      </w:pPr>
      <w:r>
        <w:t xml:space="preserve">An important characteristic of operational risk management in terms of Strength-in-Depth is the consideration or evaluation of uncertainties. It is the evaluation of uncertainties based on risk insights where the decision-making process results in focused risk management actions whose intent is to prevent, mitigate, and develop in-depth contingencies to manage risks in the event anticipated responses or desired outcomes do not materialize or are delayed. Examining uncertainties in event scenarios leads to addressing sources of uncertainty and subsequently a determination of those uncertainties that can be reduced based on focused contingency actions and those that cannot be prevented and must only be managed through Strength-in-Depth provisions that address or develop other contingencies to further manage risks. For example, these risk management actions could be determined to be necessary for short-term facility evolutions (e.g., a single occurrence), or they could be structured for recurring or long-term conditions (e.g., required for multiple cycles), or they could be structured for strategic planning purposes. </w:t>
      </w:r>
    </w:p>
    <w:p w14:paraId="1A091B88" w14:textId="77777777" w:rsidR="006A60E4" w:rsidRDefault="006A60E4" w:rsidP="006A60E4">
      <w:pPr>
        <w:snapToGrid w:val="0"/>
        <w:ind w:firstLine="567"/>
      </w:pPr>
      <w:r>
        <w:t>For continuous risk management programs involving repetitive operational evolutions or continuous monitoring, risk management tools and methods have been developed and are used to provide organizations the means and mechanisms to calculate, monitor, observe, or assess changing risk levels depending upon operational factors, facility configuration changes, or other changing situations where risk levels (i.e., exposures to the company) are time dependent or are anticipated to change. With the development and use of properly designed risk tools, it is possible for management teams to establish risk acceptance criteria (e.g., acceptable, alert, and required action levels), which further allows the establishment of risk acceptance regions and associated thresholds. The risk acceptance criteria and associated thresholds thus create “trigger points” for organizational execution of risk management actions or other organizational responses. Periodic assessments and feedback processes allow the collection of operating experience (facility specific and industry specific), lessons learned since the previous periodic assessment, and other information to be gathered, evaluated, and re-processed to provide insights supporting corporate and facility-specific new knowledge and continuous improvement.</w:t>
      </w:r>
    </w:p>
    <w:p w14:paraId="6A71E561" w14:textId="58B39A26" w:rsidR="006A60E4" w:rsidRDefault="006A60E4" w:rsidP="00A27CE8">
      <w:pPr>
        <w:pStyle w:val="Heading3"/>
      </w:pPr>
      <w:bookmarkStart w:id="1498" w:name="_Toc87627683"/>
      <w:r>
        <w:lastRenderedPageBreak/>
        <w:t>Levels of Risk - Corporate Enterprise Perspective</w:t>
      </w:r>
      <w:bookmarkEnd w:id="1498"/>
    </w:p>
    <w:p w14:paraId="2E79A430" w14:textId="77777777" w:rsidR="006A60E4" w:rsidRDefault="006A60E4" w:rsidP="006A60E4">
      <w:pPr>
        <w:snapToGrid w:val="0"/>
        <w:ind w:firstLine="567"/>
      </w:pPr>
      <w:r>
        <w:t>Risk hazards are not just specific to a given facility but rather the facility-level risk is a portion of the total risk owned by the corporate parent company. In other words, the parent company owns all the risk associated with their individual assets. In this regard, risk exists for all hazard sources and at all levels of a company organization as well as vendor and contract organizations. Therefore, when discussing company risk it is important to apportion risk hazard sources to their applicable and responsible organizational levels throughout the corporation. At different organizational levels within a company, it is important to define what risks hazards are possible and how they can result in consequences at the site or facility level, as well as how they can result in consequences that must be absorbed by the entire corporate company. Thus, it is important to understand what risk hazards are being evaluated and, most importantly, what are the defined responsibilities and magnitude of liabilities that could be imposed on the corporation should a consequential event occur.</w:t>
      </w:r>
    </w:p>
    <w:p w14:paraId="0B9C9923" w14:textId="77777777" w:rsidR="006A60E4" w:rsidRDefault="006A60E4" w:rsidP="006A60E4">
      <w:pPr>
        <w:snapToGrid w:val="0"/>
        <w:ind w:firstLine="567"/>
      </w:pPr>
      <w:r>
        <w:t xml:space="preserve">Managing sources of risk is an essential company function and can be applied to both corporate entities as well as at the individual asset level (i.e., operating facilities). A top-down approach to risk from a company perspective leads to the development and deployment of risk assessment results and tools that organizations can use to assess risk strengths and vulnerabilities at the corporate level continuing and progressing down to the corporation’s individual assets. Once risk insights are well defined and understood, they can then be translated into key organizational safety responsibilities to improve safety that can further provide increased assurances of regulatory and public acceptance for the company’s operating assets. Furthermore, risk concepts can be applied at various levels of a corporation and they can be structured to monitor organizational functions that represent the major sources of risk to the company (i.e., risk related performance indicators). </w:t>
      </w:r>
    </w:p>
    <w:p w14:paraId="11AB8313" w14:textId="77777777" w:rsidR="006A60E4" w:rsidRDefault="006A60E4" w:rsidP="006A60E4">
      <w:pPr>
        <w:snapToGrid w:val="0"/>
        <w:ind w:firstLine="567"/>
      </w:pPr>
      <w:r>
        <w:t xml:space="preserve">In the following illustrations, the conceptualization of Enterprise Risk Management is structured from the corporate level to asset level to safety level is shown. In these figures, the corporate level is the highest level where all risk consequences are ultimately absorbed (i.e., owned). Proper management of risk thus reflects and demonstrates continued viability and safety performance of the corporate entity. At this level, many of the same hazard considerations or “risks” necessary for proper risk management of assets and safety levels are reflected at both corporate and individual facility levels. It is important to note that the concept of enterprise risk management will require both qualitative and quantitative risk assessments to adequately address all key risk hazards. </w:t>
      </w:r>
    </w:p>
    <w:p w14:paraId="7BD01B95" w14:textId="77777777" w:rsidR="006A60E4" w:rsidRDefault="006A60E4" w:rsidP="006A60E4">
      <w:pPr>
        <w:snapToGrid w:val="0"/>
        <w:ind w:firstLine="567"/>
      </w:pPr>
      <w:r>
        <w:t>In the subsequent figures, it is shown that risks to the company originate from their individual assets and are transferred to the corporation. Thus, the company’s total risk exposure is the sum of its individual assets. From the corporation’s perspective, the identification and monitoring of key risk management performance indicators are important to ensure that facility level risk levels are monitored and have proper management oversight to manage risk hazards. With proper risk management methods and tools, the corporation may be able to see facility-to-facility variation in risk hazards and consequence potential differences, which could result in additional corporate focus on those facilities with elevated risk levels to reduce or mitigate facility-specific risk hazards.</w:t>
      </w:r>
    </w:p>
    <w:p w14:paraId="79BF1F5B" w14:textId="79629C66" w:rsidR="006A60E4" w:rsidRDefault="006A60E4" w:rsidP="006A60E4">
      <w:pPr>
        <w:snapToGrid w:val="0"/>
        <w:ind w:firstLine="567"/>
      </w:pPr>
    </w:p>
    <w:p w14:paraId="3422EC8E" w14:textId="420BEA28" w:rsidR="006A60E4" w:rsidRDefault="007620F9" w:rsidP="00A85D0B">
      <w:pPr>
        <w:snapToGrid w:val="0"/>
      </w:pPr>
      <w:r>
        <w:rPr>
          <w:noProof/>
        </w:rPr>
        <w:lastRenderedPageBreak/>
        <w:drawing>
          <wp:inline distT="0" distB="0" distL="0" distR="0" wp14:anchorId="5E22CB29" wp14:editId="4326CC93">
            <wp:extent cx="5731510" cy="7642225"/>
            <wp:effectExtent l="0" t="0" r="254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stretch>
                      <a:fillRect/>
                    </a:stretch>
                  </pic:blipFill>
                  <pic:spPr>
                    <a:xfrm>
                      <a:off x="0" y="0"/>
                      <a:ext cx="5731510" cy="7642225"/>
                    </a:xfrm>
                    <a:prstGeom prst="rect">
                      <a:avLst/>
                    </a:prstGeom>
                  </pic:spPr>
                </pic:pic>
              </a:graphicData>
            </a:graphic>
          </wp:inline>
        </w:drawing>
      </w:r>
    </w:p>
    <w:p w14:paraId="49D7827D" w14:textId="2698561A" w:rsidR="00423219" w:rsidRDefault="00423219" w:rsidP="00A85D0B">
      <w:pPr>
        <w:snapToGrid w:val="0"/>
      </w:pPr>
      <w:r>
        <w:rPr>
          <w:noProof/>
        </w:rPr>
        <w:lastRenderedPageBreak/>
        <w:drawing>
          <wp:inline distT="0" distB="0" distL="0" distR="0" wp14:anchorId="3D2BE5C2" wp14:editId="0AF037A9">
            <wp:extent cx="5731510" cy="7642225"/>
            <wp:effectExtent l="0" t="0" r="254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5731510" cy="7642225"/>
                    </a:xfrm>
                    <a:prstGeom prst="rect">
                      <a:avLst/>
                    </a:prstGeom>
                  </pic:spPr>
                </pic:pic>
              </a:graphicData>
            </a:graphic>
          </wp:inline>
        </w:drawing>
      </w:r>
    </w:p>
    <w:p w14:paraId="7F834D06" w14:textId="005E37D9" w:rsidR="000C1B4F" w:rsidRDefault="000C1B4F" w:rsidP="00A85D0B">
      <w:pPr>
        <w:snapToGrid w:val="0"/>
      </w:pPr>
      <w:r>
        <w:rPr>
          <w:noProof/>
        </w:rPr>
        <w:lastRenderedPageBreak/>
        <w:drawing>
          <wp:inline distT="0" distB="0" distL="0" distR="0" wp14:anchorId="39911F3A" wp14:editId="7FA77848">
            <wp:extent cx="5731510" cy="7642225"/>
            <wp:effectExtent l="0" t="0" r="254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a:stretch>
                      <a:fillRect/>
                    </a:stretch>
                  </pic:blipFill>
                  <pic:spPr>
                    <a:xfrm>
                      <a:off x="0" y="0"/>
                      <a:ext cx="5731510" cy="7642225"/>
                    </a:xfrm>
                    <a:prstGeom prst="rect">
                      <a:avLst/>
                    </a:prstGeom>
                  </pic:spPr>
                </pic:pic>
              </a:graphicData>
            </a:graphic>
          </wp:inline>
        </w:drawing>
      </w:r>
    </w:p>
    <w:p w14:paraId="0F49CDD6" w14:textId="4D638F75" w:rsidR="006A60E4" w:rsidRDefault="006A60E4" w:rsidP="006A60E4">
      <w:pPr>
        <w:snapToGrid w:val="0"/>
        <w:ind w:firstLine="567"/>
      </w:pPr>
      <w:r>
        <w:t xml:space="preserve">The discussion above is intended to emphasize the importance of understanding the relationship between corporate objectives, performance metrics, and risk metrics, as well as the understanding that facility risk hazards and consequences are ultimately transferred from different organizational levels to the corporate level. Thus, for robust ISid, the management of </w:t>
      </w:r>
      <w:r>
        <w:lastRenderedPageBreak/>
        <w:t xml:space="preserve">risk at the corporate level involves monitoring performance and risks from the top level down to the individual assets (i.e., the nuclear power plants). </w:t>
      </w:r>
    </w:p>
    <w:p w14:paraId="5382C0EB" w14:textId="4E0411B2" w:rsidR="00D35E95" w:rsidRDefault="006A60E4" w:rsidP="000D237C">
      <w:pPr>
        <w:pStyle w:val="BodyText"/>
      </w:pPr>
      <w:r>
        <w:t>A utility’s capacity to monitor and manage risk depends upon their ability to develop strong methods and tools to perform either quantitative or qualitative risk assessments that support organizational responsibilities to measure and monitor changes in risk both in the short term (tactical) and the long term (strategic). This includes all the asset-related risk hazard sources shown in the figure above and requires the development of operational risk assessments such as probabilistic risk assessments and other qualitative risk assessments that evaluate other sources of risk (i.e., personnel safety, physical security, environmental, etc.). Once the various risk sources have been evaluated, then company resources can be applied to monitor and increase Strength-in-Depth gaps through communication, procedures, processes, training, and periodic self-assessment.</w:t>
      </w:r>
    </w:p>
    <w:p w14:paraId="6B079A72" w14:textId="77777777" w:rsidR="006B7CAD" w:rsidRPr="00974D4A" w:rsidRDefault="006B7CAD" w:rsidP="000D237C">
      <w:pPr>
        <w:pStyle w:val="BodyText"/>
        <w:rPr>
          <w:lang w:val="en-GB"/>
        </w:rPr>
      </w:pPr>
    </w:p>
    <w:p w14:paraId="4A59D0CC" w14:textId="37F4E76D" w:rsidR="00B23C71" w:rsidRDefault="008903A9" w:rsidP="007F1E48">
      <w:pPr>
        <w:pStyle w:val="Heading1"/>
      </w:pPr>
      <w:bookmarkStart w:id="1499" w:name="_Toc87627685"/>
      <w:r>
        <w:t>E</w:t>
      </w:r>
      <w:r w:rsidR="0004415A">
        <w:t xml:space="preserve">ffective </w:t>
      </w:r>
      <w:r>
        <w:t>M</w:t>
      </w:r>
      <w:r w:rsidR="0004415A">
        <w:t xml:space="preserve">anagement of </w:t>
      </w:r>
      <w:r w:rsidR="0079680F">
        <w:t>E</w:t>
      </w:r>
      <w:r w:rsidR="003A6E8B">
        <w:t>xternal</w:t>
      </w:r>
      <w:r w:rsidR="0079680F">
        <w:t xml:space="preserve"> Interface</w:t>
      </w:r>
      <w:r w:rsidR="00731676">
        <w:t>s</w:t>
      </w:r>
      <w:bookmarkEnd w:id="1499"/>
    </w:p>
    <w:p w14:paraId="0D628AA8" w14:textId="31543EE8" w:rsidR="00DD4113" w:rsidRPr="000D237C" w:rsidRDefault="6F6367F7" w:rsidP="008A1340">
      <w:pPr>
        <w:pStyle w:val="BodyText"/>
        <w:spacing w:after="120"/>
        <w:ind w:firstLine="567"/>
        <w:rPr>
          <w:szCs w:val="24"/>
        </w:rPr>
      </w:pPr>
      <w:r>
        <w:t>A systemic approach to safety can also be used on a macro level to better map and understand t</w:t>
      </w:r>
      <w:r w:rsidR="515DD713" w:rsidRPr="1FF3E82F">
        <w:rPr>
          <w:szCs w:val="24"/>
        </w:rPr>
        <w:t xml:space="preserve"> An organization does not operate in a vacuum. There are other stakeholders which influencing the organization and vice versa. An systemic approach to safety can also be used on a macro level to better map and understand the complexity of the bigger system with its interfaces with the different stakeholders. This systemic perspective provides a good overview of how the operator is interlinked with the other key players such as vendors, regulators, universities, TSO’s, suppliers, constructors, the public etc.  </w:t>
      </w:r>
    </w:p>
    <w:p w14:paraId="55E5B223" w14:textId="10E01112" w:rsidR="00DD4113" w:rsidRPr="000D237C" w:rsidRDefault="00DD4113" w:rsidP="1FF3E82F">
      <w:pPr>
        <w:rPr>
          <w:szCs w:val="24"/>
        </w:rPr>
      </w:pPr>
    </w:p>
    <w:p w14:paraId="17C1BC88" w14:textId="77777777" w:rsidR="00DD4113" w:rsidRPr="000D237C" w:rsidRDefault="6F6367F7" w:rsidP="1FF3E82F">
      <w:pPr>
        <w:rPr>
          <w:color w:val="0433FF"/>
        </w:rPr>
      </w:pPr>
      <w:r>
        <w:rPr>
          <w:noProof/>
        </w:rPr>
        <w:drawing>
          <wp:inline distT="0" distB="0" distL="0" distR="0" wp14:anchorId="6043C1F5" wp14:editId="027E39B5">
            <wp:extent cx="5334002" cy="3000375"/>
            <wp:effectExtent l="0" t="0" r="0" b="0"/>
            <wp:docPr id="1815308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8">
                      <a:extLst>
                        <a:ext uri="{28A0092B-C50C-407E-A947-70E740481C1C}">
                          <a14:useLocalDpi xmlns:a14="http://schemas.microsoft.com/office/drawing/2010/main" val="0"/>
                        </a:ext>
                      </a:extLst>
                    </a:blip>
                    <a:stretch>
                      <a:fillRect/>
                    </a:stretch>
                  </pic:blipFill>
                  <pic:spPr>
                    <a:xfrm>
                      <a:off x="0" y="0"/>
                      <a:ext cx="5334002" cy="3000375"/>
                    </a:xfrm>
                    <a:prstGeom prst="rect">
                      <a:avLst/>
                    </a:prstGeom>
                  </pic:spPr>
                </pic:pic>
              </a:graphicData>
            </a:graphic>
          </wp:inline>
        </w:drawing>
      </w:r>
    </w:p>
    <w:p w14:paraId="3C6A990F" w14:textId="32C4FAB9" w:rsidR="00DD4113" w:rsidRPr="000D237C" w:rsidRDefault="728F969C" w:rsidP="008A1340">
      <w:pPr>
        <w:pStyle w:val="BodyText"/>
        <w:spacing w:after="120"/>
        <w:ind w:firstLine="567"/>
        <w:rPr>
          <w:szCs w:val="24"/>
        </w:rPr>
      </w:pPr>
      <w:r w:rsidRPr="1FF3E82F">
        <w:rPr>
          <w:szCs w:val="24"/>
        </w:rPr>
        <w:t xml:space="preserve">The systemic understanding helps to understand the influence of other key players. To perform a systemic mapping produces an overview of the interconnections between the different stakeholders. This overview helps the organization to enhance the understanding of what matters the operators have power to influence and what it does not have power to </w:t>
      </w:r>
      <w:r w:rsidRPr="1FF3E82F">
        <w:rPr>
          <w:szCs w:val="24"/>
        </w:rPr>
        <w:lastRenderedPageBreak/>
        <w:t xml:space="preserve">influence. It also provides a better picture how the different key players are connected and can present new information which is important for the operator. </w:t>
      </w:r>
    </w:p>
    <w:p w14:paraId="3E427B6E" w14:textId="07E5623A" w:rsidR="00DD4113" w:rsidRPr="000D237C" w:rsidRDefault="728F969C" w:rsidP="00CD3226">
      <w:pPr>
        <w:pStyle w:val="BodyText"/>
        <w:spacing w:after="120"/>
        <w:ind w:firstLine="567"/>
        <w:rPr>
          <w:szCs w:val="24"/>
        </w:rPr>
      </w:pPr>
      <w:r w:rsidRPr="1FF3E82F">
        <w:rPr>
          <w:szCs w:val="24"/>
        </w:rPr>
        <w:t>This chapter will present ideas on how to foster generative relations with key stakeholders.</w:t>
      </w:r>
    </w:p>
    <w:p w14:paraId="76756724" w14:textId="31C223AA" w:rsidR="00DD4113" w:rsidRPr="000D237C" w:rsidRDefault="00DD4113" w:rsidP="1FF3E82F">
      <w:pPr>
        <w:rPr>
          <w:color w:val="0433FF"/>
          <w:szCs w:val="24"/>
          <w:highlight w:val="yellow"/>
        </w:rPr>
      </w:pPr>
    </w:p>
    <w:p w14:paraId="426FE6E8" w14:textId="188B48B7" w:rsidR="00056258" w:rsidRDefault="00056258" w:rsidP="00056258">
      <w:pPr>
        <w:pStyle w:val="Heading2"/>
      </w:pPr>
      <w:bookmarkStart w:id="1500" w:name="_Toc87627686"/>
      <w:r>
        <w:t>interface with</w:t>
      </w:r>
      <w:r w:rsidR="00AE3048">
        <w:t xml:space="preserve"> regulators</w:t>
      </w:r>
      <w:bookmarkEnd w:id="1500"/>
    </w:p>
    <w:p w14:paraId="5A73AA68" w14:textId="77777777" w:rsidR="00DE0F2A" w:rsidRPr="00247EE5" w:rsidRDefault="00DE0F2A" w:rsidP="00803444">
      <w:pPr>
        <w:pStyle w:val="BodyText"/>
        <w:spacing w:after="0"/>
        <w:ind w:firstLine="567"/>
      </w:pPr>
      <w:r w:rsidRPr="00247EE5">
        <w:t>The culture, behaviours and ways of working between the regulator and the licensee are strongly interconnected and if the balance is wrong or in conflict it can have a significant detrimental impact on nuclear safety.</w:t>
      </w:r>
    </w:p>
    <w:p w14:paraId="225D4255" w14:textId="28A0861B" w:rsidR="00DE0F2A" w:rsidRPr="00247EE5" w:rsidRDefault="00DE0F2A" w:rsidP="00803444">
      <w:pPr>
        <w:pStyle w:val="BodyText"/>
        <w:spacing w:after="0"/>
        <w:ind w:firstLine="567"/>
      </w:pPr>
      <w:r w:rsidRPr="00247EE5">
        <w:t>The role of the regulator is to propose and enforce compliance standards, rules and regulations to ensure the safe operation of all nuclear operating facilities. The role of the nuclear licensee is to operate to performance standards, which will generally exceed compliance standards</w:t>
      </w:r>
    </w:p>
    <w:p w14:paraId="6EC67597" w14:textId="77777777" w:rsidR="00DE0F2A" w:rsidRPr="00247EE5" w:rsidRDefault="00DE0F2A" w:rsidP="00803444">
      <w:pPr>
        <w:pStyle w:val="BodyText"/>
        <w:spacing w:after="0"/>
        <w:ind w:firstLine="567"/>
        <w:rPr>
          <w:szCs w:val="24"/>
        </w:rPr>
      </w:pPr>
      <w:r w:rsidRPr="00247EE5">
        <w:t>It is important to develop a constructive approach between duty holder and regulators. The way in which the nuclear organisation interfaces with the regulator very often determines how the regulator in turn responds and visa versa. In the worst cases the relationship becomes very prescriptive i.e. the regulator says what needs to be done and the licensee simply responds. This behaviour results in a shift in perceived responsibility for nuclear safety from the duty holder to the regulator with the following outcomes:</w:t>
      </w:r>
    </w:p>
    <w:p w14:paraId="4E9A2355" w14:textId="77777777" w:rsidR="00DE0F2A" w:rsidRPr="00247EE5" w:rsidRDefault="00DE0F2A" w:rsidP="00AC768F">
      <w:pPr>
        <w:numPr>
          <w:ilvl w:val="0"/>
          <w:numId w:val="15"/>
        </w:numPr>
        <w:overflowPunct/>
        <w:autoSpaceDE/>
        <w:autoSpaceDN/>
        <w:adjustRightInd/>
        <w:spacing w:after="0"/>
        <w:jc w:val="left"/>
        <w:textAlignment w:val="auto"/>
        <w:rPr>
          <w:szCs w:val="24"/>
        </w:rPr>
      </w:pPr>
      <w:r w:rsidRPr="00247EE5">
        <w:t>The regulator keeps asking for more and more information</w:t>
      </w:r>
    </w:p>
    <w:p w14:paraId="0A4A48ED" w14:textId="77777777" w:rsidR="00DE0F2A" w:rsidRPr="00247EE5" w:rsidRDefault="00DE0F2A" w:rsidP="00AC768F">
      <w:pPr>
        <w:numPr>
          <w:ilvl w:val="0"/>
          <w:numId w:val="15"/>
        </w:numPr>
        <w:overflowPunct/>
        <w:autoSpaceDE/>
        <w:autoSpaceDN/>
        <w:adjustRightInd/>
        <w:spacing w:after="0"/>
        <w:jc w:val="left"/>
        <w:textAlignment w:val="auto"/>
        <w:rPr>
          <w:szCs w:val="24"/>
        </w:rPr>
      </w:pPr>
      <w:r w:rsidRPr="00247EE5">
        <w:t>The licensee challenges back to reduce the demands on the organisation</w:t>
      </w:r>
    </w:p>
    <w:p w14:paraId="5EDC65CA" w14:textId="77777777" w:rsidR="00DE0F2A" w:rsidRPr="00247EE5" w:rsidRDefault="00DE0F2A" w:rsidP="00DE0F2A">
      <w:r w:rsidRPr="00247EE5">
        <w:t>The result is a net reduction in nuclear safety i.e. a compliance culture rather than a performance culture.</w:t>
      </w:r>
    </w:p>
    <w:p w14:paraId="4839F157" w14:textId="77777777" w:rsidR="00DE0F2A" w:rsidRPr="00247EE5" w:rsidRDefault="00DE0F2A" w:rsidP="00247EE5">
      <w:pPr>
        <w:pStyle w:val="BodyText"/>
        <w:spacing w:after="0"/>
        <w:ind w:firstLine="567"/>
        <w:rPr>
          <w:szCs w:val="24"/>
        </w:rPr>
      </w:pPr>
      <w:r w:rsidRPr="00247EE5">
        <w:t>From a nuclear operators perspective it is important to recognise the mandate of the regulating bodies and engage with them in a constructive manner. In particular, the following are considered important elements in the establishment of that effective working relationship:</w:t>
      </w:r>
    </w:p>
    <w:p w14:paraId="71EC7337" w14:textId="77777777" w:rsidR="00DE0F2A" w:rsidRPr="00247EE5" w:rsidRDefault="00DE0F2A" w:rsidP="00AC768F">
      <w:pPr>
        <w:pStyle w:val="ListParagraph"/>
        <w:numPr>
          <w:ilvl w:val="0"/>
          <w:numId w:val="19"/>
        </w:numPr>
        <w:rPr>
          <w:rFonts w:ascii="Times New Roman" w:hAnsi="Times New Roman" w:cs="Times New Roman"/>
          <w:sz w:val="24"/>
          <w:szCs w:val="24"/>
        </w:rPr>
      </w:pPr>
      <w:r w:rsidRPr="00247EE5">
        <w:rPr>
          <w:rFonts w:ascii="Times New Roman" w:hAnsi="Times New Roman" w:cs="Times New Roman"/>
          <w:sz w:val="24"/>
          <w:szCs w:val="24"/>
        </w:rPr>
        <w:t>A robust internal oversight structure, which includes a strong independent internal oversight organisation. This gives confidence to the regulator that there is strength in depth within the licensee organisation and that nuclear safety is not overly dependent upon the external regulator. (See section 3.7).</w:t>
      </w:r>
    </w:p>
    <w:p w14:paraId="170CF24E" w14:textId="77777777" w:rsidR="00DE0F2A" w:rsidRPr="00247EE5" w:rsidRDefault="00DE0F2A" w:rsidP="00AC768F">
      <w:pPr>
        <w:pStyle w:val="ListParagraph"/>
        <w:numPr>
          <w:ilvl w:val="0"/>
          <w:numId w:val="19"/>
        </w:numPr>
        <w:rPr>
          <w:rFonts w:ascii="Times New Roman" w:hAnsi="Times New Roman" w:cs="Times New Roman"/>
          <w:sz w:val="24"/>
          <w:szCs w:val="24"/>
        </w:rPr>
      </w:pPr>
      <w:r w:rsidRPr="00247EE5">
        <w:rPr>
          <w:rFonts w:ascii="Times New Roman" w:hAnsi="Times New Roman" w:cs="Times New Roman"/>
          <w:sz w:val="24"/>
          <w:szCs w:val="24"/>
        </w:rPr>
        <w:t xml:space="preserve">An open and transparent relationship with the regulator. Constructive, committed, open and early engagement to avoid surprises and build trust. </w:t>
      </w:r>
    </w:p>
    <w:p w14:paraId="66B84E69" w14:textId="77777777" w:rsidR="00DE0F2A" w:rsidRPr="00247EE5" w:rsidRDefault="00DE0F2A" w:rsidP="00AC768F">
      <w:pPr>
        <w:pStyle w:val="ListParagraph"/>
        <w:numPr>
          <w:ilvl w:val="0"/>
          <w:numId w:val="19"/>
        </w:numPr>
        <w:rPr>
          <w:rFonts w:ascii="Times New Roman" w:hAnsi="Times New Roman" w:cs="Times New Roman"/>
          <w:sz w:val="24"/>
          <w:szCs w:val="24"/>
        </w:rPr>
      </w:pPr>
      <w:r w:rsidRPr="00247EE5">
        <w:rPr>
          <w:rFonts w:ascii="Times New Roman" w:hAnsi="Times New Roman" w:cs="Times New Roman"/>
          <w:sz w:val="24"/>
          <w:szCs w:val="24"/>
        </w:rPr>
        <w:t xml:space="preserve"> A clear and transparent event reporting system, rigorous event investigation an effective corrective action programme. </w:t>
      </w:r>
    </w:p>
    <w:p w14:paraId="47A4F533" w14:textId="77777777" w:rsidR="00DE0F2A" w:rsidRPr="00247EE5" w:rsidRDefault="00DE0F2A" w:rsidP="00AC768F">
      <w:pPr>
        <w:pStyle w:val="ListParagraph"/>
        <w:numPr>
          <w:ilvl w:val="0"/>
          <w:numId w:val="19"/>
        </w:numPr>
        <w:rPr>
          <w:rFonts w:ascii="Times New Roman" w:hAnsi="Times New Roman" w:cs="Times New Roman"/>
          <w:sz w:val="24"/>
          <w:szCs w:val="24"/>
        </w:rPr>
      </w:pPr>
      <w:r w:rsidRPr="00247EE5">
        <w:rPr>
          <w:rFonts w:ascii="Times New Roman" w:hAnsi="Times New Roman" w:cs="Times New Roman"/>
          <w:sz w:val="24"/>
          <w:szCs w:val="24"/>
        </w:rPr>
        <w:t xml:space="preserve">A graded approach to communication with the regulatory bodies to ensure that priorities are established, understood and agreed. These arrangements will enable issues and concerns to be effectively dealt with at the right level of respective organisations and with an elevation and escalation route to ensure concerns are promptly and effectively addressed. </w:t>
      </w:r>
    </w:p>
    <w:p w14:paraId="5163C249" w14:textId="77777777" w:rsidR="00DE0F2A" w:rsidRPr="00247EE5" w:rsidRDefault="00DE0F2A" w:rsidP="00AC768F">
      <w:pPr>
        <w:pStyle w:val="ListParagraph"/>
        <w:numPr>
          <w:ilvl w:val="0"/>
          <w:numId w:val="19"/>
        </w:numPr>
        <w:rPr>
          <w:rFonts w:ascii="Times New Roman" w:hAnsi="Times New Roman" w:cs="Times New Roman"/>
          <w:sz w:val="24"/>
          <w:szCs w:val="24"/>
        </w:rPr>
      </w:pPr>
      <w:r w:rsidRPr="00247EE5">
        <w:rPr>
          <w:rFonts w:ascii="Times New Roman" w:hAnsi="Times New Roman" w:cs="Times New Roman"/>
          <w:sz w:val="24"/>
          <w:szCs w:val="24"/>
        </w:rPr>
        <w:t>To work with the regulator to establish an effective regulatory interface protocol and ensure that this is consistently reviewed to identify, at an early stage ,problems with the relationship. This needs to include a willingness to address blockers , distractions and unnecessary bureaucracy.</w:t>
      </w:r>
    </w:p>
    <w:p w14:paraId="7B214076" w14:textId="77777777" w:rsidR="00DE0F2A" w:rsidRPr="00247EE5" w:rsidRDefault="00DE0F2A" w:rsidP="00AC768F">
      <w:pPr>
        <w:pStyle w:val="ListParagraph"/>
        <w:numPr>
          <w:ilvl w:val="0"/>
          <w:numId w:val="19"/>
        </w:numPr>
        <w:rPr>
          <w:rFonts w:ascii="Times New Roman" w:hAnsi="Times New Roman" w:cs="Times New Roman"/>
          <w:sz w:val="24"/>
          <w:szCs w:val="24"/>
        </w:rPr>
      </w:pPr>
      <w:r w:rsidRPr="00247EE5">
        <w:rPr>
          <w:rFonts w:ascii="Times New Roman" w:hAnsi="Times New Roman" w:cs="Times New Roman"/>
          <w:sz w:val="24"/>
          <w:szCs w:val="24"/>
        </w:rPr>
        <w:t>To focus on outcomes rather than processes</w:t>
      </w:r>
    </w:p>
    <w:p w14:paraId="45B2D5D2" w14:textId="77777777" w:rsidR="00DE0F2A" w:rsidRPr="00247EE5" w:rsidRDefault="00DE0F2A" w:rsidP="008B3134">
      <w:pPr>
        <w:pStyle w:val="BodyText"/>
        <w:spacing w:after="0"/>
        <w:ind w:firstLine="567"/>
      </w:pPr>
      <w:r w:rsidRPr="00247EE5">
        <w:rPr>
          <w:szCs w:val="24"/>
        </w:rPr>
        <w:lastRenderedPageBreak/>
        <w:t>Nuclear industry leaders need to also support any opportunity for open dialogue with regulators including support of forums and organisations. This could be at a National level (National Nuclear Forum and / or other non-Government organisations), Regional Level ( e.g. ENISS) or International level (IAEA).</w:t>
      </w:r>
      <w:r w:rsidRPr="00247EE5">
        <w:t xml:space="preserve"> </w:t>
      </w:r>
      <w:r w:rsidRPr="00247EE5">
        <w:rPr>
          <w:szCs w:val="24"/>
        </w:rPr>
        <w:t>Generally speaking, the nuclear regulators have limited technical competence and experiences in design, operation and maintenance of nuclear power plants, yet they have to make decisions on complex technical issues. Although they have technical advisory committees, their standing interface with professional experts community including that for consensus standards building helps allow them to make technically reasonable decisions.</w:t>
      </w:r>
      <w:r w:rsidRPr="00247EE5">
        <w:t xml:space="preserve"> </w:t>
      </w:r>
    </w:p>
    <w:p w14:paraId="78C1A2F1" w14:textId="6773E62C" w:rsidR="00DE0F2A" w:rsidRPr="00247EE5" w:rsidRDefault="00DE0F2A" w:rsidP="00DE0F2A">
      <w:pPr>
        <w:pStyle w:val="xmsonormal"/>
        <w:ind w:left="420"/>
        <w:rPr>
          <w:rFonts w:ascii="Times New Roman" w:hAnsi="Times New Roman" w:cs="Times New Roman"/>
          <w:sz w:val="24"/>
          <w:szCs w:val="24"/>
        </w:rPr>
      </w:pPr>
      <w:r w:rsidRPr="00247EE5">
        <w:rPr>
          <w:rFonts w:ascii="Times New Roman" w:hAnsi="Times New Roman" w:cs="Times New Roman"/>
          <w:sz w:val="24"/>
          <w:szCs w:val="24"/>
          <w:lang w:val="en-US"/>
        </w:rPr>
        <w:t>[Note 1] One example of reasonable decision by the regulator using Industry’s guideline is the case of North Anna NPP in the US in 2011 after an earthquake hit (exceeding the level of regulatory guide for seismic design basis). Since EPRI had developed Cav (Cumulative Absolute Velocity) guideline based on knowledge of failure by energy of non-ductile material, USNRC accepted it and allowed smooth startup after inspection and evaluation. The other extreme is Onagawa NPP in Japan, where plant was forced by the regulatory body to shut down for an extended period of time because of an earthquake that exceeded seismic design basis acceleration spectra in a limited frequency zone.</w:t>
      </w:r>
    </w:p>
    <w:p w14:paraId="3794E698" w14:textId="567B8A6E" w:rsidR="00DE0F2A" w:rsidRPr="00247EE5" w:rsidRDefault="00DE0F2A" w:rsidP="00FD5926">
      <w:pPr>
        <w:pStyle w:val="BodyText"/>
        <w:spacing w:after="0"/>
        <w:ind w:firstLine="567"/>
      </w:pPr>
      <w:r w:rsidRPr="00247EE5">
        <w:t>The regulator also has significant responsibilities in ensuring an effective relationship with the nuclear licensee organisations. The Committee on Nuclear Regulatory Activities (CNRA), which is made up of senior representatives from the nuclear regulatory authorities of the OECD Nuclear Energy Agency, issued in 2014 ‘The Characteristics of an Effective Nuclear Regulator</w:t>
      </w:r>
      <w:r w:rsidR="00AA6DAC">
        <w:t xml:space="preserve">’ </w:t>
      </w:r>
      <w:r w:rsidR="00AA6DAC">
        <w:fldChar w:fldCharType="begin"/>
      </w:r>
      <w:r w:rsidR="00070702">
        <w:instrText xml:space="preserve"> ADDIN ZOTERO_ITEM CSL_CITATION {"citationID":"0pgSgxqR","properties":{"formattedCitation":"[40]","plainCitation":"[40]","noteIndex":0},"citationItems":[{"id":1102,"uris":["http://zotero.org/users/6184040/items/853R4XIV"],"uri":["http://zotero.org/users/6184040/items/853R4XIV"],"itemData":{"id":1102,"type":"book","note":"DOI: https://doi.org/https://doi.org/10.1787/9789264218741-en","number-of-pages":"32","title":"The Characteristics of an Effective Nuclear Regulator","URL":"https://www.oecd-ilibrary.org/content/publication/9789264218741-en","author":[{"literal":"OECD"}],"issued":{"date-parts":[["2014"]]}}}],"schema":"https://github.com/citation-style-language/schema/raw/master/csl-citation.json"} </w:instrText>
      </w:r>
      <w:r w:rsidR="00AA6DAC">
        <w:fldChar w:fldCharType="separate"/>
      </w:r>
      <w:r w:rsidR="00070702" w:rsidRPr="00070702">
        <w:t>[40]</w:t>
      </w:r>
      <w:r w:rsidR="00AA6DAC">
        <w:fldChar w:fldCharType="end"/>
      </w:r>
      <w:r w:rsidRPr="00247EE5">
        <w:t>. This highlights that an effective nuclear regulator:</w:t>
      </w:r>
    </w:p>
    <w:p w14:paraId="665F368C" w14:textId="77777777" w:rsidR="00DE0F2A" w:rsidRPr="00247EE5" w:rsidRDefault="00DE0F2A" w:rsidP="00AC768F">
      <w:pPr>
        <w:pStyle w:val="ListParagraph"/>
        <w:numPr>
          <w:ilvl w:val="0"/>
          <w:numId w:val="16"/>
        </w:numPr>
        <w:overflowPunct/>
        <w:autoSpaceDE/>
        <w:autoSpaceDN/>
        <w:adjustRightInd/>
        <w:textAlignment w:val="auto"/>
        <w:rPr>
          <w:rFonts w:ascii="Times New Roman" w:hAnsi="Times New Roman" w:cs="Times New Roman"/>
          <w:sz w:val="24"/>
          <w:szCs w:val="24"/>
        </w:rPr>
      </w:pPr>
      <w:r w:rsidRPr="00247EE5">
        <w:rPr>
          <w:rFonts w:ascii="Times New Roman" w:hAnsi="Times New Roman" w:cs="Times New Roman"/>
          <w:sz w:val="24"/>
          <w:szCs w:val="24"/>
        </w:rPr>
        <w:t>has public safety as its primary focus;</w:t>
      </w:r>
    </w:p>
    <w:p w14:paraId="6DBC9730" w14:textId="1E39852A" w:rsidR="00DE0F2A" w:rsidRPr="00247EE5" w:rsidRDefault="00DE0F2A" w:rsidP="00AC768F">
      <w:pPr>
        <w:pStyle w:val="ListParagraph"/>
        <w:numPr>
          <w:ilvl w:val="0"/>
          <w:numId w:val="16"/>
        </w:numPr>
        <w:overflowPunct/>
        <w:autoSpaceDE/>
        <w:autoSpaceDN/>
        <w:adjustRightInd/>
        <w:textAlignment w:val="auto"/>
        <w:rPr>
          <w:rFonts w:ascii="Times New Roman" w:hAnsi="Times New Roman" w:cs="Times New Roman"/>
          <w:sz w:val="24"/>
          <w:szCs w:val="24"/>
        </w:rPr>
      </w:pPr>
      <w:r w:rsidRPr="00247EE5">
        <w:rPr>
          <w:rFonts w:ascii="Times New Roman" w:hAnsi="Times New Roman" w:cs="Times New Roman"/>
          <w:sz w:val="24"/>
          <w:szCs w:val="24"/>
        </w:rPr>
        <w:t xml:space="preserve">has independence in regulatory decision making from any undue influence on the part of the nuclear industry and those sectors of government that sponsor this industry - </w:t>
      </w:r>
      <w:r w:rsidRPr="00665E0D">
        <w:rPr>
          <w:rFonts w:ascii="Times New Roman" w:hAnsi="Times New Roman" w:cs="Times New Roman"/>
          <w:sz w:val="24"/>
          <w:szCs w:val="24"/>
        </w:rPr>
        <w:t>Independence does not mean isolation</w:t>
      </w:r>
      <w:r w:rsidRPr="00247EE5">
        <w:rPr>
          <w:rFonts w:ascii="Times New Roman" w:hAnsi="Times New Roman" w:cs="Times New Roman"/>
          <w:sz w:val="24"/>
          <w:szCs w:val="24"/>
        </w:rPr>
        <w:t xml:space="preserve"> – the regulator needs to have frequent open discussions with all of its stakeholders at all times and remain accountable to them for its actions and its decisions. In order to ensure that the regulatory body is effectively independent from undue influence in its decision making, several elements are of utmost importance. These elements include:</w:t>
      </w:r>
      <w:r w:rsidR="00665E0D">
        <w:rPr>
          <w:rFonts w:ascii="Times New Roman" w:hAnsi="Times New Roman" w:cs="Times New Roman"/>
          <w:sz w:val="24"/>
          <w:szCs w:val="24"/>
        </w:rPr>
        <w:t>p</w:t>
      </w:r>
      <w:r w:rsidRPr="00247EE5">
        <w:rPr>
          <w:rFonts w:ascii="Times New Roman" w:hAnsi="Times New Roman" w:cs="Times New Roman"/>
          <w:sz w:val="24"/>
          <w:szCs w:val="24"/>
        </w:rPr>
        <w:t>oliti</w:t>
      </w:r>
      <w:r w:rsidR="00AE05B4">
        <w:rPr>
          <w:rFonts w:ascii="Times New Roman" w:hAnsi="Times New Roman" w:cs="Times New Roman"/>
          <w:sz w:val="24"/>
          <w:szCs w:val="24"/>
        </w:rPr>
        <w:t>cal</w:t>
      </w:r>
      <w:r w:rsidRPr="00247EE5">
        <w:rPr>
          <w:rFonts w:ascii="Times New Roman" w:hAnsi="Times New Roman" w:cs="Times New Roman"/>
          <w:sz w:val="24"/>
          <w:szCs w:val="24"/>
        </w:rPr>
        <w:t xml:space="preserve"> independence – Authorised and being able to make independent regulatory judgments and regulatory decisions within their field of competence for routine work and in crisis situations.</w:t>
      </w:r>
    </w:p>
    <w:p w14:paraId="7700EFB7" w14:textId="77777777" w:rsidR="00DE0F2A" w:rsidRPr="00247EE5" w:rsidRDefault="00DE0F2A" w:rsidP="00AC768F">
      <w:pPr>
        <w:pStyle w:val="ListParagraph"/>
        <w:numPr>
          <w:ilvl w:val="0"/>
          <w:numId w:val="16"/>
        </w:numPr>
        <w:overflowPunct/>
        <w:autoSpaceDE/>
        <w:autoSpaceDN/>
        <w:adjustRightInd/>
        <w:textAlignment w:val="auto"/>
        <w:rPr>
          <w:rFonts w:ascii="Times New Roman" w:hAnsi="Times New Roman" w:cs="Times New Roman"/>
          <w:sz w:val="24"/>
          <w:szCs w:val="24"/>
        </w:rPr>
      </w:pPr>
      <w:r w:rsidRPr="00247EE5">
        <w:rPr>
          <w:rFonts w:ascii="Times New Roman" w:hAnsi="Times New Roman" w:cs="Times New Roman"/>
          <w:sz w:val="24"/>
          <w:szCs w:val="24"/>
        </w:rPr>
        <w:t>has technical competence at its core, with other competencies built upon this fundamental and essential requirement;</w:t>
      </w:r>
    </w:p>
    <w:p w14:paraId="79F9333E" w14:textId="77777777" w:rsidR="00DE0F2A" w:rsidRPr="00247EE5" w:rsidRDefault="00DE0F2A" w:rsidP="00AC768F">
      <w:pPr>
        <w:pStyle w:val="ListParagraph"/>
        <w:numPr>
          <w:ilvl w:val="0"/>
          <w:numId w:val="16"/>
        </w:numPr>
        <w:overflowPunct/>
        <w:autoSpaceDE/>
        <w:autoSpaceDN/>
        <w:adjustRightInd/>
        <w:textAlignment w:val="auto"/>
        <w:rPr>
          <w:rFonts w:ascii="Times New Roman" w:hAnsi="Times New Roman" w:cs="Times New Roman"/>
          <w:sz w:val="24"/>
          <w:szCs w:val="24"/>
        </w:rPr>
      </w:pPr>
      <w:r w:rsidRPr="00247EE5">
        <w:rPr>
          <w:rFonts w:ascii="Times New Roman" w:hAnsi="Times New Roman" w:cs="Times New Roman"/>
          <w:sz w:val="24"/>
          <w:szCs w:val="24"/>
        </w:rPr>
        <w:t>is open and transparent in its regulations and decisions;</w:t>
      </w:r>
    </w:p>
    <w:p w14:paraId="682FC3C9" w14:textId="77777777" w:rsidR="00DE0F2A" w:rsidRPr="00247EE5" w:rsidRDefault="00DE0F2A" w:rsidP="00AC768F">
      <w:pPr>
        <w:pStyle w:val="ListParagraph"/>
        <w:numPr>
          <w:ilvl w:val="0"/>
          <w:numId w:val="16"/>
        </w:numPr>
        <w:overflowPunct/>
        <w:autoSpaceDE/>
        <w:autoSpaceDN/>
        <w:adjustRightInd/>
        <w:textAlignment w:val="auto"/>
        <w:rPr>
          <w:rFonts w:ascii="Times New Roman" w:hAnsi="Times New Roman" w:cs="Times New Roman"/>
          <w:sz w:val="24"/>
          <w:szCs w:val="24"/>
        </w:rPr>
      </w:pPr>
      <w:r w:rsidRPr="00247EE5">
        <w:rPr>
          <w:rFonts w:ascii="Times New Roman" w:hAnsi="Times New Roman" w:cs="Times New Roman"/>
          <w:sz w:val="24"/>
          <w:szCs w:val="24"/>
        </w:rPr>
        <w:t xml:space="preserve">has a regulatory framework and requirements that are clear and easily understood by all stakeholders; </w:t>
      </w:r>
    </w:p>
    <w:p w14:paraId="0B76F660" w14:textId="77777777" w:rsidR="00DE0F2A" w:rsidRPr="00247EE5" w:rsidRDefault="00DE0F2A" w:rsidP="00AC768F">
      <w:pPr>
        <w:pStyle w:val="ListParagraph"/>
        <w:numPr>
          <w:ilvl w:val="0"/>
          <w:numId w:val="16"/>
        </w:numPr>
        <w:overflowPunct/>
        <w:autoSpaceDE/>
        <w:autoSpaceDN/>
        <w:adjustRightInd/>
        <w:textAlignment w:val="auto"/>
        <w:rPr>
          <w:rFonts w:ascii="Times New Roman" w:hAnsi="Times New Roman" w:cs="Times New Roman"/>
          <w:sz w:val="24"/>
          <w:szCs w:val="24"/>
        </w:rPr>
      </w:pPr>
      <w:r w:rsidRPr="00247EE5">
        <w:rPr>
          <w:rFonts w:ascii="Times New Roman" w:hAnsi="Times New Roman" w:cs="Times New Roman"/>
          <w:sz w:val="24"/>
          <w:szCs w:val="24"/>
        </w:rPr>
        <w:t>makes clear, consistent, balanced and unbiased decisions, and is accountable for those decisions;</w:t>
      </w:r>
    </w:p>
    <w:p w14:paraId="6DD67A1E" w14:textId="77777777" w:rsidR="00DE0F2A" w:rsidRPr="00247EE5" w:rsidRDefault="00DE0F2A" w:rsidP="00AC768F">
      <w:pPr>
        <w:pStyle w:val="ListParagraph"/>
        <w:numPr>
          <w:ilvl w:val="0"/>
          <w:numId w:val="16"/>
        </w:numPr>
        <w:overflowPunct/>
        <w:autoSpaceDE/>
        <w:autoSpaceDN/>
        <w:adjustRightInd/>
        <w:textAlignment w:val="auto"/>
        <w:rPr>
          <w:rFonts w:ascii="Times New Roman" w:hAnsi="Times New Roman" w:cs="Times New Roman"/>
          <w:sz w:val="24"/>
          <w:szCs w:val="24"/>
        </w:rPr>
      </w:pPr>
      <w:r w:rsidRPr="00247EE5">
        <w:rPr>
          <w:rFonts w:ascii="Times New Roman" w:hAnsi="Times New Roman" w:cs="Times New Roman"/>
          <w:sz w:val="24"/>
          <w:szCs w:val="24"/>
        </w:rPr>
        <w:t>Proportionate in dealing with compliance gaps and securing compliance</w:t>
      </w:r>
    </w:p>
    <w:p w14:paraId="5817C868" w14:textId="77777777" w:rsidR="00DE0F2A" w:rsidRPr="00247EE5" w:rsidRDefault="00DE0F2A" w:rsidP="00AC768F">
      <w:pPr>
        <w:pStyle w:val="ListParagraph"/>
        <w:numPr>
          <w:ilvl w:val="0"/>
          <w:numId w:val="16"/>
        </w:numPr>
        <w:overflowPunct/>
        <w:autoSpaceDE/>
        <w:autoSpaceDN/>
        <w:adjustRightInd/>
        <w:textAlignment w:val="auto"/>
        <w:rPr>
          <w:rFonts w:ascii="Times New Roman" w:hAnsi="Times New Roman" w:cs="Times New Roman"/>
          <w:sz w:val="24"/>
          <w:szCs w:val="24"/>
        </w:rPr>
      </w:pPr>
      <w:r w:rsidRPr="00247EE5">
        <w:rPr>
          <w:rFonts w:ascii="Times New Roman" w:hAnsi="Times New Roman" w:cs="Times New Roman"/>
          <w:sz w:val="24"/>
          <w:szCs w:val="24"/>
        </w:rPr>
        <w:t>has a strong organisational capability in terms of adequate resources, strong leadership and robust management systems;</w:t>
      </w:r>
    </w:p>
    <w:p w14:paraId="23703332" w14:textId="77777777" w:rsidR="00DE0F2A" w:rsidRPr="00247EE5" w:rsidRDefault="00DE0F2A" w:rsidP="00AC768F">
      <w:pPr>
        <w:pStyle w:val="ListParagraph"/>
        <w:numPr>
          <w:ilvl w:val="0"/>
          <w:numId w:val="16"/>
        </w:numPr>
        <w:overflowPunct/>
        <w:autoSpaceDE/>
        <w:autoSpaceDN/>
        <w:adjustRightInd/>
        <w:textAlignment w:val="auto"/>
        <w:rPr>
          <w:rFonts w:ascii="Times New Roman" w:hAnsi="Times New Roman" w:cs="Times New Roman"/>
          <w:sz w:val="24"/>
          <w:szCs w:val="24"/>
        </w:rPr>
      </w:pPr>
      <w:r w:rsidRPr="00247EE5">
        <w:rPr>
          <w:rFonts w:ascii="Times New Roman" w:hAnsi="Times New Roman" w:cs="Times New Roman"/>
          <w:sz w:val="24"/>
          <w:szCs w:val="24"/>
        </w:rPr>
        <w:t>performs its regulatory functions in a timely and efficient manner;</w:t>
      </w:r>
    </w:p>
    <w:p w14:paraId="2268D0D8" w14:textId="77777777" w:rsidR="00DE0F2A" w:rsidRPr="00247EE5" w:rsidRDefault="00DE0F2A" w:rsidP="00AC768F">
      <w:pPr>
        <w:pStyle w:val="ListParagraph"/>
        <w:numPr>
          <w:ilvl w:val="0"/>
          <w:numId w:val="16"/>
        </w:numPr>
        <w:overflowPunct/>
        <w:autoSpaceDE/>
        <w:autoSpaceDN/>
        <w:adjustRightInd/>
        <w:textAlignment w:val="auto"/>
        <w:rPr>
          <w:rFonts w:ascii="Times New Roman" w:hAnsi="Times New Roman" w:cs="Times New Roman"/>
          <w:sz w:val="24"/>
          <w:szCs w:val="24"/>
        </w:rPr>
      </w:pPr>
      <w:r w:rsidRPr="00247EE5">
        <w:rPr>
          <w:rFonts w:ascii="Times New Roman" w:hAnsi="Times New Roman" w:cs="Times New Roman"/>
          <w:sz w:val="24"/>
          <w:szCs w:val="24"/>
        </w:rPr>
        <w:lastRenderedPageBreak/>
        <w:t>has and encourages a continuous self-improvement and learning culture, including the willingness to subject itself to independent peer reviews.</w:t>
      </w:r>
    </w:p>
    <w:p w14:paraId="2A20B37B" w14:textId="77777777" w:rsidR="00DE0F2A" w:rsidRPr="00247EE5" w:rsidRDefault="00DE0F2A" w:rsidP="00AC768F">
      <w:pPr>
        <w:pStyle w:val="ListParagraph"/>
        <w:numPr>
          <w:ilvl w:val="0"/>
          <w:numId w:val="16"/>
        </w:numPr>
        <w:overflowPunct/>
        <w:autoSpaceDE/>
        <w:autoSpaceDN/>
        <w:adjustRightInd/>
        <w:textAlignment w:val="auto"/>
        <w:rPr>
          <w:rFonts w:ascii="Times New Roman" w:hAnsi="Times New Roman" w:cs="Times New Roman"/>
          <w:sz w:val="24"/>
          <w:szCs w:val="24"/>
        </w:rPr>
      </w:pPr>
      <w:r w:rsidRPr="00247EE5">
        <w:rPr>
          <w:rFonts w:ascii="Times New Roman" w:hAnsi="Times New Roman" w:cs="Times New Roman"/>
          <w:sz w:val="24"/>
          <w:szCs w:val="24"/>
        </w:rPr>
        <w:t>Targeted on the most serious risk or those least well controlled</w:t>
      </w:r>
    </w:p>
    <w:p w14:paraId="43923453" w14:textId="3CF13B81" w:rsidR="00DE0F2A" w:rsidRPr="00247EE5" w:rsidRDefault="00DE0F2A" w:rsidP="00352FDA">
      <w:pPr>
        <w:pStyle w:val="BodyText"/>
        <w:spacing w:after="0"/>
        <w:ind w:firstLine="567"/>
        <w:rPr>
          <w:szCs w:val="24"/>
        </w:rPr>
      </w:pPr>
      <w:r w:rsidRPr="00247EE5">
        <w:t xml:space="preserve">In the best case scenarios the regulator adopts an enabling approach to regulation </w:t>
      </w:r>
      <w:r w:rsidR="001C080A">
        <w:fldChar w:fldCharType="begin"/>
      </w:r>
      <w:r w:rsidR="00070702">
        <w:instrText xml:space="preserve"> ADDIN ZOTERO_ITEM CSL_CITATION {"citationID":"ibqetNo0","properties":{"formattedCitation":"[41]","plainCitation":"[41]","noteIndex":0},"citationItems":[{"id":1103,"uris":["http://zotero.org/users/6184040/items/JKJRJLIH"],"uri":["http://zotero.org/users/6184040/items/JKJRJLIH"],"itemData":{"id":1103,"type":"book","title":"HOLDING INDUSTRY TO ACCOUNT  AND INFLUENCING IMPROVEMENTS – A GUIDE TO ENABLINGREGULATION IN  PRACTICE","author":[{"literal":"Office for Nuclear Regulation"}],"issued":{"date-parts":[["2018",2]]}}}],"schema":"https://github.com/citation-style-language/schema/raw/master/csl-citation.json"} </w:instrText>
      </w:r>
      <w:r w:rsidR="001C080A">
        <w:fldChar w:fldCharType="separate"/>
      </w:r>
      <w:r w:rsidR="00070702" w:rsidRPr="00070702">
        <w:t>[41]</w:t>
      </w:r>
      <w:r w:rsidR="001C080A">
        <w:fldChar w:fldCharType="end"/>
      </w:r>
      <w:r w:rsidRPr="00247EE5">
        <w:t xml:space="preserve"> i.e. a constructive approach to enable delivery against clear and prioritised safety outcomes. </w:t>
      </w:r>
      <w:r w:rsidRPr="00247EE5">
        <w:rPr>
          <w:szCs w:val="24"/>
        </w:rPr>
        <w:t>An enabling approach i.e.</w:t>
      </w:r>
    </w:p>
    <w:p w14:paraId="5AEE284C" w14:textId="48E9BE7C" w:rsidR="00DE0F2A" w:rsidRPr="00881F8E" w:rsidRDefault="00DE0F2A" w:rsidP="00AC768F">
      <w:pPr>
        <w:pStyle w:val="ListParagraph"/>
        <w:numPr>
          <w:ilvl w:val="0"/>
          <w:numId w:val="16"/>
        </w:numPr>
        <w:overflowPunct/>
        <w:autoSpaceDE/>
        <w:autoSpaceDN/>
        <w:adjustRightInd/>
        <w:textAlignment w:val="auto"/>
        <w:rPr>
          <w:rFonts w:ascii="Times New Roman" w:hAnsi="Times New Roman" w:cs="Times New Roman"/>
          <w:sz w:val="24"/>
          <w:szCs w:val="24"/>
        </w:rPr>
      </w:pPr>
      <w:r w:rsidRPr="00881F8E">
        <w:rPr>
          <w:rFonts w:ascii="Times New Roman" w:hAnsi="Times New Roman" w:cs="Times New Roman"/>
          <w:sz w:val="24"/>
          <w:szCs w:val="24"/>
        </w:rPr>
        <w:t>Includes consideration of strategic factors in regulatory decision</w:t>
      </w:r>
      <w:r w:rsidR="008B04BB" w:rsidRPr="00881F8E">
        <w:rPr>
          <w:rFonts w:ascii="Times New Roman" w:hAnsi="Times New Roman" w:cs="Times New Roman"/>
          <w:sz w:val="24"/>
          <w:szCs w:val="24"/>
        </w:rPr>
        <w:t xml:space="preserve"> </w:t>
      </w:r>
      <w:r w:rsidRPr="00881F8E">
        <w:rPr>
          <w:rFonts w:ascii="Times New Roman" w:hAnsi="Times New Roman" w:cs="Times New Roman"/>
          <w:sz w:val="24"/>
          <w:szCs w:val="24"/>
        </w:rPr>
        <w:t xml:space="preserve">making; </w:t>
      </w:r>
    </w:p>
    <w:p w14:paraId="7D8CC4C5" w14:textId="5D99CBD5" w:rsidR="00DE0F2A" w:rsidRPr="00881F8E" w:rsidRDefault="00DE0F2A" w:rsidP="00AC768F">
      <w:pPr>
        <w:pStyle w:val="ListParagraph"/>
        <w:numPr>
          <w:ilvl w:val="0"/>
          <w:numId w:val="16"/>
        </w:numPr>
        <w:overflowPunct/>
        <w:autoSpaceDE/>
        <w:autoSpaceDN/>
        <w:adjustRightInd/>
        <w:textAlignment w:val="auto"/>
        <w:rPr>
          <w:rFonts w:ascii="Times New Roman" w:hAnsi="Times New Roman" w:cs="Times New Roman"/>
          <w:sz w:val="24"/>
          <w:szCs w:val="24"/>
        </w:rPr>
      </w:pPr>
      <w:r w:rsidRPr="00881F8E">
        <w:rPr>
          <w:rFonts w:ascii="Times New Roman" w:hAnsi="Times New Roman" w:cs="Times New Roman"/>
          <w:sz w:val="24"/>
          <w:szCs w:val="24"/>
        </w:rPr>
        <w:t xml:space="preserve">Recognises that the speed at which improvements can be realised is often a key aspect in the risk balance and a pivotal factor in identifying the best safety or security outcome </w:t>
      </w:r>
    </w:p>
    <w:p w14:paraId="1C65BF9E" w14:textId="16667335" w:rsidR="00DE0F2A" w:rsidRPr="00881F8E" w:rsidRDefault="00DE0F2A" w:rsidP="00AC768F">
      <w:pPr>
        <w:pStyle w:val="ListParagraph"/>
        <w:numPr>
          <w:ilvl w:val="0"/>
          <w:numId w:val="16"/>
        </w:numPr>
        <w:overflowPunct/>
        <w:autoSpaceDE/>
        <w:autoSpaceDN/>
        <w:adjustRightInd/>
        <w:textAlignment w:val="auto"/>
        <w:rPr>
          <w:rFonts w:ascii="Times New Roman" w:hAnsi="Times New Roman" w:cs="Times New Roman"/>
          <w:sz w:val="24"/>
          <w:szCs w:val="24"/>
        </w:rPr>
      </w:pPr>
      <w:r w:rsidRPr="00881F8E">
        <w:rPr>
          <w:rFonts w:ascii="Times New Roman" w:hAnsi="Times New Roman" w:cs="Times New Roman"/>
          <w:sz w:val="24"/>
          <w:szCs w:val="24"/>
        </w:rPr>
        <w:t>Considers the economic impact to the industry from regulatory activities, in terms of the impact of our frontline work and the cost impact of work required as a result of those activities to bring the industry into compliance with the law and the expected compliance standards.</w:t>
      </w:r>
    </w:p>
    <w:p w14:paraId="0674C23B" w14:textId="77777777" w:rsidR="00DE0F2A" w:rsidRPr="00247EE5" w:rsidRDefault="00DE0F2A" w:rsidP="00352FDA">
      <w:pPr>
        <w:pStyle w:val="BodyText"/>
        <w:spacing w:after="0"/>
        <w:ind w:firstLine="567"/>
        <w:rPr>
          <w:szCs w:val="24"/>
        </w:rPr>
      </w:pPr>
      <w:r w:rsidRPr="00247EE5">
        <w:rPr>
          <w:szCs w:val="24"/>
        </w:rPr>
        <w:t>Effective engagement between the nuclear licensee and the regulator will facilitate this shift towards more effective enabling regulation.</w:t>
      </w:r>
    </w:p>
    <w:p w14:paraId="484BFCE4" w14:textId="77777777" w:rsidR="00DE0F2A" w:rsidRPr="00247EE5" w:rsidRDefault="00DE0F2A" w:rsidP="00352FDA">
      <w:pPr>
        <w:pStyle w:val="BodyText"/>
        <w:spacing w:after="0"/>
        <w:ind w:firstLine="567"/>
        <w:rPr>
          <w:szCs w:val="24"/>
        </w:rPr>
      </w:pPr>
      <w:r w:rsidRPr="00247EE5">
        <w:t>Many of the attributes that have been described in this document to ensure institutional strength in depth in the licensee organisation also apply to regulator i.e. effective management system, strong leadership, robust nuclear safety culture, effective governance etc.  The specific set of challenges/ risks associated with the regulator are:</w:t>
      </w:r>
    </w:p>
    <w:p w14:paraId="26319E28" w14:textId="079C68A0" w:rsidR="00DE0F2A" w:rsidRPr="00881F8E" w:rsidRDefault="00DE0F2A" w:rsidP="00AC768F">
      <w:pPr>
        <w:pStyle w:val="ListParagraph"/>
        <w:numPr>
          <w:ilvl w:val="0"/>
          <w:numId w:val="16"/>
        </w:numPr>
        <w:overflowPunct/>
        <w:autoSpaceDE/>
        <w:autoSpaceDN/>
        <w:adjustRightInd/>
        <w:textAlignment w:val="auto"/>
        <w:rPr>
          <w:rFonts w:ascii="Times New Roman" w:eastAsia="Times New Roman" w:hAnsi="Times New Roman" w:cs="Times New Roman"/>
          <w:sz w:val="24"/>
          <w:szCs w:val="24"/>
        </w:rPr>
      </w:pPr>
      <w:r w:rsidRPr="00881F8E">
        <w:rPr>
          <w:rFonts w:ascii="Times New Roman" w:eastAsia="Times New Roman" w:hAnsi="Times New Roman" w:cs="Times New Roman"/>
          <w:sz w:val="24"/>
          <w:szCs w:val="24"/>
        </w:rPr>
        <w:t xml:space="preserve">Capability and skills management – </w:t>
      </w:r>
      <w:r w:rsidR="00712DFE" w:rsidRPr="00881F8E">
        <w:rPr>
          <w:rFonts w:ascii="Times New Roman" w:hAnsi="Times New Roman" w:cs="Times New Roman"/>
          <w:sz w:val="24"/>
          <w:szCs w:val="24"/>
        </w:rPr>
        <w:t xml:space="preserve">it is easier for the regulator to develop his technical knowledge and expertise than </w:t>
      </w:r>
      <w:r w:rsidR="00943A3C" w:rsidRPr="00881F8E">
        <w:rPr>
          <w:rFonts w:ascii="Times New Roman" w:hAnsi="Times New Roman" w:cs="Times New Roman"/>
          <w:sz w:val="24"/>
          <w:szCs w:val="24"/>
        </w:rPr>
        <w:t xml:space="preserve">to gain </w:t>
      </w:r>
      <w:r w:rsidR="00712DFE" w:rsidRPr="00881F8E">
        <w:rPr>
          <w:rFonts w:ascii="Times New Roman" w:hAnsi="Times New Roman" w:cs="Times New Roman"/>
          <w:sz w:val="24"/>
          <w:szCs w:val="24"/>
        </w:rPr>
        <w:t xml:space="preserve">direct operational experience and capability, </w:t>
      </w:r>
      <w:r w:rsidR="00943A3C" w:rsidRPr="00881F8E">
        <w:rPr>
          <w:rFonts w:ascii="Times New Roman" w:hAnsi="Times New Roman" w:cs="Times New Roman"/>
          <w:sz w:val="24"/>
          <w:szCs w:val="24"/>
        </w:rPr>
        <w:t>yet both</w:t>
      </w:r>
      <w:r w:rsidR="00725F33" w:rsidRPr="00881F8E">
        <w:rPr>
          <w:rFonts w:ascii="Times New Roman" w:hAnsi="Times New Roman" w:cs="Times New Roman"/>
          <w:sz w:val="24"/>
          <w:szCs w:val="24"/>
        </w:rPr>
        <w:t xml:space="preserve"> are necessary to optimize skill development and performance</w:t>
      </w:r>
      <w:r w:rsidR="005E7E9B" w:rsidRPr="00881F8E">
        <w:rPr>
          <w:rFonts w:ascii="Times New Roman" w:hAnsi="Times New Roman" w:cs="Times New Roman"/>
          <w:sz w:val="24"/>
          <w:szCs w:val="24"/>
        </w:rPr>
        <w:t>.</w:t>
      </w:r>
      <w:r w:rsidR="00712DFE" w:rsidRPr="00881F8E">
        <w:rPr>
          <w:rFonts w:ascii="Times New Roman" w:hAnsi="Times New Roman" w:cs="Times New Roman"/>
          <w:sz w:val="24"/>
          <w:szCs w:val="24"/>
        </w:rPr>
        <w:t xml:space="preserve"> </w:t>
      </w:r>
      <w:r w:rsidR="005E7E9B" w:rsidRPr="00881F8E">
        <w:rPr>
          <w:rFonts w:ascii="Times New Roman" w:hAnsi="Times New Roman" w:cs="Times New Roman"/>
          <w:sz w:val="24"/>
          <w:szCs w:val="24"/>
        </w:rPr>
        <w:t>When</w:t>
      </w:r>
      <w:r w:rsidR="00712DFE" w:rsidRPr="00881F8E">
        <w:rPr>
          <w:rFonts w:ascii="Times New Roman" w:hAnsi="Times New Roman" w:cs="Times New Roman"/>
          <w:sz w:val="24"/>
          <w:szCs w:val="24"/>
        </w:rPr>
        <w:t xml:space="preserve"> addressing safety related issues and concerns, </w:t>
      </w:r>
      <w:r w:rsidR="0068735A" w:rsidRPr="00881F8E">
        <w:rPr>
          <w:rFonts w:ascii="Times New Roman" w:hAnsi="Times New Roman" w:cs="Times New Roman"/>
          <w:sz w:val="24"/>
          <w:szCs w:val="24"/>
        </w:rPr>
        <w:t xml:space="preserve">a </w:t>
      </w:r>
      <w:r w:rsidR="00F96D92" w:rsidRPr="00881F8E">
        <w:rPr>
          <w:rFonts w:ascii="Times New Roman" w:hAnsi="Times New Roman" w:cs="Times New Roman"/>
          <w:sz w:val="24"/>
          <w:szCs w:val="24"/>
        </w:rPr>
        <w:t xml:space="preserve">focus solely on technical skill development </w:t>
      </w:r>
      <w:r w:rsidR="00712DFE" w:rsidRPr="00881F8E">
        <w:rPr>
          <w:rFonts w:ascii="Times New Roman" w:hAnsi="Times New Roman" w:cs="Times New Roman"/>
          <w:sz w:val="24"/>
          <w:szCs w:val="24"/>
        </w:rPr>
        <w:t xml:space="preserve">can result in a bias towards technical design solutions. </w:t>
      </w:r>
      <w:r w:rsidR="00171EA6" w:rsidRPr="00881F8E">
        <w:rPr>
          <w:rFonts w:ascii="Times New Roman" w:hAnsi="Times New Roman" w:cs="Times New Roman"/>
          <w:sz w:val="24"/>
          <w:szCs w:val="24"/>
        </w:rPr>
        <w:t xml:space="preserve">This bias can suboptimize performance when </w:t>
      </w:r>
      <w:r w:rsidR="00297A08" w:rsidRPr="00881F8E">
        <w:rPr>
          <w:rFonts w:ascii="Times New Roman" w:hAnsi="Times New Roman" w:cs="Times New Roman"/>
          <w:sz w:val="24"/>
          <w:szCs w:val="24"/>
        </w:rPr>
        <w:t>and if</w:t>
      </w:r>
      <w:r w:rsidR="00712DFE" w:rsidRPr="00881F8E">
        <w:rPr>
          <w:rFonts w:ascii="Times New Roman" w:hAnsi="Times New Roman" w:cs="Times New Roman"/>
          <w:sz w:val="24"/>
          <w:szCs w:val="24"/>
        </w:rPr>
        <w:t xml:space="preserve"> pragmatic operational solutions </w:t>
      </w:r>
      <w:r w:rsidR="00297A08" w:rsidRPr="00881F8E">
        <w:rPr>
          <w:rFonts w:ascii="Times New Roman" w:hAnsi="Times New Roman" w:cs="Times New Roman"/>
          <w:sz w:val="24"/>
          <w:szCs w:val="24"/>
        </w:rPr>
        <w:t>are not considered and integrated.</w:t>
      </w:r>
    </w:p>
    <w:p w14:paraId="588D2A83" w14:textId="351E6803" w:rsidR="00DE0F2A" w:rsidRPr="00881F8E" w:rsidRDefault="00DE0F2A" w:rsidP="00AC768F">
      <w:pPr>
        <w:pStyle w:val="ListParagraph"/>
        <w:numPr>
          <w:ilvl w:val="0"/>
          <w:numId w:val="16"/>
        </w:numPr>
        <w:overflowPunct/>
        <w:autoSpaceDE/>
        <w:autoSpaceDN/>
        <w:adjustRightInd/>
        <w:textAlignment w:val="auto"/>
        <w:rPr>
          <w:rFonts w:ascii="Times New Roman" w:eastAsia="Times New Roman" w:hAnsi="Times New Roman" w:cs="Times New Roman"/>
          <w:sz w:val="24"/>
          <w:szCs w:val="24"/>
        </w:rPr>
      </w:pPr>
      <w:r w:rsidRPr="00881F8E">
        <w:rPr>
          <w:rFonts w:ascii="Times New Roman" w:eastAsia="Times New Roman" w:hAnsi="Times New Roman" w:cs="Times New Roman"/>
          <w:sz w:val="24"/>
          <w:szCs w:val="24"/>
        </w:rPr>
        <w:t>A lack of external oversight and internal oversight including obtaining an industry view of their effectiveness could result in a static organisation which does not continually improve.</w:t>
      </w:r>
    </w:p>
    <w:p w14:paraId="3AA4D675" w14:textId="77777777" w:rsidR="00DE0F2A" w:rsidRPr="00881F8E" w:rsidRDefault="00DE0F2A" w:rsidP="00AC768F">
      <w:pPr>
        <w:pStyle w:val="ListParagraph"/>
        <w:numPr>
          <w:ilvl w:val="0"/>
          <w:numId w:val="16"/>
        </w:numPr>
        <w:overflowPunct/>
        <w:autoSpaceDE/>
        <w:autoSpaceDN/>
        <w:adjustRightInd/>
        <w:textAlignment w:val="auto"/>
        <w:rPr>
          <w:rFonts w:ascii="Times New Roman" w:eastAsia="Times New Roman" w:hAnsi="Times New Roman" w:cs="Times New Roman"/>
          <w:sz w:val="24"/>
          <w:szCs w:val="24"/>
        </w:rPr>
      </w:pPr>
      <w:r w:rsidRPr="00881F8E">
        <w:rPr>
          <w:rFonts w:ascii="Times New Roman" w:eastAsia="Times New Roman" w:hAnsi="Times New Roman" w:cs="Times New Roman"/>
          <w:sz w:val="24"/>
          <w:szCs w:val="24"/>
        </w:rPr>
        <w:t xml:space="preserve">Decision making i.e. regulatory action, permissioning and approvals needs to be linked to risk and performance improvement. This is a difficult aspect to get right and at one level can result in disproportionate amount of effort being directed towards low risk issues whilst high risk issues are not effectively actioned </w:t>
      </w:r>
    </w:p>
    <w:p w14:paraId="60C40B70" w14:textId="77777777" w:rsidR="00DE0F2A" w:rsidRPr="00247EE5" w:rsidRDefault="00DE0F2A" w:rsidP="00352FDA">
      <w:pPr>
        <w:pStyle w:val="BodyText"/>
        <w:spacing w:after="120"/>
        <w:ind w:firstLine="567"/>
        <w:rPr>
          <w:szCs w:val="24"/>
        </w:rPr>
      </w:pPr>
      <w:r w:rsidRPr="00247EE5">
        <w:rPr>
          <w:szCs w:val="24"/>
        </w:rPr>
        <w:t>Engagement with and support from the wider nuclear industry including the nuclear operators can help the regulator address and mitigate these key risks</w:t>
      </w:r>
    </w:p>
    <w:p w14:paraId="469D8279" w14:textId="02A27A91" w:rsidR="00DE0F2A" w:rsidRPr="00247EE5" w:rsidRDefault="00DE0F2A" w:rsidP="00DE0F2A">
      <w:pPr>
        <w:ind w:left="720"/>
        <w:rPr>
          <w:sz w:val="22"/>
        </w:rPr>
      </w:pPr>
      <w:r w:rsidRPr="00247EE5">
        <w:t>[Note 2]</w:t>
      </w:r>
      <w:r w:rsidR="00D062E0">
        <w:t xml:space="preserve"> </w:t>
      </w:r>
      <w:r w:rsidRPr="00247EE5">
        <w:t>There are US NRC regulations that are characterized as risk informed, performance</w:t>
      </w:r>
      <w:r w:rsidR="008B04BB">
        <w:t>-</w:t>
      </w:r>
      <w:r w:rsidRPr="00247EE5">
        <w:t xml:space="preserve">based regulations. 10CFR50.65 commonly referred to as the Maintenance Rule is the primary example of this. The NRC in their risk informed regulation programs </w:t>
      </w:r>
      <w:r w:rsidR="008B04BB">
        <w:t>is</w:t>
      </w:r>
      <w:r w:rsidRPr="00247EE5">
        <w:t xml:space="preserve"> moving towards risk informed, performance based regulations as applicable/appropriate in lieu of prescriptive requirements. Of course, there are still prescriptive requirements related to design basis requirements but Technical Specifications and component risk significance have new approaches (e.g., Risk Informed Completion Time Program, Surveillance Frequency Control Program, and Risk significance Categorization (10CFR50.69). The intent is to maintain the design and operating basis while allowing risk information to provide flexibility and to monitor </w:t>
      </w:r>
      <w:r w:rsidRPr="00247EE5">
        <w:lastRenderedPageBreak/>
        <w:t xml:space="preserve">time dependent changes in risk resulting from equipment outages or external conditions (severe weather, etc.). These programs support ISiD in that they bring in considerations that are risk related or beyond design basis. In my opinion, all regulators should be evaluating the use of risk analysis and information to incorporate appropriate elements of ISiD into their regulatory structures. </w:t>
      </w:r>
    </w:p>
    <w:p w14:paraId="0E85134C" w14:textId="77777777" w:rsidR="00CF14C0" w:rsidRPr="00DE0F2A" w:rsidRDefault="00CF14C0" w:rsidP="00974D4A">
      <w:pPr>
        <w:pStyle w:val="BodyText"/>
        <w:rPr>
          <w:lang w:val="en-GB"/>
        </w:rPr>
      </w:pPr>
    </w:p>
    <w:p w14:paraId="2D14F317" w14:textId="316D83D2" w:rsidR="00056258" w:rsidRDefault="110E3DCF" w:rsidP="00056258">
      <w:pPr>
        <w:pStyle w:val="Heading2"/>
      </w:pPr>
      <w:bookmarkStart w:id="1501" w:name="_Toc87627687"/>
      <w:r>
        <w:t>public stakeholder</w:t>
      </w:r>
      <w:r w:rsidR="04E110C2">
        <w:t xml:space="preserve"> engagement</w:t>
      </w:r>
      <w:bookmarkEnd w:id="1501"/>
      <w:r w:rsidR="04E110C2">
        <w:t xml:space="preserve"> </w:t>
      </w:r>
      <w:r>
        <w:t xml:space="preserve"> </w:t>
      </w:r>
    </w:p>
    <w:p w14:paraId="0E2A56FC" w14:textId="77777777" w:rsidR="009E19B9" w:rsidRPr="009E19B9" w:rsidRDefault="009E19B9" w:rsidP="009E19B9">
      <w:pPr>
        <w:pStyle w:val="BodyText"/>
        <w:spacing w:after="120"/>
        <w:ind w:firstLine="567"/>
        <w:rPr>
          <w:szCs w:val="24"/>
          <w:lang w:val="en-GB"/>
        </w:rPr>
      </w:pPr>
      <w:r w:rsidRPr="009E19B9">
        <w:rPr>
          <w:szCs w:val="24"/>
          <w:lang w:val="en-GB"/>
        </w:rPr>
        <w:t>Nuclear power involves designers, vendors, constructors, suppliers, operators, regulators, technical support organizations, international bodies, governments, parliaments, and other stakeholders, especially those related to the public. Public engagement makes operating organizations, regulatory bodies and other authorities acutely aware that their actions are under constant public scrutiny.</w:t>
      </w:r>
    </w:p>
    <w:p w14:paraId="0957ACA2" w14:textId="2BB0CDD8" w:rsidR="009E19B9" w:rsidRPr="009E19B9" w:rsidRDefault="009E19B9" w:rsidP="009E19B9">
      <w:pPr>
        <w:pStyle w:val="BodyText"/>
        <w:spacing w:after="120"/>
        <w:ind w:firstLine="567"/>
        <w:rPr>
          <w:szCs w:val="24"/>
          <w:lang w:val="en-GB"/>
        </w:rPr>
      </w:pPr>
      <w:r w:rsidRPr="009E19B9">
        <w:rPr>
          <w:szCs w:val="24"/>
          <w:lang w:val="en-GB"/>
        </w:rPr>
        <w:t>Leaders in both: operating organizations and regulatory bodies must devote significant resources and attention to maintain a commitment to welcome challenge, to listen, to respond openly, to learn and improve, and to engage positively with all those issues affected by the public and especially local communities.</w:t>
      </w:r>
    </w:p>
    <w:p w14:paraId="03868757" w14:textId="77777777" w:rsidR="009E19B9" w:rsidRPr="009E19B9" w:rsidRDefault="009E19B9" w:rsidP="009E19B9">
      <w:pPr>
        <w:pStyle w:val="BodyText"/>
        <w:spacing w:after="120"/>
        <w:ind w:firstLine="567"/>
        <w:rPr>
          <w:szCs w:val="24"/>
          <w:lang w:val="en-GB"/>
        </w:rPr>
      </w:pPr>
      <w:r w:rsidRPr="009E19B9">
        <w:rPr>
          <w:szCs w:val="24"/>
          <w:lang w:val="en-GB"/>
        </w:rPr>
        <w:t>Lessons learned from the Fukushima Daiichi accident and other major accidents reminds leaders in the nuclear industry that there are some things that are beyond their control, such as natural disasters, but they must always ensure plants remain safe and always meet their design performance.  At the same time leaders in nuclear industry must act and provide public with relevant information.</w:t>
      </w:r>
    </w:p>
    <w:p w14:paraId="5B02C8D4" w14:textId="77777777" w:rsidR="009E19B9" w:rsidRPr="009E19B9" w:rsidRDefault="009E19B9" w:rsidP="009E19B9">
      <w:pPr>
        <w:pStyle w:val="BodyText"/>
        <w:spacing w:after="120"/>
        <w:ind w:firstLine="567"/>
        <w:rPr>
          <w:szCs w:val="24"/>
          <w:lang w:val="en-GB"/>
        </w:rPr>
      </w:pPr>
      <w:r w:rsidRPr="009E19B9">
        <w:rPr>
          <w:szCs w:val="24"/>
          <w:lang w:val="en-GB"/>
        </w:rPr>
        <w:t>Transparency, knowledge (familiarity), necessity (positive value to society), and consistency (reliable, responsible) are all attributes that foster trust by the public and local communities in nuclear power plants operations and decision-making processes. When members of the public have personal experience or knowledge related to a potential or perceived risk of an activity, a technology or an industry, they make up their own minds about acceptance of risk. However, when they lack direct experience with a potential risk, they rely on the people, organizations or media they trust.</w:t>
      </w:r>
    </w:p>
    <w:p w14:paraId="14DF5E03" w14:textId="77777777" w:rsidR="009E19B9" w:rsidRPr="009E19B9" w:rsidRDefault="009E19B9" w:rsidP="009E19B9">
      <w:pPr>
        <w:pStyle w:val="BodyText"/>
        <w:spacing w:after="120"/>
        <w:ind w:firstLine="567"/>
        <w:rPr>
          <w:szCs w:val="24"/>
          <w:lang w:val="en-GB"/>
        </w:rPr>
      </w:pPr>
      <w:r w:rsidRPr="009E19B9">
        <w:rPr>
          <w:szCs w:val="24"/>
          <w:lang w:val="en-GB"/>
        </w:rPr>
        <w:t>The owner/operating organizations of NPPs should always maintain an open and transparent relationship with the public throughout the lifetime of the nuclear assets. Transparency increases the motivation and probability that individuals and institutions will meet their corporate and social responsibilities.</w:t>
      </w:r>
    </w:p>
    <w:p w14:paraId="58264945" w14:textId="77777777" w:rsidR="009E19B9" w:rsidRPr="009E19B9" w:rsidRDefault="009E19B9" w:rsidP="009E19B9">
      <w:pPr>
        <w:pStyle w:val="BodyText"/>
        <w:spacing w:after="120"/>
        <w:ind w:firstLine="567"/>
        <w:rPr>
          <w:szCs w:val="24"/>
          <w:lang w:val="en-GB"/>
        </w:rPr>
      </w:pPr>
      <w:r w:rsidRPr="009E19B9">
        <w:rPr>
          <w:szCs w:val="24"/>
          <w:lang w:val="en-GB"/>
        </w:rPr>
        <w:t xml:space="preserve">Public confidence and acceptance of nuclear power varies significantly in many states and countries due to concerns over nuclear accidents, radioactive waste and economics. If the public perceives these issues are well managed and regulated, then the use of this technology is an acceptable risk and a positive value to society. </w:t>
      </w:r>
    </w:p>
    <w:p w14:paraId="53828488" w14:textId="77777777" w:rsidR="009E19B9" w:rsidRPr="009E19B9" w:rsidRDefault="009E19B9" w:rsidP="009E19B9">
      <w:pPr>
        <w:pStyle w:val="BodyText"/>
        <w:spacing w:after="120"/>
        <w:ind w:firstLine="567"/>
        <w:rPr>
          <w:szCs w:val="24"/>
          <w:lang w:val="en-GB"/>
        </w:rPr>
      </w:pPr>
      <w:r w:rsidRPr="009E19B9">
        <w:rPr>
          <w:szCs w:val="24"/>
          <w:lang w:val="en-GB"/>
        </w:rPr>
        <w:t>In a modern society, confidence building would necessitate the following:</w:t>
      </w:r>
    </w:p>
    <w:p w14:paraId="51233982" w14:textId="77777777" w:rsidR="009E19B9" w:rsidRPr="009E19B9" w:rsidRDefault="009E19B9" w:rsidP="00AC768F">
      <w:pPr>
        <w:numPr>
          <w:ilvl w:val="0"/>
          <w:numId w:val="24"/>
        </w:numPr>
        <w:spacing w:after="160" w:line="259" w:lineRule="auto"/>
        <w:rPr>
          <w:szCs w:val="24"/>
        </w:rPr>
      </w:pPr>
      <w:r w:rsidRPr="009E19B9">
        <w:rPr>
          <w:szCs w:val="24"/>
        </w:rPr>
        <w:t xml:space="preserve">Confidence in the operator that they will minimize risk to the public and make conservative decisions </w:t>
      </w:r>
    </w:p>
    <w:p w14:paraId="4F6223D7" w14:textId="77777777" w:rsidR="009E19B9" w:rsidRPr="009E19B9" w:rsidRDefault="009E19B9" w:rsidP="00AC768F">
      <w:pPr>
        <w:numPr>
          <w:ilvl w:val="0"/>
          <w:numId w:val="24"/>
        </w:numPr>
        <w:spacing w:after="160" w:line="259" w:lineRule="auto"/>
        <w:rPr>
          <w:szCs w:val="24"/>
        </w:rPr>
      </w:pPr>
      <w:r w:rsidRPr="009E19B9">
        <w:rPr>
          <w:szCs w:val="24"/>
        </w:rPr>
        <w:t xml:space="preserve">Transparency which requires open communication </w:t>
      </w:r>
    </w:p>
    <w:p w14:paraId="0305D35D" w14:textId="77777777" w:rsidR="009E19B9" w:rsidRPr="009E19B9" w:rsidRDefault="009E19B9" w:rsidP="00AC768F">
      <w:pPr>
        <w:numPr>
          <w:ilvl w:val="0"/>
          <w:numId w:val="24"/>
        </w:numPr>
        <w:spacing w:after="160" w:line="259" w:lineRule="auto"/>
        <w:rPr>
          <w:szCs w:val="24"/>
        </w:rPr>
      </w:pPr>
      <w:r w:rsidRPr="009E19B9">
        <w:rPr>
          <w:szCs w:val="24"/>
        </w:rPr>
        <w:t>Demonstration of public value (sustainable development)</w:t>
      </w:r>
    </w:p>
    <w:p w14:paraId="118A4B9D" w14:textId="77777777" w:rsidR="009E19B9" w:rsidRPr="009E19B9" w:rsidRDefault="009E19B9" w:rsidP="00AC768F">
      <w:pPr>
        <w:numPr>
          <w:ilvl w:val="0"/>
          <w:numId w:val="24"/>
        </w:numPr>
        <w:spacing w:after="160" w:line="259" w:lineRule="auto"/>
        <w:rPr>
          <w:szCs w:val="24"/>
        </w:rPr>
      </w:pPr>
      <w:r w:rsidRPr="009E19B9">
        <w:rPr>
          <w:szCs w:val="24"/>
        </w:rPr>
        <w:lastRenderedPageBreak/>
        <w:t>Adequate regulation over the industry to protect the public</w:t>
      </w:r>
    </w:p>
    <w:p w14:paraId="01837BB1" w14:textId="77777777" w:rsidR="009E19B9" w:rsidRPr="009E19B9" w:rsidRDefault="009E19B9" w:rsidP="00AC768F">
      <w:pPr>
        <w:numPr>
          <w:ilvl w:val="0"/>
          <w:numId w:val="24"/>
        </w:numPr>
        <w:spacing w:after="160" w:line="259" w:lineRule="auto"/>
        <w:rPr>
          <w:szCs w:val="24"/>
        </w:rPr>
      </w:pPr>
      <w:proofErr w:type="spellStart"/>
      <w:r w:rsidRPr="009E19B9">
        <w:rPr>
          <w:szCs w:val="24"/>
        </w:rPr>
        <w:t>Economical</w:t>
      </w:r>
      <w:proofErr w:type="spellEnd"/>
      <w:r w:rsidRPr="009E19B9">
        <w:rPr>
          <w:szCs w:val="24"/>
        </w:rPr>
        <w:t xml:space="preserve"> viability</w:t>
      </w:r>
    </w:p>
    <w:p w14:paraId="4FEE22DB" w14:textId="77777777" w:rsidR="009E19B9" w:rsidRPr="009E19B9" w:rsidRDefault="009E19B9" w:rsidP="009E19B9">
      <w:pPr>
        <w:pStyle w:val="BodyText"/>
        <w:spacing w:after="120"/>
        <w:ind w:firstLine="567"/>
        <w:rPr>
          <w:szCs w:val="24"/>
          <w:lang w:val="en-GB"/>
        </w:rPr>
      </w:pPr>
      <w:r w:rsidRPr="009E19B9">
        <w:rPr>
          <w:szCs w:val="24"/>
          <w:lang w:val="en-GB"/>
        </w:rPr>
        <w:t>Actively pursuing these issues through public engagement, will address many of the concerns regarding nuclear accidents, radioactive waste and economics.</w:t>
      </w:r>
    </w:p>
    <w:p w14:paraId="71089047" w14:textId="77777777" w:rsidR="009E19B9" w:rsidRPr="009E19B9" w:rsidRDefault="009E19B9" w:rsidP="009E19B9">
      <w:pPr>
        <w:pStyle w:val="BodyText"/>
        <w:spacing w:after="120"/>
        <w:ind w:firstLine="567"/>
        <w:rPr>
          <w:szCs w:val="24"/>
          <w:lang w:val="en-GB"/>
        </w:rPr>
      </w:pPr>
      <w:r w:rsidRPr="009E19B9">
        <w:rPr>
          <w:szCs w:val="24"/>
          <w:lang w:val="en-GB"/>
        </w:rPr>
        <w:t>Open and transparent relations with the public could be established using the following examples:</w:t>
      </w:r>
    </w:p>
    <w:p w14:paraId="7093F8B7" w14:textId="77777777" w:rsidR="009E19B9" w:rsidRPr="009E19B9" w:rsidRDefault="009E19B9" w:rsidP="00AC768F">
      <w:pPr>
        <w:numPr>
          <w:ilvl w:val="0"/>
          <w:numId w:val="25"/>
        </w:numPr>
        <w:spacing w:after="160" w:line="259" w:lineRule="auto"/>
        <w:rPr>
          <w:szCs w:val="24"/>
        </w:rPr>
      </w:pPr>
      <w:r w:rsidRPr="009E19B9">
        <w:rPr>
          <w:szCs w:val="24"/>
        </w:rPr>
        <w:t>An open-door policy to enable the public to gain an understanding of the nuclear business and the impacts on society and the environment. This can be achieved through public information centres, plant tours, talk services, engagement with schools and external societies and Non-Governmental Organizations</w:t>
      </w:r>
    </w:p>
    <w:p w14:paraId="77B9674F" w14:textId="77777777" w:rsidR="009E19B9" w:rsidRPr="009E19B9" w:rsidRDefault="009E19B9" w:rsidP="00AC768F">
      <w:pPr>
        <w:numPr>
          <w:ilvl w:val="0"/>
          <w:numId w:val="25"/>
        </w:numPr>
        <w:spacing w:after="160" w:line="259" w:lineRule="auto"/>
        <w:rPr>
          <w:szCs w:val="24"/>
        </w:rPr>
      </w:pPr>
      <w:r w:rsidRPr="009E19B9">
        <w:rPr>
          <w:szCs w:val="24"/>
        </w:rPr>
        <w:t xml:space="preserve">Open reporting on the operational performance of the nuclear assets including events, emissions and potential environmental impact during </w:t>
      </w:r>
      <w:proofErr w:type="spellStart"/>
      <w:r w:rsidRPr="009E19B9">
        <w:rPr>
          <w:szCs w:val="24"/>
        </w:rPr>
        <w:t>emergenies</w:t>
      </w:r>
      <w:proofErr w:type="spellEnd"/>
    </w:p>
    <w:p w14:paraId="1EBD3205" w14:textId="77777777" w:rsidR="009E19B9" w:rsidRPr="009E19B9" w:rsidRDefault="009E19B9" w:rsidP="00AC768F">
      <w:pPr>
        <w:numPr>
          <w:ilvl w:val="0"/>
          <w:numId w:val="25"/>
        </w:numPr>
        <w:spacing w:after="160" w:line="259" w:lineRule="auto"/>
        <w:rPr>
          <w:szCs w:val="24"/>
        </w:rPr>
      </w:pPr>
      <w:r w:rsidRPr="009E19B9">
        <w:rPr>
          <w:szCs w:val="24"/>
        </w:rPr>
        <w:t>Rapid reactive response to media and to public request for information</w:t>
      </w:r>
    </w:p>
    <w:p w14:paraId="5B34A815" w14:textId="77777777" w:rsidR="009E19B9" w:rsidRPr="009E19B9" w:rsidRDefault="009E19B9" w:rsidP="00AC768F">
      <w:pPr>
        <w:numPr>
          <w:ilvl w:val="0"/>
          <w:numId w:val="25"/>
        </w:numPr>
        <w:spacing w:after="160" w:line="259" w:lineRule="auto"/>
        <w:rPr>
          <w:szCs w:val="24"/>
        </w:rPr>
      </w:pPr>
      <w:r w:rsidRPr="009E19B9">
        <w:rPr>
          <w:szCs w:val="24"/>
        </w:rPr>
        <w:t>Positive pro-active communication of significant events affecting the nuclear operational assets including potential impact on environment during an accident</w:t>
      </w:r>
    </w:p>
    <w:p w14:paraId="0E21054C" w14:textId="77777777" w:rsidR="009E19B9" w:rsidRPr="009E19B9" w:rsidRDefault="009E19B9" w:rsidP="00AC768F">
      <w:pPr>
        <w:numPr>
          <w:ilvl w:val="0"/>
          <w:numId w:val="25"/>
        </w:numPr>
        <w:spacing w:after="160" w:line="259" w:lineRule="auto"/>
        <w:rPr>
          <w:szCs w:val="24"/>
        </w:rPr>
      </w:pPr>
      <w:r w:rsidRPr="009E19B9">
        <w:rPr>
          <w:szCs w:val="24"/>
        </w:rPr>
        <w:t>Positive proactive communications of significant events affecting nuclear facilities in other utilities, states or countries (news items affecting the nuclear industry). Reference the book “Hostages of each other”</w:t>
      </w:r>
    </w:p>
    <w:p w14:paraId="3CD50344" w14:textId="77777777" w:rsidR="009E19B9" w:rsidRPr="009E19B9" w:rsidRDefault="009E19B9" w:rsidP="009E19B9">
      <w:pPr>
        <w:pStyle w:val="BodyText"/>
        <w:spacing w:after="120"/>
        <w:ind w:firstLine="567"/>
        <w:rPr>
          <w:szCs w:val="24"/>
          <w:lang w:val="en-GB"/>
        </w:rPr>
      </w:pPr>
      <w:r w:rsidRPr="009E19B9">
        <w:rPr>
          <w:szCs w:val="24"/>
          <w:lang w:val="en-GB"/>
        </w:rPr>
        <w:t>The local communities or the public who live closer to a nuclear site will have an increased level of interest about the performance of the site and are generally more supportive of nuclear power than those living further away from the facility. Therefore, additional focus needs to be given to satisfying their needs through regular updates with community representatives and greater proactive communication about site activities. This is normally achieved through local media sources and focused meetings with representatives of local communities. Careful planning is critical to ensure meeting success with local communities and public. Meetings with local communities should be part of the broader communication plans of operating organizations and should be clearly defined in public engagement strategies. Strategies should also clearly define different roles and responsibilities of operating organisations in public communication and different roles of other bodies. Leaders at all levels in the nuclear industry, like in other industries such as the airline industry, should be accountable for public engagement and should understand balance of prevention and response. Leaders must understand that while safe, reliable operations is the nuclear industry`s goal, a rapid and effective local, national and international response capability to any unlikely significant event, incident or accident must always be part of nuclear industry’s responsibility.</w:t>
      </w:r>
    </w:p>
    <w:p w14:paraId="52EB0B10" w14:textId="77777777" w:rsidR="009E19B9" w:rsidRPr="009E19B9" w:rsidRDefault="009E19B9" w:rsidP="009E19B9">
      <w:pPr>
        <w:pStyle w:val="BodyText"/>
        <w:spacing w:after="120"/>
        <w:ind w:firstLine="567"/>
        <w:rPr>
          <w:szCs w:val="24"/>
          <w:lang w:val="en-GB"/>
        </w:rPr>
      </w:pPr>
      <w:r w:rsidRPr="009E19B9">
        <w:rPr>
          <w:szCs w:val="24"/>
          <w:lang w:val="en-GB"/>
        </w:rPr>
        <w:t>Nuclear industry leaders must constantly strive to achieve excellence in operational safety and remember that public trust and support is essential to sustain the continued operation of the nuclear assets.</w:t>
      </w:r>
    </w:p>
    <w:p w14:paraId="1E1449F8" w14:textId="77777777" w:rsidR="009E19B9" w:rsidRPr="009E19B9" w:rsidRDefault="009E19B9" w:rsidP="009E19B9">
      <w:pPr>
        <w:pStyle w:val="BodyText"/>
        <w:spacing w:after="120"/>
        <w:ind w:firstLine="567"/>
        <w:rPr>
          <w:szCs w:val="24"/>
          <w:lang w:val="en-GB"/>
        </w:rPr>
      </w:pPr>
      <w:r w:rsidRPr="009E19B9">
        <w:rPr>
          <w:szCs w:val="24"/>
          <w:lang w:val="en-GB"/>
        </w:rPr>
        <w:t xml:space="preserve">In the unlikely case of a significant nuclear event, the needs of the public change. While the trust in the owner/operating organization of NPPs could be severely eroded, there will be an increased demand for event specific information. It is essential that the nuclear operator/owner has arrangements at all levels of the organization in place to help satisfy these changing needs of different public groups. Even if a nuclear event occurs at another site, utility </w:t>
      </w:r>
      <w:r w:rsidRPr="009E19B9">
        <w:rPr>
          <w:szCs w:val="24"/>
          <w:lang w:val="en-GB"/>
        </w:rPr>
        <w:lastRenderedPageBreak/>
        <w:t xml:space="preserve">or country, the local nuclear operating organization will be required to provide timely and specific information about the event. </w:t>
      </w:r>
    </w:p>
    <w:p w14:paraId="0B666AD1" w14:textId="77777777" w:rsidR="009E19B9" w:rsidRPr="009E19B9" w:rsidRDefault="009E19B9" w:rsidP="009E19B9">
      <w:pPr>
        <w:pStyle w:val="BodyText"/>
        <w:spacing w:after="120"/>
        <w:ind w:firstLine="567"/>
        <w:rPr>
          <w:szCs w:val="24"/>
          <w:lang w:val="en-GB"/>
        </w:rPr>
      </w:pPr>
      <w:r w:rsidRPr="009E19B9">
        <w:rPr>
          <w:szCs w:val="24"/>
          <w:lang w:val="en-GB"/>
        </w:rPr>
        <w:t>Arrangements for public relation should include:</w:t>
      </w:r>
    </w:p>
    <w:p w14:paraId="731C7E7B" w14:textId="77777777" w:rsidR="009E19B9" w:rsidRPr="009E19B9" w:rsidRDefault="009E19B9" w:rsidP="00AC768F">
      <w:pPr>
        <w:numPr>
          <w:ilvl w:val="0"/>
          <w:numId w:val="26"/>
        </w:numPr>
        <w:spacing w:after="160" w:line="259" w:lineRule="auto"/>
        <w:rPr>
          <w:szCs w:val="24"/>
        </w:rPr>
      </w:pPr>
      <w:r w:rsidRPr="009E19B9">
        <w:rPr>
          <w:szCs w:val="24"/>
        </w:rPr>
        <w:t>Strategies for different public groups are defined</w:t>
      </w:r>
    </w:p>
    <w:p w14:paraId="272D3B7B" w14:textId="77777777" w:rsidR="009E19B9" w:rsidRPr="009E19B9" w:rsidRDefault="009E19B9" w:rsidP="00AC768F">
      <w:pPr>
        <w:numPr>
          <w:ilvl w:val="0"/>
          <w:numId w:val="26"/>
        </w:numPr>
        <w:spacing w:after="160" w:line="259" w:lineRule="auto"/>
        <w:rPr>
          <w:szCs w:val="24"/>
        </w:rPr>
      </w:pPr>
      <w:r w:rsidRPr="009E19B9">
        <w:rPr>
          <w:szCs w:val="24"/>
        </w:rPr>
        <w:t xml:space="preserve">Clearly defined roles and responsibilities for the owner/operating organization (licensee) and for local and national authorities including the interactions between the owner/operating organization (licensees) and the authorities. Arrangement needs to be regularly tested in exercises </w:t>
      </w:r>
    </w:p>
    <w:p w14:paraId="0D4FAED6" w14:textId="77777777" w:rsidR="009E19B9" w:rsidRPr="009E19B9" w:rsidRDefault="009E19B9" w:rsidP="00AC768F">
      <w:pPr>
        <w:numPr>
          <w:ilvl w:val="0"/>
          <w:numId w:val="26"/>
        </w:numPr>
        <w:spacing w:after="160" w:line="259" w:lineRule="auto"/>
        <w:rPr>
          <w:szCs w:val="24"/>
        </w:rPr>
      </w:pPr>
      <w:r w:rsidRPr="009E19B9">
        <w:rPr>
          <w:szCs w:val="24"/>
        </w:rPr>
        <w:t>A strategy and the infrastructure to receive, organize, and share the enormous amount of information provided during a long-duration, multi-unit event</w:t>
      </w:r>
    </w:p>
    <w:p w14:paraId="44F2F05A" w14:textId="77777777" w:rsidR="009E19B9" w:rsidRPr="009E19B9" w:rsidRDefault="009E19B9" w:rsidP="00AC768F">
      <w:pPr>
        <w:numPr>
          <w:ilvl w:val="0"/>
          <w:numId w:val="26"/>
        </w:numPr>
        <w:spacing w:after="160" w:line="259" w:lineRule="auto"/>
        <w:rPr>
          <w:i/>
          <w:iCs/>
          <w:szCs w:val="24"/>
        </w:rPr>
      </w:pPr>
      <w:r w:rsidRPr="009E19B9">
        <w:rPr>
          <w:szCs w:val="24"/>
        </w:rPr>
        <w:t>Procedures, information organizing methods, and communications protocols developed and used periodically as part of personnel training</w:t>
      </w:r>
    </w:p>
    <w:p w14:paraId="36FB97C5" w14:textId="77777777" w:rsidR="009E19B9" w:rsidRPr="009E19B9" w:rsidRDefault="009E19B9" w:rsidP="00AC768F">
      <w:pPr>
        <w:numPr>
          <w:ilvl w:val="0"/>
          <w:numId w:val="26"/>
        </w:numPr>
        <w:spacing w:after="160" w:line="259" w:lineRule="auto"/>
        <w:rPr>
          <w:szCs w:val="24"/>
        </w:rPr>
      </w:pPr>
      <w:r w:rsidRPr="009E19B9">
        <w:rPr>
          <w:szCs w:val="24"/>
        </w:rPr>
        <w:t>Arrangements with regulators / other industry bodies clarified to ensure consistency of messaging and accuracy of information.</w:t>
      </w:r>
    </w:p>
    <w:p w14:paraId="6CFA29B2" w14:textId="77777777" w:rsidR="009E19B9" w:rsidRPr="009E19B9" w:rsidRDefault="009E19B9" w:rsidP="00AC768F">
      <w:pPr>
        <w:numPr>
          <w:ilvl w:val="0"/>
          <w:numId w:val="26"/>
        </w:numPr>
        <w:spacing w:after="160" w:line="259" w:lineRule="auto"/>
        <w:rPr>
          <w:szCs w:val="24"/>
        </w:rPr>
      </w:pPr>
      <w:r w:rsidRPr="009E19B9">
        <w:rPr>
          <w:szCs w:val="24"/>
        </w:rPr>
        <w:t>Channels of reporting identified</w:t>
      </w:r>
    </w:p>
    <w:p w14:paraId="541E764B" w14:textId="77777777" w:rsidR="009E19B9" w:rsidRPr="009E19B9" w:rsidRDefault="009E19B9" w:rsidP="00AC768F">
      <w:pPr>
        <w:numPr>
          <w:ilvl w:val="0"/>
          <w:numId w:val="26"/>
        </w:numPr>
        <w:spacing w:after="160" w:line="259" w:lineRule="auto"/>
        <w:rPr>
          <w:szCs w:val="24"/>
        </w:rPr>
      </w:pPr>
      <w:r w:rsidRPr="009E19B9">
        <w:rPr>
          <w:szCs w:val="24"/>
        </w:rPr>
        <w:t>Trained spokes persons available</w:t>
      </w:r>
    </w:p>
    <w:p w14:paraId="2FACF2FD" w14:textId="77777777" w:rsidR="009E19B9" w:rsidRPr="009E19B9" w:rsidRDefault="009E19B9" w:rsidP="009E19B9">
      <w:pPr>
        <w:pStyle w:val="BodyText"/>
        <w:spacing w:after="120"/>
        <w:ind w:firstLine="567"/>
        <w:rPr>
          <w:szCs w:val="24"/>
          <w:lang w:val="en-GB"/>
        </w:rPr>
      </w:pPr>
      <w:r w:rsidRPr="009E19B9">
        <w:rPr>
          <w:szCs w:val="24"/>
          <w:lang w:val="en-GB"/>
        </w:rPr>
        <w:t>In preparing for the response to a possible nuclear emergency, it is necessary to consider emergencies that could involve severe damage to nuclear fuel in the reactor core or to spent fuel on the site, including those involving several units at a multi-unit plant possibly occurring at the same time as a natural disaster. Consideration needs to be given to the possibility of a severe nuclear accident, irrespective of the cause, possibly involving more than one unit at a site and occurring simultaneously with a natural disaster, which could result in disruption at the site and of the local infrastructure. (See also reference- IAEA DG Report GC (59)/14).</w:t>
      </w:r>
    </w:p>
    <w:p w14:paraId="18F2A24A" w14:textId="77777777" w:rsidR="009E19B9" w:rsidRPr="009E19B9" w:rsidRDefault="009E19B9" w:rsidP="003E0FF4">
      <w:pPr>
        <w:pStyle w:val="BodyText"/>
        <w:spacing w:after="120"/>
        <w:ind w:firstLine="567"/>
        <w:rPr>
          <w:szCs w:val="24"/>
          <w:lang w:val="en-GB"/>
        </w:rPr>
      </w:pPr>
      <w:r w:rsidRPr="009E19B9">
        <w:rPr>
          <w:szCs w:val="24"/>
          <w:lang w:val="en-GB"/>
        </w:rPr>
        <w:t>Redundant means to communicate a unified message to the public during a significant event need to be developed to ensure consistency in information communicated at the national, local, and utility level. Additional strategies are required to clearly communicate crises communication during an unexpected event and imminent evacuations.</w:t>
      </w:r>
    </w:p>
    <w:p w14:paraId="2F48A436" w14:textId="77777777" w:rsidR="009E19B9" w:rsidRPr="009E19B9" w:rsidRDefault="009E19B9" w:rsidP="003E0FF4">
      <w:pPr>
        <w:pStyle w:val="BodyText"/>
        <w:spacing w:after="120"/>
        <w:ind w:firstLine="567"/>
        <w:rPr>
          <w:szCs w:val="24"/>
          <w:lang w:val="en-GB"/>
        </w:rPr>
      </w:pPr>
      <w:r w:rsidRPr="009E19B9">
        <w:rPr>
          <w:szCs w:val="24"/>
          <w:lang w:val="en-GB"/>
        </w:rPr>
        <w:t>There are three areas of risk communication:</w:t>
      </w:r>
    </w:p>
    <w:p w14:paraId="10D06F5B" w14:textId="77777777" w:rsidR="009E19B9" w:rsidRPr="009E19B9" w:rsidRDefault="009E19B9" w:rsidP="00AC768F">
      <w:pPr>
        <w:numPr>
          <w:ilvl w:val="0"/>
          <w:numId w:val="27"/>
        </w:numPr>
        <w:spacing w:after="160" w:line="259" w:lineRule="auto"/>
        <w:rPr>
          <w:szCs w:val="24"/>
        </w:rPr>
      </w:pPr>
      <w:r w:rsidRPr="009E19B9">
        <w:rPr>
          <w:b/>
          <w:bCs/>
          <w:szCs w:val="24"/>
        </w:rPr>
        <w:t>Care communication</w:t>
      </w:r>
      <w:r w:rsidRPr="009E19B9">
        <w:rPr>
          <w:szCs w:val="24"/>
        </w:rPr>
        <w:t xml:space="preserve"> is communication about risks for which the danger and the way to manage it have already been well determined through scientific research that is accepted by most of the audience.</w:t>
      </w:r>
    </w:p>
    <w:p w14:paraId="274CB154" w14:textId="77777777" w:rsidR="009E19B9" w:rsidRPr="009E19B9" w:rsidRDefault="009E19B9" w:rsidP="00AC768F">
      <w:pPr>
        <w:numPr>
          <w:ilvl w:val="0"/>
          <w:numId w:val="27"/>
        </w:numPr>
        <w:spacing w:after="160" w:line="259" w:lineRule="auto"/>
        <w:rPr>
          <w:szCs w:val="24"/>
        </w:rPr>
      </w:pPr>
      <w:r w:rsidRPr="009E19B9">
        <w:rPr>
          <w:b/>
          <w:bCs/>
          <w:szCs w:val="24"/>
        </w:rPr>
        <w:t>Consensus communication</w:t>
      </w:r>
      <w:r w:rsidRPr="009E19B9">
        <w:rPr>
          <w:szCs w:val="24"/>
        </w:rPr>
        <w:t xml:space="preserve"> is risk communication to reach a decision about how the risk will be managed (prevented or mitigated).</w:t>
      </w:r>
    </w:p>
    <w:p w14:paraId="443BB0FE" w14:textId="77777777" w:rsidR="009E19B9" w:rsidRPr="009E19B9" w:rsidRDefault="009E19B9" w:rsidP="00AC768F">
      <w:pPr>
        <w:numPr>
          <w:ilvl w:val="0"/>
          <w:numId w:val="27"/>
        </w:numPr>
        <w:spacing w:after="160" w:line="259" w:lineRule="auto"/>
        <w:rPr>
          <w:szCs w:val="24"/>
        </w:rPr>
      </w:pPr>
      <w:r w:rsidRPr="009E19B9">
        <w:rPr>
          <w:b/>
          <w:bCs/>
          <w:szCs w:val="24"/>
        </w:rPr>
        <w:t>Crisis communication</w:t>
      </w:r>
      <w:r w:rsidRPr="009E19B9">
        <w:rPr>
          <w:szCs w:val="24"/>
        </w:rPr>
        <w:t xml:space="preserve"> is risk communication in the face of extreme, sudden unexpected accident at an industrial plant, the impending break of an earthen dam, or the outbreak of a deadly disease. This type can include communication both during an unexpected accident and after the emergency. </w:t>
      </w:r>
    </w:p>
    <w:p w14:paraId="4101D312" w14:textId="77777777" w:rsidR="009E19B9" w:rsidRPr="009E19B9" w:rsidRDefault="009E19B9" w:rsidP="003E0FF4">
      <w:pPr>
        <w:pStyle w:val="BodyText"/>
        <w:spacing w:after="120"/>
        <w:ind w:firstLine="567"/>
        <w:rPr>
          <w:szCs w:val="24"/>
          <w:lang w:val="en-GB"/>
        </w:rPr>
      </w:pPr>
      <w:r w:rsidRPr="009E19B9">
        <w:rPr>
          <w:szCs w:val="24"/>
          <w:lang w:val="en-GB"/>
        </w:rPr>
        <w:t xml:space="preserve">Looking back on significant incidents, events and accidents in the nuclear industry it is apparent that the nuclear industry was not fully effective and generally unprepared to </w:t>
      </w:r>
      <w:r w:rsidRPr="009E19B9">
        <w:rPr>
          <w:szCs w:val="24"/>
          <w:lang w:val="en-GB"/>
        </w:rPr>
        <w:lastRenderedPageBreak/>
        <w:t xml:space="preserve">adequately communicate the events and the risks to the public. Owner/operating organizations were generally hesitant and slow to communicate because they assumed that they needed all of the information about the event or claimed that they needed to better understand the technical and other issues of accidents before they would communicate the impact of the event. These delays in communication by the industry caused confusion, lack of trust and in some cases, resulted in negative impacts on public safety risk resulting in some unnecessary protective actions taken in some countries. Therefore, prompt and frequent communications to stakeholders and public, during and after an event, must be an integral part of the owner/operator risk management and public engagement strategy. </w:t>
      </w:r>
    </w:p>
    <w:p w14:paraId="7E0B285C" w14:textId="77777777" w:rsidR="009E19B9" w:rsidRPr="009E19B9" w:rsidRDefault="009E19B9" w:rsidP="003E0FF4">
      <w:pPr>
        <w:pStyle w:val="BodyText"/>
        <w:spacing w:after="120"/>
        <w:ind w:firstLine="567"/>
        <w:rPr>
          <w:szCs w:val="24"/>
          <w:lang w:val="en-GB"/>
        </w:rPr>
      </w:pPr>
      <w:r w:rsidRPr="009E19B9">
        <w:rPr>
          <w:szCs w:val="24"/>
          <w:lang w:val="en-GB"/>
        </w:rPr>
        <w:t xml:space="preserve">After the Fukushima Daiichi accident in 2011, some countries and governments reacted to media hyped reporting. The nuclear industry didn’t timely and effectively communicate to get ahead of some of this reporting and thus lost the confidence of some governments, stakeholders and the public. </w:t>
      </w:r>
    </w:p>
    <w:p w14:paraId="797EB32E" w14:textId="77777777" w:rsidR="009E19B9" w:rsidRPr="009E19B9" w:rsidRDefault="009E19B9" w:rsidP="003E0FF4">
      <w:pPr>
        <w:pStyle w:val="BodyText"/>
        <w:spacing w:after="120"/>
        <w:ind w:firstLine="567"/>
        <w:rPr>
          <w:szCs w:val="24"/>
          <w:lang w:val="en-GB"/>
        </w:rPr>
      </w:pPr>
      <w:r w:rsidRPr="009E19B9">
        <w:rPr>
          <w:szCs w:val="24"/>
          <w:lang w:val="en-GB"/>
        </w:rPr>
        <w:t>In order to build and sustain trust, and fulfil public expectations, prompt, open, transparent information to the public during unexpected incidents, events and accident is an important part of Strength-in-Depth in the nuclear industry. A proactive approach to risk communication during unexpected potential events should be part of the unified nuclear industry strategy for public engagement. These risk communication strategies should be prepared, practiced and regularly updated in owner/operating organizations, international nuclear associations and agencies.</w:t>
      </w:r>
    </w:p>
    <w:p w14:paraId="0CACD690" w14:textId="77777777" w:rsidR="009E19B9" w:rsidRPr="009E19B9" w:rsidRDefault="009E19B9" w:rsidP="00282DA6">
      <w:pPr>
        <w:pStyle w:val="BodyText"/>
        <w:spacing w:after="120"/>
        <w:ind w:firstLine="567"/>
        <w:rPr>
          <w:szCs w:val="24"/>
          <w:lang w:val="en-GB"/>
        </w:rPr>
      </w:pPr>
      <w:r w:rsidRPr="009E19B9">
        <w:rPr>
          <w:szCs w:val="24"/>
          <w:lang w:val="en-GB"/>
        </w:rPr>
        <w:t xml:space="preserve">As part of these risk communications strategies, senior leaders in the nuclear industry must be able to better explain operational events and accidents so that the public trusts the industry and understands the magnitude of the risks. They also need to better communicate all of the operational measures in place to prevent an incident and all of the processes/procedures in place to mitigate, minimize and terminating the event. </w:t>
      </w:r>
    </w:p>
    <w:p w14:paraId="5DB006B0" w14:textId="77777777" w:rsidR="009E19B9" w:rsidRPr="009E19B9" w:rsidRDefault="009E19B9" w:rsidP="00282DA6">
      <w:pPr>
        <w:pStyle w:val="BodyText"/>
        <w:spacing w:after="120"/>
        <w:ind w:firstLine="567"/>
        <w:rPr>
          <w:szCs w:val="24"/>
          <w:lang w:val="en-GB"/>
        </w:rPr>
      </w:pPr>
      <w:r w:rsidRPr="009E19B9">
        <w:rPr>
          <w:szCs w:val="24"/>
          <w:lang w:val="en-GB"/>
        </w:rPr>
        <w:t>Also, the nuclear industry needs to agree upon acceptable, realistic, science-based biological radiation dose limits for nuclear workers and the general public. Then they need to agree upon actions and measures to protect workers and the public (i.e. dose limits, exclusion areas, protective measures such as sheltering actions, radioiodine pill ingestion etc.)</w:t>
      </w:r>
    </w:p>
    <w:p w14:paraId="44FD6681" w14:textId="77777777" w:rsidR="009E19B9" w:rsidRPr="009E19B9" w:rsidRDefault="009E19B9" w:rsidP="00282DA6">
      <w:pPr>
        <w:pStyle w:val="BodyText"/>
        <w:spacing w:after="120"/>
        <w:ind w:firstLine="567"/>
        <w:rPr>
          <w:szCs w:val="24"/>
          <w:lang w:val="en-GB"/>
        </w:rPr>
      </w:pPr>
      <w:r w:rsidRPr="009E19B9">
        <w:rPr>
          <w:szCs w:val="24"/>
          <w:lang w:val="en-GB"/>
        </w:rPr>
        <w:t xml:space="preserve">The nuclear industry has demonstrated that when it works together and is united in its actions, it can achieve common goal and great success. That is how the nuclear industry must be in public stakeholder engagement. The industry must be unified in stakeholder engagement to more effectively communicate public risk and event response actions. This will help to build and maintain public stakeholder trust and support when events happen in the nuclear industry. </w:t>
      </w:r>
    </w:p>
    <w:p w14:paraId="4852312A" w14:textId="77777777" w:rsidR="009E19B9" w:rsidRPr="009E19B9" w:rsidRDefault="009E19B9" w:rsidP="00282DA6">
      <w:pPr>
        <w:pStyle w:val="BodyText"/>
        <w:spacing w:after="120"/>
        <w:ind w:firstLine="567"/>
        <w:rPr>
          <w:szCs w:val="24"/>
          <w:lang w:val="en-GB"/>
        </w:rPr>
      </w:pPr>
      <w:r w:rsidRPr="009E19B9">
        <w:rPr>
          <w:szCs w:val="24"/>
          <w:lang w:val="en-GB"/>
        </w:rPr>
        <w:t>In development and/or up-dating public engagement or communication strategies basic components of public information should be considered as shown in Figure 1:</w:t>
      </w:r>
    </w:p>
    <w:p w14:paraId="1434EAFB" w14:textId="77777777" w:rsidR="009E19B9" w:rsidRPr="009E19B9" w:rsidRDefault="009E19B9" w:rsidP="009E19B9">
      <w:pPr>
        <w:spacing w:after="160" w:line="259" w:lineRule="auto"/>
        <w:rPr>
          <w:szCs w:val="24"/>
        </w:rPr>
      </w:pPr>
    </w:p>
    <w:p w14:paraId="4D27670A" w14:textId="77777777" w:rsidR="009E19B9" w:rsidRPr="009E19B9" w:rsidRDefault="009E19B9" w:rsidP="009E19B9">
      <w:pPr>
        <w:spacing w:after="160" w:line="259" w:lineRule="auto"/>
        <w:rPr>
          <w:szCs w:val="24"/>
        </w:rPr>
      </w:pPr>
    </w:p>
    <w:p w14:paraId="7BA8CBE3" w14:textId="30D49310" w:rsidR="009E19B9" w:rsidRPr="009E19B9" w:rsidRDefault="009E19B9" w:rsidP="009E19B9">
      <w:pPr>
        <w:spacing w:after="160" w:line="259" w:lineRule="auto"/>
        <w:rPr>
          <w:szCs w:val="24"/>
        </w:rPr>
      </w:pPr>
      <w:r w:rsidRPr="009E19B9">
        <w:rPr>
          <w:szCs w:val="24"/>
        </w:rPr>
        <w:lastRenderedPageBreak/>
        <w:drawing>
          <wp:inline distT="0" distB="0" distL="0" distR="0" wp14:anchorId="5F6704A7" wp14:editId="78535AF0">
            <wp:extent cx="4505325" cy="2657475"/>
            <wp:effectExtent l="0" t="0" r="0" b="0"/>
            <wp:docPr id="9" name="Diagram 9">
              <a:extLst xmlns:a="http://schemas.openxmlformats.org/drawingml/2006/main">
                <a:ext uri="{FF2B5EF4-FFF2-40B4-BE49-F238E27FC236}">
                  <a16:creationId xmlns:a16="http://schemas.microsoft.com/office/drawing/2014/main" id="{C81E2B02-96FE-4036-8399-B23AB46D89D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5A2BAD4" w14:textId="77777777" w:rsidR="009E19B9" w:rsidRPr="009E19B9" w:rsidRDefault="009E19B9" w:rsidP="009E19B9">
      <w:pPr>
        <w:spacing w:after="160" w:line="259" w:lineRule="auto"/>
        <w:rPr>
          <w:szCs w:val="24"/>
        </w:rPr>
      </w:pPr>
    </w:p>
    <w:p w14:paraId="1EE61821" w14:textId="77777777" w:rsidR="009E19B9" w:rsidRPr="009E19B9" w:rsidRDefault="009E19B9" w:rsidP="009E19B9">
      <w:pPr>
        <w:spacing w:after="160" w:line="259" w:lineRule="auto"/>
        <w:rPr>
          <w:i/>
          <w:iCs/>
          <w:szCs w:val="24"/>
        </w:rPr>
      </w:pPr>
      <w:r w:rsidRPr="009E19B9">
        <w:rPr>
          <w:i/>
          <w:iCs/>
          <w:szCs w:val="24"/>
        </w:rPr>
        <w:t>Figure1: Public information strategy - main components</w:t>
      </w:r>
    </w:p>
    <w:p w14:paraId="376B8E14" w14:textId="77777777" w:rsidR="00EF3E86" w:rsidRPr="00977A50" w:rsidRDefault="00EF3E86" w:rsidP="005205DB">
      <w:pPr>
        <w:spacing w:after="160" w:line="259" w:lineRule="auto"/>
      </w:pPr>
    </w:p>
    <w:p w14:paraId="0CA7B5E2" w14:textId="35EB7AFD" w:rsidR="00056258" w:rsidRDefault="55806129">
      <w:pPr>
        <w:pStyle w:val="Heading2"/>
      </w:pPr>
      <w:bookmarkStart w:id="1502" w:name="_Toc87627688"/>
      <w:r>
        <w:t>industr</w:t>
      </w:r>
      <w:r w:rsidR="0BE5B73E">
        <w:t>y</w:t>
      </w:r>
      <w:r>
        <w:t xml:space="preserve"> interface</w:t>
      </w:r>
      <w:r w:rsidR="0BE5B73E">
        <w:t>s</w:t>
      </w:r>
      <w:bookmarkEnd w:id="1502"/>
    </w:p>
    <w:p w14:paraId="370603D8" w14:textId="77777777" w:rsidR="00DD2766" w:rsidRPr="00DD2766" w:rsidRDefault="00DD2766" w:rsidP="00276322">
      <w:pPr>
        <w:pStyle w:val="BodyText"/>
        <w:spacing w:after="120"/>
        <w:ind w:firstLine="567"/>
        <w:rPr>
          <w:lang w:val="en-GB"/>
        </w:rPr>
      </w:pPr>
      <w:r w:rsidRPr="00DD2766">
        <w:rPr>
          <w:lang w:val="en-GB"/>
        </w:rPr>
        <w:t xml:space="preserve">Cross industry support has been a strength of the nuclear industry since the 1980’s, initiated in response to the events at Three Mile Island (1979) and Chernobyl (1987). </w:t>
      </w:r>
    </w:p>
    <w:p w14:paraId="101BEE84" w14:textId="726A2D6E" w:rsidR="00DD2766" w:rsidRPr="00DD2766" w:rsidRDefault="00DD2766" w:rsidP="00276322">
      <w:pPr>
        <w:pStyle w:val="BodyText"/>
        <w:spacing w:after="120"/>
        <w:ind w:firstLine="567"/>
        <w:rPr>
          <w:lang w:val="en-GB"/>
        </w:rPr>
      </w:pPr>
      <w:r w:rsidRPr="00DD2766">
        <w:rPr>
          <w:lang w:val="en-GB"/>
        </w:rPr>
        <w:t xml:space="preserve">The Fukushima Daiichi </w:t>
      </w:r>
      <w:r w:rsidR="004C23EC">
        <w:rPr>
          <w:lang w:val="en-GB"/>
        </w:rPr>
        <w:t>Accident</w:t>
      </w:r>
      <w:r w:rsidR="002C25D7">
        <w:rPr>
          <w:lang w:val="en-GB"/>
        </w:rPr>
        <w:t xml:space="preserve"> </w:t>
      </w:r>
      <w:r w:rsidRPr="00DD2766">
        <w:rPr>
          <w:lang w:val="en-GB"/>
        </w:rPr>
        <w:t>demonstrated, however, that more needs to be done to strengthen cross industry collaborations and to identify plants and organisations that need help and provide the additional necessary support to help address performance deficiencies.</w:t>
      </w:r>
      <w:r w:rsidR="009F66A5">
        <w:rPr>
          <w:lang w:val="en-GB"/>
        </w:rPr>
        <w:t xml:space="preserve"> </w:t>
      </w:r>
      <w:r w:rsidRPr="00DD2766">
        <w:rPr>
          <w:lang w:val="en-GB"/>
        </w:rPr>
        <w:t>The challenge applies to industry collaborative organisations, industry owners groups and intergovernmental organistations like the IAEA and NEA all of which need to work together with the industry to continuously improve nuclear power plant performance and sustain operational excellence.</w:t>
      </w:r>
    </w:p>
    <w:p w14:paraId="1E2EE1E1" w14:textId="50A89DF7" w:rsidR="00DD2766" w:rsidRPr="00DD2766" w:rsidRDefault="00DD2766" w:rsidP="00276322">
      <w:pPr>
        <w:pStyle w:val="BodyText"/>
        <w:spacing w:after="120"/>
        <w:ind w:firstLine="567"/>
        <w:rPr>
          <w:lang w:val="en-GB"/>
        </w:rPr>
      </w:pPr>
      <w:r w:rsidRPr="00DD2766">
        <w:rPr>
          <w:lang w:val="en-GB"/>
        </w:rPr>
        <w:t>The principle industry body is the World Association of Nuclear Operators (WANO) which is a not for profit international organisation with membership being mainly the owners and operators of nuclear power plants.</w:t>
      </w:r>
      <w:r w:rsidR="009F66A5">
        <w:rPr>
          <w:lang w:val="en-GB"/>
        </w:rPr>
        <w:t xml:space="preserve"> </w:t>
      </w:r>
      <w:r w:rsidRPr="00DD2766">
        <w:rPr>
          <w:lang w:val="en-GB"/>
        </w:rPr>
        <w:t xml:space="preserve">The WANO mission is to maximise safety and reliability of nuclear power plants worldwide by working together to assess, benchmark and improve performance through mutual support, exchange of information and emulation of best practise. </w:t>
      </w:r>
    </w:p>
    <w:p w14:paraId="079C285E" w14:textId="77777777" w:rsidR="00DD2766" w:rsidRPr="00DD2766" w:rsidRDefault="00DD2766" w:rsidP="00276322">
      <w:pPr>
        <w:pStyle w:val="BodyText"/>
        <w:spacing w:after="120"/>
        <w:ind w:firstLine="567"/>
        <w:rPr>
          <w:lang w:val="en-GB"/>
        </w:rPr>
      </w:pPr>
      <w:r w:rsidRPr="00DD2766">
        <w:rPr>
          <w:lang w:val="en-GB"/>
        </w:rPr>
        <w:t>In the aftermath of the Fukushima Daiichi accident the industry came together to take the learning from the event and implement common set of improvement activities across the industry. These improvements actions have been completed and were absorbed into the WANO products and services to strengthen resilience.</w:t>
      </w:r>
    </w:p>
    <w:p w14:paraId="0CC55766" w14:textId="47E6C407" w:rsidR="00DD2766" w:rsidRPr="00DD2766" w:rsidRDefault="00DD2766" w:rsidP="00276322">
      <w:pPr>
        <w:pStyle w:val="BodyText"/>
        <w:spacing w:after="120"/>
        <w:ind w:firstLine="567"/>
        <w:rPr>
          <w:lang w:val="en-GB"/>
        </w:rPr>
      </w:pPr>
      <w:r w:rsidRPr="00DD2766">
        <w:rPr>
          <w:lang w:val="en-GB"/>
        </w:rPr>
        <w:t>To provide further institutional strength in depth the operational model for WANO has also been revised and now comprises of two parts</w:t>
      </w:r>
      <w:r w:rsidR="00DB2DEB">
        <w:rPr>
          <w:lang w:val="en-GB"/>
        </w:rPr>
        <w:t>:</w:t>
      </w:r>
    </w:p>
    <w:p w14:paraId="09B68ED8" w14:textId="699238E2" w:rsidR="00DD2766" w:rsidRPr="00310202" w:rsidRDefault="00DD2766" w:rsidP="00AC768F">
      <w:pPr>
        <w:pStyle w:val="ListParagraph"/>
        <w:numPr>
          <w:ilvl w:val="0"/>
          <w:numId w:val="16"/>
        </w:numPr>
        <w:overflowPunct/>
        <w:autoSpaceDE/>
        <w:autoSpaceDN/>
        <w:adjustRightInd/>
        <w:textAlignment w:val="auto"/>
        <w:rPr>
          <w:rFonts w:ascii="Times New Roman" w:hAnsi="Times New Roman" w:cs="Times New Roman"/>
          <w:sz w:val="24"/>
          <w:szCs w:val="24"/>
        </w:rPr>
      </w:pPr>
      <w:r w:rsidRPr="00310202">
        <w:rPr>
          <w:rFonts w:ascii="Times New Roman" w:hAnsi="Times New Roman" w:cs="Times New Roman"/>
          <w:sz w:val="24"/>
          <w:szCs w:val="24"/>
        </w:rPr>
        <w:t>A performance orientated model - with adaption of more focused peer reviews and enhanced performance monitoring to not only identify gaps to excellence but also enable early identification of deteriorating trends</w:t>
      </w:r>
      <w:r w:rsidR="00DB2DEB">
        <w:rPr>
          <w:rFonts w:ascii="Times New Roman" w:hAnsi="Times New Roman" w:cs="Times New Roman"/>
          <w:sz w:val="24"/>
          <w:szCs w:val="24"/>
        </w:rPr>
        <w:t>;</w:t>
      </w:r>
    </w:p>
    <w:p w14:paraId="3B929D15" w14:textId="140EF207" w:rsidR="00DD2766" w:rsidRPr="00310202" w:rsidRDefault="00DD2766" w:rsidP="00AC768F">
      <w:pPr>
        <w:pStyle w:val="ListParagraph"/>
        <w:numPr>
          <w:ilvl w:val="0"/>
          <w:numId w:val="16"/>
        </w:numPr>
        <w:overflowPunct/>
        <w:autoSpaceDE/>
        <w:autoSpaceDN/>
        <w:adjustRightInd/>
        <w:textAlignment w:val="auto"/>
        <w:rPr>
          <w:rFonts w:ascii="Times New Roman" w:hAnsi="Times New Roman" w:cs="Times New Roman"/>
          <w:sz w:val="24"/>
          <w:szCs w:val="24"/>
        </w:rPr>
      </w:pPr>
      <w:r w:rsidRPr="00310202">
        <w:rPr>
          <w:rFonts w:ascii="Times New Roman" w:hAnsi="Times New Roman" w:cs="Times New Roman"/>
          <w:sz w:val="24"/>
          <w:szCs w:val="24"/>
        </w:rPr>
        <w:lastRenderedPageBreak/>
        <w:t>A support orientated model - with support targeted at the organisations and plants that require the help and support in addressing performance deficiencies. The scope of this support has been specifically expanded to further support plant recovery, organisational diagnostic and leadership development as well as the already established technical support</w:t>
      </w:r>
      <w:r w:rsidR="00310202">
        <w:rPr>
          <w:rFonts w:ascii="Times New Roman" w:hAnsi="Times New Roman" w:cs="Times New Roman"/>
          <w:sz w:val="24"/>
          <w:szCs w:val="24"/>
        </w:rPr>
        <w:t>.</w:t>
      </w:r>
    </w:p>
    <w:p w14:paraId="73A419BC" w14:textId="3A83D68E" w:rsidR="00DD2766" w:rsidRPr="00DD2766" w:rsidRDefault="00DD2766" w:rsidP="00DB2DEB">
      <w:pPr>
        <w:pStyle w:val="BodyText"/>
        <w:spacing w:after="120"/>
        <w:ind w:firstLine="567"/>
        <w:rPr>
          <w:lang w:val="en-GB"/>
        </w:rPr>
      </w:pPr>
      <w:r w:rsidRPr="00DD2766">
        <w:rPr>
          <w:lang w:val="en-GB"/>
        </w:rPr>
        <w:t>This revised model is being implemented through the WANO ‘Action for Excellence’ programme with clearly defined goals based upon overall industry/ plant performance improvement, no undetected declines in plant performance and no significant events.</w:t>
      </w:r>
      <w:r w:rsidR="00DB2DEB">
        <w:rPr>
          <w:lang w:val="en-GB"/>
        </w:rPr>
        <w:t xml:space="preserve"> </w:t>
      </w:r>
      <w:r w:rsidRPr="00DD2766">
        <w:rPr>
          <w:lang w:val="en-GB"/>
        </w:rPr>
        <w:t>The success of this programme is dependent on the engagement and support of the wider industry i.e. by the provision appropriately experienced and trained staff internal to WANO and through member expertise support and challenge.</w:t>
      </w:r>
    </w:p>
    <w:p w14:paraId="797C25ED" w14:textId="417DC284" w:rsidR="00DD2766" w:rsidRPr="00DD2766" w:rsidRDefault="00DD2766" w:rsidP="00736E45">
      <w:pPr>
        <w:pStyle w:val="BodyText"/>
        <w:spacing w:after="120"/>
        <w:ind w:firstLine="567"/>
        <w:rPr>
          <w:lang w:val="en-GB"/>
        </w:rPr>
      </w:pPr>
      <w:r w:rsidRPr="00DD2766">
        <w:rPr>
          <w:lang w:val="en-GB"/>
        </w:rPr>
        <w:t>Similarly</w:t>
      </w:r>
      <w:r w:rsidR="00B117B5">
        <w:rPr>
          <w:lang w:val="en-GB"/>
        </w:rPr>
        <w:t>,</w:t>
      </w:r>
      <w:r w:rsidRPr="00DD2766">
        <w:rPr>
          <w:lang w:val="en-GB"/>
        </w:rPr>
        <w:t xml:space="preserve"> the success of any industry wide improvement programme associated with sustaining or improving operational excellence is dependent upon the engagement of the senior leaders within the nuclear industry. Any improvement programme or project can only be effectively implemented if it is effectively owned by those who are responsible for its delivery.</w:t>
      </w:r>
    </w:p>
    <w:p w14:paraId="2AC7E3C5" w14:textId="77777777" w:rsidR="00DD2766" w:rsidRPr="00DD2766" w:rsidRDefault="00DD2766" w:rsidP="009D1C56">
      <w:pPr>
        <w:pStyle w:val="BodyText"/>
        <w:spacing w:after="120"/>
        <w:ind w:firstLine="567"/>
        <w:rPr>
          <w:lang w:val="en-GB"/>
        </w:rPr>
      </w:pPr>
      <w:r w:rsidRPr="00DD2766">
        <w:rPr>
          <w:lang w:val="en-GB"/>
        </w:rPr>
        <w:t>The desire, capability and ability of all nuclear organisations to engage and effectively participate in and effectively deploy these improvement programmes varies significantly. Senior leaders within the nuclear industry therefore have the responsibility to collectively come together to:</w:t>
      </w:r>
    </w:p>
    <w:p w14:paraId="5179BAFB" w14:textId="7E69EBC6" w:rsidR="00DD2766" w:rsidRPr="00624EC8" w:rsidRDefault="00DD2766" w:rsidP="00AC768F">
      <w:pPr>
        <w:pStyle w:val="ListParagraph"/>
        <w:numPr>
          <w:ilvl w:val="0"/>
          <w:numId w:val="16"/>
        </w:numPr>
        <w:overflowPunct/>
        <w:autoSpaceDE/>
        <w:autoSpaceDN/>
        <w:adjustRightInd/>
        <w:textAlignment w:val="auto"/>
        <w:rPr>
          <w:rFonts w:ascii="Times New Roman" w:hAnsi="Times New Roman" w:cs="Times New Roman"/>
          <w:sz w:val="24"/>
          <w:szCs w:val="24"/>
        </w:rPr>
      </w:pPr>
      <w:r w:rsidRPr="00624EC8">
        <w:rPr>
          <w:rFonts w:ascii="Times New Roman" w:hAnsi="Times New Roman" w:cs="Times New Roman"/>
          <w:sz w:val="24"/>
          <w:szCs w:val="24"/>
        </w:rPr>
        <w:t>facilitate the delivery of these industry programmes</w:t>
      </w:r>
      <w:r w:rsidR="00624EC8">
        <w:rPr>
          <w:rFonts w:ascii="Times New Roman" w:hAnsi="Times New Roman" w:cs="Times New Roman"/>
          <w:sz w:val="24"/>
          <w:szCs w:val="24"/>
        </w:rPr>
        <w:t>;</w:t>
      </w:r>
    </w:p>
    <w:p w14:paraId="460714C9" w14:textId="11E4C3BC" w:rsidR="00DD2766" w:rsidRPr="00624EC8" w:rsidRDefault="00DD2766" w:rsidP="00AC768F">
      <w:pPr>
        <w:pStyle w:val="ListParagraph"/>
        <w:numPr>
          <w:ilvl w:val="0"/>
          <w:numId w:val="16"/>
        </w:numPr>
        <w:overflowPunct/>
        <w:autoSpaceDE/>
        <w:autoSpaceDN/>
        <w:adjustRightInd/>
        <w:textAlignment w:val="auto"/>
        <w:rPr>
          <w:rFonts w:ascii="Times New Roman" w:hAnsi="Times New Roman" w:cs="Times New Roman"/>
          <w:sz w:val="24"/>
          <w:szCs w:val="24"/>
        </w:rPr>
      </w:pPr>
      <w:r w:rsidRPr="00624EC8">
        <w:rPr>
          <w:rFonts w:ascii="Times New Roman" w:hAnsi="Times New Roman" w:cs="Times New Roman"/>
          <w:sz w:val="24"/>
          <w:szCs w:val="24"/>
        </w:rPr>
        <w:t>challenge peers who are not effectively participating</w:t>
      </w:r>
      <w:r w:rsidR="00624EC8">
        <w:rPr>
          <w:rFonts w:ascii="Times New Roman" w:hAnsi="Times New Roman" w:cs="Times New Roman"/>
          <w:sz w:val="24"/>
          <w:szCs w:val="24"/>
        </w:rPr>
        <w:t>;</w:t>
      </w:r>
    </w:p>
    <w:p w14:paraId="18B5488D" w14:textId="2396505A" w:rsidR="00DD2766" w:rsidRPr="0080284F" w:rsidRDefault="00DD2766" w:rsidP="00AC768F">
      <w:pPr>
        <w:pStyle w:val="ListParagraph"/>
        <w:numPr>
          <w:ilvl w:val="0"/>
          <w:numId w:val="16"/>
        </w:numPr>
        <w:overflowPunct/>
        <w:autoSpaceDE/>
        <w:autoSpaceDN/>
        <w:adjustRightInd/>
        <w:textAlignment w:val="auto"/>
        <w:rPr>
          <w:rFonts w:ascii="Times New Roman" w:eastAsia="Times New Roman" w:hAnsi="Times New Roman" w:cs="Times New Roman"/>
          <w:sz w:val="24"/>
          <w:szCs w:val="20"/>
        </w:rPr>
      </w:pPr>
      <w:r w:rsidRPr="0080284F">
        <w:rPr>
          <w:rFonts w:ascii="Times New Roman" w:hAnsi="Times New Roman" w:cs="Times New Roman"/>
          <w:sz w:val="24"/>
          <w:szCs w:val="24"/>
        </w:rPr>
        <w:t>support those who are struggling with implementation</w:t>
      </w:r>
      <w:r w:rsidR="0080284F">
        <w:rPr>
          <w:rFonts w:ascii="Times New Roman" w:hAnsi="Times New Roman" w:cs="Times New Roman"/>
          <w:sz w:val="24"/>
          <w:szCs w:val="24"/>
        </w:rPr>
        <w:t>;</w:t>
      </w:r>
    </w:p>
    <w:p w14:paraId="7DAD016A" w14:textId="5273E2A0" w:rsidR="00DD2766" w:rsidRPr="0080284F" w:rsidRDefault="00DD2766" w:rsidP="00AC768F">
      <w:pPr>
        <w:pStyle w:val="ListParagraph"/>
        <w:numPr>
          <w:ilvl w:val="0"/>
          <w:numId w:val="16"/>
        </w:numPr>
        <w:overflowPunct/>
        <w:autoSpaceDE/>
        <w:autoSpaceDN/>
        <w:adjustRightInd/>
        <w:textAlignment w:val="auto"/>
        <w:rPr>
          <w:rFonts w:ascii="Times New Roman" w:hAnsi="Times New Roman" w:cs="Times New Roman"/>
          <w:sz w:val="24"/>
          <w:szCs w:val="24"/>
        </w:rPr>
      </w:pPr>
      <w:r w:rsidRPr="0080284F">
        <w:rPr>
          <w:rFonts w:ascii="Times New Roman" w:hAnsi="Times New Roman" w:cs="Times New Roman"/>
          <w:sz w:val="24"/>
          <w:szCs w:val="24"/>
        </w:rPr>
        <w:t>work with industry interfaces to prioritise and effectively link the various improvement programmes so that the benefits are effectively optimised</w:t>
      </w:r>
      <w:r w:rsidR="0080284F">
        <w:rPr>
          <w:rFonts w:ascii="Times New Roman" w:hAnsi="Times New Roman" w:cs="Times New Roman"/>
          <w:sz w:val="24"/>
          <w:szCs w:val="24"/>
        </w:rPr>
        <w:t>.</w:t>
      </w:r>
    </w:p>
    <w:p w14:paraId="25DA1261" w14:textId="77777777" w:rsidR="00D35E95" w:rsidRPr="005205DB" w:rsidRDefault="00D35E95" w:rsidP="005205DB">
      <w:pPr>
        <w:pStyle w:val="BodyText"/>
        <w:rPr>
          <w:lang w:val="en-GB"/>
        </w:rPr>
      </w:pPr>
    </w:p>
    <w:p w14:paraId="751C8444" w14:textId="301F80B0" w:rsidR="000C0211" w:rsidRPr="00747369" w:rsidRDefault="000C0211" w:rsidP="000C0211">
      <w:pPr>
        <w:pStyle w:val="Heading1"/>
      </w:pPr>
      <w:bookmarkStart w:id="1503" w:name="_Toc78389422"/>
      <w:bookmarkStart w:id="1504" w:name="_Toc78389899"/>
      <w:bookmarkStart w:id="1505" w:name="_Toc78390376"/>
      <w:bookmarkStart w:id="1506" w:name="_Toc78389423"/>
      <w:bookmarkStart w:id="1507" w:name="_Toc78389900"/>
      <w:bookmarkStart w:id="1508" w:name="_Toc78390377"/>
      <w:bookmarkStart w:id="1509" w:name="_Toc78389424"/>
      <w:bookmarkStart w:id="1510" w:name="_Toc78389901"/>
      <w:bookmarkStart w:id="1511" w:name="_Toc78390378"/>
      <w:bookmarkStart w:id="1512" w:name="_Toc78389425"/>
      <w:bookmarkStart w:id="1513" w:name="_Toc78389902"/>
      <w:bookmarkStart w:id="1514" w:name="_Toc78390379"/>
      <w:bookmarkStart w:id="1515" w:name="_Toc78389426"/>
      <w:bookmarkStart w:id="1516" w:name="_Toc78389903"/>
      <w:bookmarkStart w:id="1517" w:name="_Toc78390380"/>
      <w:bookmarkStart w:id="1518" w:name="_Toc78389427"/>
      <w:bookmarkStart w:id="1519" w:name="_Toc78389904"/>
      <w:bookmarkStart w:id="1520" w:name="_Toc78390381"/>
      <w:bookmarkStart w:id="1521" w:name="_Toc78389428"/>
      <w:bookmarkStart w:id="1522" w:name="_Toc78389905"/>
      <w:bookmarkStart w:id="1523" w:name="_Toc78390382"/>
      <w:bookmarkStart w:id="1524" w:name="_Toc78389429"/>
      <w:bookmarkStart w:id="1525" w:name="_Toc78389906"/>
      <w:bookmarkStart w:id="1526" w:name="_Toc78390383"/>
      <w:bookmarkStart w:id="1527" w:name="_Toc78389430"/>
      <w:bookmarkStart w:id="1528" w:name="_Toc78389907"/>
      <w:bookmarkStart w:id="1529" w:name="_Toc78390384"/>
      <w:bookmarkStart w:id="1530" w:name="_Toc78389431"/>
      <w:bookmarkStart w:id="1531" w:name="_Toc78389908"/>
      <w:bookmarkStart w:id="1532" w:name="_Toc78390385"/>
      <w:bookmarkStart w:id="1533" w:name="_Toc78389432"/>
      <w:bookmarkStart w:id="1534" w:name="_Toc78389909"/>
      <w:bookmarkStart w:id="1535" w:name="_Toc78390386"/>
      <w:bookmarkStart w:id="1536" w:name="_Toc78389433"/>
      <w:bookmarkStart w:id="1537" w:name="_Toc78389910"/>
      <w:bookmarkStart w:id="1538" w:name="_Toc78390387"/>
      <w:bookmarkStart w:id="1539" w:name="_Toc78389434"/>
      <w:bookmarkStart w:id="1540" w:name="_Toc78389911"/>
      <w:bookmarkStart w:id="1541" w:name="_Toc78390388"/>
      <w:bookmarkStart w:id="1542" w:name="_Toc78389435"/>
      <w:bookmarkStart w:id="1543" w:name="_Toc78389912"/>
      <w:bookmarkStart w:id="1544" w:name="_Toc78390389"/>
      <w:bookmarkStart w:id="1545" w:name="_Toc78389436"/>
      <w:bookmarkStart w:id="1546" w:name="_Toc78389913"/>
      <w:bookmarkStart w:id="1547" w:name="_Toc78390390"/>
      <w:bookmarkStart w:id="1548" w:name="_Toc78389437"/>
      <w:bookmarkStart w:id="1549" w:name="_Toc78389914"/>
      <w:bookmarkStart w:id="1550" w:name="_Toc78390391"/>
      <w:bookmarkStart w:id="1551" w:name="_Toc78389438"/>
      <w:bookmarkStart w:id="1552" w:name="_Toc78389915"/>
      <w:bookmarkStart w:id="1553" w:name="_Toc78390392"/>
      <w:bookmarkStart w:id="1554" w:name="_Toc78389439"/>
      <w:bookmarkStart w:id="1555" w:name="_Toc78389916"/>
      <w:bookmarkStart w:id="1556" w:name="_Toc78390393"/>
      <w:bookmarkStart w:id="1557" w:name="_Toc78389440"/>
      <w:bookmarkStart w:id="1558" w:name="_Toc78389917"/>
      <w:bookmarkStart w:id="1559" w:name="_Toc78390394"/>
      <w:bookmarkStart w:id="1560" w:name="_Toc78389441"/>
      <w:bookmarkStart w:id="1561" w:name="_Toc78389918"/>
      <w:bookmarkStart w:id="1562" w:name="_Toc78390395"/>
      <w:bookmarkStart w:id="1563" w:name="_Toc78389442"/>
      <w:bookmarkStart w:id="1564" w:name="_Toc78389919"/>
      <w:bookmarkStart w:id="1565" w:name="_Toc78390396"/>
      <w:bookmarkStart w:id="1566" w:name="_Toc78389443"/>
      <w:bookmarkStart w:id="1567" w:name="_Toc78389920"/>
      <w:bookmarkStart w:id="1568" w:name="_Toc78390397"/>
      <w:bookmarkStart w:id="1569" w:name="_Toc78389444"/>
      <w:bookmarkStart w:id="1570" w:name="_Toc78389921"/>
      <w:bookmarkStart w:id="1571" w:name="_Toc78390398"/>
      <w:bookmarkStart w:id="1572" w:name="_Toc78389445"/>
      <w:bookmarkStart w:id="1573" w:name="_Toc78389922"/>
      <w:bookmarkStart w:id="1574" w:name="_Toc78390399"/>
      <w:bookmarkStart w:id="1575" w:name="_Toc78389446"/>
      <w:bookmarkStart w:id="1576" w:name="_Toc78389923"/>
      <w:bookmarkStart w:id="1577" w:name="_Toc78390400"/>
      <w:bookmarkStart w:id="1578" w:name="_Toc78389447"/>
      <w:bookmarkStart w:id="1579" w:name="_Toc78389924"/>
      <w:bookmarkStart w:id="1580" w:name="_Toc78390401"/>
      <w:bookmarkStart w:id="1581" w:name="_Toc78389448"/>
      <w:bookmarkStart w:id="1582" w:name="_Toc78389925"/>
      <w:bookmarkStart w:id="1583" w:name="_Toc78390402"/>
      <w:bookmarkStart w:id="1584" w:name="_Toc78389449"/>
      <w:bookmarkStart w:id="1585" w:name="_Toc78389926"/>
      <w:bookmarkStart w:id="1586" w:name="_Toc78390403"/>
      <w:bookmarkStart w:id="1587" w:name="_Toc78389450"/>
      <w:bookmarkStart w:id="1588" w:name="_Toc78389927"/>
      <w:bookmarkStart w:id="1589" w:name="_Toc78390404"/>
      <w:bookmarkStart w:id="1590" w:name="_Toc78389451"/>
      <w:bookmarkStart w:id="1591" w:name="_Toc78389928"/>
      <w:bookmarkStart w:id="1592" w:name="_Toc78390405"/>
      <w:bookmarkStart w:id="1593" w:name="_Toc78389452"/>
      <w:bookmarkStart w:id="1594" w:name="_Toc78389929"/>
      <w:bookmarkStart w:id="1595" w:name="_Toc78390406"/>
      <w:bookmarkStart w:id="1596" w:name="_Toc78389453"/>
      <w:bookmarkStart w:id="1597" w:name="_Toc78389930"/>
      <w:bookmarkStart w:id="1598" w:name="_Toc78390407"/>
      <w:bookmarkStart w:id="1599" w:name="_Toc78389454"/>
      <w:bookmarkStart w:id="1600" w:name="_Toc78389931"/>
      <w:bookmarkStart w:id="1601" w:name="_Toc78390408"/>
      <w:bookmarkStart w:id="1602" w:name="_Toc78389455"/>
      <w:bookmarkStart w:id="1603" w:name="_Toc78389932"/>
      <w:bookmarkStart w:id="1604" w:name="_Toc78390409"/>
      <w:bookmarkStart w:id="1605" w:name="_Toc78389456"/>
      <w:bookmarkStart w:id="1606" w:name="_Toc78389933"/>
      <w:bookmarkStart w:id="1607" w:name="_Toc78390410"/>
      <w:bookmarkStart w:id="1608" w:name="_Toc78389457"/>
      <w:bookmarkStart w:id="1609" w:name="_Toc78389934"/>
      <w:bookmarkStart w:id="1610" w:name="_Toc78390411"/>
      <w:bookmarkStart w:id="1611" w:name="_Toc78389458"/>
      <w:bookmarkStart w:id="1612" w:name="_Toc78389935"/>
      <w:bookmarkStart w:id="1613" w:name="_Toc78390412"/>
      <w:bookmarkStart w:id="1614" w:name="_Toc78389459"/>
      <w:bookmarkStart w:id="1615" w:name="_Toc78389936"/>
      <w:bookmarkStart w:id="1616" w:name="_Toc78390413"/>
      <w:bookmarkStart w:id="1617" w:name="_Toc78389460"/>
      <w:bookmarkStart w:id="1618" w:name="_Toc78389937"/>
      <w:bookmarkStart w:id="1619" w:name="_Toc78390414"/>
      <w:bookmarkStart w:id="1620" w:name="_Toc78389461"/>
      <w:bookmarkStart w:id="1621" w:name="_Toc78389938"/>
      <w:bookmarkStart w:id="1622" w:name="_Toc78390415"/>
      <w:bookmarkStart w:id="1623" w:name="_Toc78389462"/>
      <w:bookmarkStart w:id="1624" w:name="_Toc78389939"/>
      <w:bookmarkStart w:id="1625" w:name="_Toc78390416"/>
      <w:bookmarkStart w:id="1626" w:name="_Toc78389463"/>
      <w:bookmarkStart w:id="1627" w:name="_Toc78389940"/>
      <w:bookmarkStart w:id="1628" w:name="_Toc78390417"/>
      <w:bookmarkStart w:id="1629" w:name="_Toc78389464"/>
      <w:bookmarkStart w:id="1630" w:name="_Toc78389941"/>
      <w:bookmarkStart w:id="1631" w:name="_Toc78390418"/>
      <w:bookmarkStart w:id="1632" w:name="_Toc78389465"/>
      <w:bookmarkStart w:id="1633" w:name="_Toc78389942"/>
      <w:bookmarkStart w:id="1634" w:name="_Toc78390419"/>
      <w:bookmarkStart w:id="1635" w:name="_Toc78389466"/>
      <w:bookmarkStart w:id="1636" w:name="_Toc78389943"/>
      <w:bookmarkStart w:id="1637" w:name="_Toc78390420"/>
      <w:bookmarkStart w:id="1638" w:name="_Toc78389467"/>
      <w:bookmarkStart w:id="1639" w:name="_Toc78389944"/>
      <w:bookmarkStart w:id="1640" w:name="_Toc78390421"/>
      <w:bookmarkStart w:id="1641" w:name="_Toc78389468"/>
      <w:bookmarkStart w:id="1642" w:name="_Toc78389945"/>
      <w:bookmarkStart w:id="1643" w:name="_Toc78390422"/>
      <w:bookmarkStart w:id="1644" w:name="_Toc78389469"/>
      <w:bookmarkStart w:id="1645" w:name="_Toc78389946"/>
      <w:bookmarkStart w:id="1646" w:name="_Toc78390423"/>
      <w:bookmarkStart w:id="1647" w:name="_Toc78389470"/>
      <w:bookmarkStart w:id="1648" w:name="_Toc78389947"/>
      <w:bookmarkStart w:id="1649" w:name="_Toc78390424"/>
      <w:bookmarkStart w:id="1650" w:name="_Toc78389471"/>
      <w:bookmarkStart w:id="1651" w:name="_Toc78389948"/>
      <w:bookmarkStart w:id="1652" w:name="_Toc78390425"/>
      <w:bookmarkStart w:id="1653" w:name="_Toc78389472"/>
      <w:bookmarkStart w:id="1654" w:name="_Toc78389949"/>
      <w:bookmarkStart w:id="1655" w:name="_Toc78390426"/>
      <w:bookmarkStart w:id="1656" w:name="_Toc78389473"/>
      <w:bookmarkStart w:id="1657" w:name="_Toc78389950"/>
      <w:bookmarkStart w:id="1658" w:name="_Toc78390427"/>
      <w:bookmarkStart w:id="1659" w:name="_Toc78389474"/>
      <w:bookmarkStart w:id="1660" w:name="_Toc78389951"/>
      <w:bookmarkStart w:id="1661" w:name="_Toc78390428"/>
      <w:bookmarkStart w:id="1662" w:name="_Toc78389475"/>
      <w:bookmarkStart w:id="1663" w:name="_Toc78389952"/>
      <w:bookmarkStart w:id="1664" w:name="_Toc78390429"/>
      <w:bookmarkStart w:id="1665" w:name="_Toc78389476"/>
      <w:bookmarkStart w:id="1666" w:name="_Toc78389953"/>
      <w:bookmarkStart w:id="1667" w:name="_Toc78390430"/>
      <w:bookmarkStart w:id="1668" w:name="_Toc78389477"/>
      <w:bookmarkStart w:id="1669" w:name="_Toc78389954"/>
      <w:bookmarkStart w:id="1670" w:name="_Toc78390431"/>
      <w:bookmarkStart w:id="1671" w:name="_Toc78389478"/>
      <w:bookmarkStart w:id="1672" w:name="_Toc78389955"/>
      <w:bookmarkStart w:id="1673" w:name="_Toc78390432"/>
      <w:bookmarkStart w:id="1674" w:name="_Toc78389479"/>
      <w:bookmarkStart w:id="1675" w:name="_Toc78389956"/>
      <w:bookmarkStart w:id="1676" w:name="_Toc78390433"/>
      <w:bookmarkStart w:id="1677" w:name="_Toc78389480"/>
      <w:bookmarkStart w:id="1678" w:name="_Toc78389957"/>
      <w:bookmarkStart w:id="1679" w:name="_Toc78390434"/>
      <w:bookmarkStart w:id="1680" w:name="_Toc78389481"/>
      <w:bookmarkStart w:id="1681" w:name="_Toc78389958"/>
      <w:bookmarkStart w:id="1682" w:name="_Toc78390435"/>
      <w:bookmarkStart w:id="1683" w:name="_Toc78389482"/>
      <w:bookmarkStart w:id="1684" w:name="_Toc78389959"/>
      <w:bookmarkStart w:id="1685" w:name="_Toc78390436"/>
      <w:bookmarkStart w:id="1686" w:name="_Toc78389483"/>
      <w:bookmarkStart w:id="1687" w:name="_Toc78389960"/>
      <w:bookmarkStart w:id="1688" w:name="_Toc78390437"/>
      <w:bookmarkStart w:id="1689" w:name="_Toc78389484"/>
      <w:bookmarkStart w:id="1690" w:name="_Toc78389961"/>
      <w:bookmarkStart w:id="1691" w:name="_Toc78390438"/>
      <w:bookmarkStart w:id="1692" w:name="_Toc78389485"/>
      <w:bookmarkStart w:id="1693" w:name="_Toc78389962"/>
      <w:bookmarkStart w:id="1694" w:name="_Toc78390439"/>
      <w:bookmarkStart w:id="1695" w:name="_Toc78389486"/>
      <w:bookmarkStart w:id="1696" w:name="_Toc78389963"/>
      <w:bookmarkStart w:id="1697" w:name="_Toc78390440"/>
      <w:bookmarkStart w:id="1698" w:name="_Toc78389487"/>
      <w:bookmarkStart w:id="1699" w:name="_Toc78389964"/>
      <w:bookmarkStart w:id="1700" w:name="_Toc78390441"/>
      <w:bookmarkStart w:id="1701" w:name="_Toc78389488"/>
      <w:bookmarkStart w:id="1702" w:name="_Toc78389965"/>
      <w:bookmarkStart w:id="1703" w:name="_Toc78390442"/>
      <w:bookmarkStart w:id="1704" w:name="_Toc78389489"/>
      <w:bookmarkStart w:id="1705" w:name="_Toc78389966"/>
      <w:bookmarkStart w:id="1706" w:name="_Toc78390443"/>
      <w:bookmarkStart w:id="1707" w:name="_Toc78389490"/>
      <w:bookmarkStart w:id="1708" w:name="_Toc78389967"/>
      <w:bookmarkStart w:id="1709" w:name="_Toc78390444"/>
      <w:bookmarkStart w:id="1710" w:name="_Toc78389491"/>
      <w:bookmarkStart w:id="1711" w:name="_Toc78389968"/>
      <w:bookmarkStart w:id="1712" w:name="_Toc78390445"/>
      <w:bookmarkStart w:id="1713" w:name="_Toc78389492"/>
      <w:bookmarkStart w:id="1714" w:name="_Toc78389969"/>
      <w:bookmarkStart w:id="1715" w:name="_Toc78390446"/>
      <w:bookmarkStart w:id="1716" w:name="_Toc87627689"/>
      <w:bookmarkStart w:id="1717" w:name="_Toc59107676"/>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r w:rsidRPr="00747369">
        <w:t>Learning from Examples</w:t>
      </w:r>
      <w:bookmarkEnd w:id="1716"/>
    </w:p>
    <w:p w14:paraId="1D7E67F4" w14:textId="11C23EC3" w:rsidR="00C35748" w:rsidRDefault="00C35748" w:rsidP="00B13C86">
      <w:pPr>
        <w:pStyle w:val="Heading2"/>
      </w:pPr>
      <w:bookmarkStart w:id="1718" w:name="_Toc87627690"/>
      <w:r w:rsidRPr="007E7895">
        <w:t>ISiD IN UTLITIES</w:t>
      </w:r>
      <w:bookmarkEnd w:id="1718"/>
    </w:p>
    <w:p w14:paraId="50B7FBA9" w14:textId="77777777" w:rsidR="0013511B" w:rsidRPr="007E7895" w:rsidRDefault="0013511B" w:rsidP="0013511B">
      <w:pPr>
        <w:pStyle w:val="BodyText"/>
        <w:snapToGrid w:val="0"/>
        <w:spacing w:after="0"/>
        <w:rPr>
          <w:szCs w:val="24"/>
        </w:rPr>
      </w:pPr>
      <w:r w:rsidRPr="007E7895">
        <w:rPr>
          <w:szCs w:val="24"/>
        </w:rPr>
        <w:t>Salient attributes</w:t>
      </w:r>
    </w:p>
    <w:p w14:paraId="3D3E7184" w14:textId="77777777" w:rsidR="0013511B" w:rsidRPr="007E7895" w:rsidRDefault="0013511B" w:rsidP="0013511B">
      <w:pPr>
        <w:pStyle w:val="BodyText"/>
        <w:snapToGrid w:val="0"/>
        <w:spacing w:after="0"/>
        <w:rPr>
          <w:szCs w:val="24"/>
        </w:rPr>
      </w:pPr>
      <w:r w:rsidRPr="007E7895">
        <w:rPr>
          <w:szCs w:val="24"/>
        </w:rPr>
        <w:t>Commonalities</w:t>
      </w:r>
    </w:p>
    <w:p w14:paraId="1F9596BE" w14:textId="77777777" w:rsidR="0013511B" w:rsidRPr="007E7895" w:rsidRDefault="0013511B" w:rsidP="0013511B">
      <w:pPr>
        <w:pStyle w:val="BodyText"/>
        <w:snapToGrid w:val="0"/>
        <w:spacing w:after="0"/>
        <w:rPr>
          <w:szCs w:val="24"/>
        </w:rPr>
      </w:pPr>
      <w:r w:rsidRPr="007E7895">
        <w:rPr>
          <w:szCs w:val="24"/>
        </w:rPr>
        <w:t>Challenges</w:t>
      </w:r>
    </w:p>
    <w:p w14:paraId="48C4BCEE" w14:textId="77777777" w:rsidR="0013511B" w:rsidRPr="007E7895" w:rsidRDefault="0013511B" w:rsidP="0013511B">
      <w:pPr>
        <w:pStyle w:val="BodyText"/>
        <w:snapToGrid w:val="0"/>
        <w:spacing w:after="0"/>
        <w:rPr>
          <w:szCs w:val="24"/>
        </w:rPr>
      </w:pPr>
      <w:r w:rsidRPr="007E7895">
        <w:rPr>
          <w:szCs w:val="24"/>
        </w:rPr>
        <w:t>Appendices</w:t>
      </w:r>
    </w:p>
    <w:p w14:paraId="3E90E25C" w14:textId="77777777" w:rsidR="0013511B" w:rsidRPr="007E7895" w:rsidRDefault="0013511B" w:rsidP="0013511B">
      <w:pPr>
        <w:pStyle w:val="BodyText"/>
        <w:snapToGrid w:val="0"/>
        <w:spacing w:after="0"/>
        <w:rPr>
          <w:szCs w:val="24"/>
        </w:rPr>
      </w:pPr>
      <w:r w:rsidRPr="007E7895">
        <w:rPr>
          <w:szCs w:val="24"/>
        </w:rPr>
        <w:t xml:space="preserve">  Appendix 5-1 TEPCO</w:t>
      </w:r>
    </w:p>
    <w:p w14:paraId="63EE86D8" w14:textId="77777777" w:rsidR="0013511B" w:rsidRPr="0013511B" w:rsidRDefault="0013511B" w:rsidP="0013511B">
      <w:pPr>
        <w:pStyle w:val="BodyText"/>
      </w:pPr>
    </w:p>
    <w:p w14:paraId="4EFE067E" w14:textId="4777A7B7" w:rsidR="0084232E" w:rsidRPr="0084232E" w:rsidRDefault="0013511B" w:rsidP="0013511B">
      <w:pPr>
        <w:pStyle w:val="Heading2"/>
      </w:pPr>
      <w:bookmarkStart w:id="1719" w:name="_Toc87627691"/>
      <w:r>
        <w:t>Learning from Other Initiatives</w:t>
      </w:r>
      <w:bookmarkEnd w:id="1719"/>
    </w:p>
    <w:p w14:paraId="08C06CEE" w14:textId="3C219B4B" w:rsidR="00C35748" w:rsidRDefault="0007240A" w:rsidP="0007240A">
      <w:pPr>
        <w:pStyle w:val="Heading3"/>
      </w:pPr>
      <w:bookmarkStart w:id="1720" w:name="_Toc87627692"/>
      <w:r>
        <w:t>Commercial Aviation Safety Team</w:t>
      </w:r>
      <w:bookmarkEnd w:id="1720"/>
    </w:p>
    <w:p w14:paraId="14E656D8" w14:textId="68D17224" w:rsidR="00C35748" w:rsidRPr="007E7895" w:rsidRDefault="00C35748" w:rsidP="003433B2">
      <w:pPr>
        <w:pStyle w:val="BodyText"/>
        <w:spacing w:after="120"/>
        <w:ind w:firstLine="567"/>
        <w:rPr>
          <w:color w:val="000000" w:themeColor="text1"/>
          <w:szCs w:val="24"/>
        </w:rPr>
      </w:pPr>
      <w:r w:rsidRPr="007E7895">
        <w:rPr>
          <w:color w:val="000000" w:themeColor="text1"/>
          <w:szCs w:val="24"/>
        </w:rPr>
        <w:t>Within the aviation industry in the US, the Commercial Aviation Safety Team (CAST)</w:t>
      </w:r>
      <w:r w:rsidR="00643515">
        <w:rPr>
          <w:rStyle w:val="FootnoteReference"/>
          <w:color w:val="000000" w:themeColor="text1"/>
          <w:szCs w:val="24"/>
        </w:rPr>
        <w:footnoteReference w:id="10"/>
      </w:r>
      <w:r w:rsidRPr="007E7895">
        <w:rPr>
          <w:color w:val="000000" w:themeColor="text1"/>
          <w:szCs w:val="24"/>
        </w:rPr>
        <w:t xml:space="preserve"> reduced the fatal accident rate by more than 80% in ten years. It started with the realisation by </w:t>
      </w:r>
      <w:r w:rsidRPr="007E7895">
        <w:rPr>
          <w:color w:val="000000" w:themeColor="text1"/>
          <w:szCs w:val="24"/>
        </w:rPr>
        <w:lastRenderedPageBreak/>
        <w:t xml:space="preserve">the US airline industry in the early 1990s that the accident rate, which (after declining for decades) was reaching a plateau, combined with the projected doubling of flight volume within 15-20 years, would soon generate an unacceptable number of crashes. At the same time, the Administrator of the Federal Aviation Administration, the US aviation safety regulator, realised that the best way to resume the accident rate decline from the plateau was not more enforcement or more regulations, so a different and new approach was needed. The FAA and the airline industry had the common objective to improve safety. Their proposed approach was a voluntary collaborative effort, founded upon the common goal of improving safety. They therefore called for a meeting with the major industry participants – including airlines, manufacturers, pilots, air traffic controllers, airports, and the FAA -- to collaboratively find solutions on how to jointly improve safety. </w:t>
      </w:r>
    </w:p>
    <w:p w14:paraId="4B0EECDA" w14:textId="77777777" w:rsidR="00C35748" w:rsidRPr="007E7895" w:rsidRDefault="00C35748" w:rsidP="003433B2">
      <w:pPr>
        <w:pStyle w:val="BodyText"/>
        <w:spacing w:after="120"/>
        <w:ind w:firstLine="567"/>
        <w:rPr>
          <w:color w:val="000000" w:themeColor="text1"/>
          <w:szCs w:val="24"/>
        </w:rPr>
      </w:pPr>
      <w:r w:rsidRPr="007E7895">
        <w:rPr>
          <w:color w:val="000000" w:themeColor="text1"/>
          <w:szCs w:val="24"/>
        </w:rPr>
        <w:t>In addition to reducing the fatal accident rate by more than 80%, CAST improved productivity, which was crucial because improving the bottom line made it sustainable (to this day, more than two decades later), and CAST also helped minimize unintended consequences, which is always a challenge for large complex systems. Last but not least, CAST created this significant safety improvement without generating any new regulations, which demonstrated that the FAA Administrator was correct that the solution for getting off of the plateau was collaboration rather than more regulations, and it also demonstrated that the focus of CAST was not compliance with regulations, but improving safety.</w:t>
      </w:r>
    </w:p>
    <w:p w14:paraId="465984A3" w14:textId="77777777" w:rsidR="00C35748" w:rsidRPr="007E7895" w:rsidRDefault="00C35748" w:rsidP="005C729E">
      <w:pPr>
        <w:pStyle w:val="BodyText"/>
        <w:spacing w:after="120"/>
        <w:ind w:firstLine="567"/>
        <w:rPr>
          <w:color w:val="000000" w:themeColor="text1"/>
          <w:szCs w:val="24"/>
        </w:rPr>
      </w:pPr>
      <w:r w:rsidRPr="007E7895">
        <w:rPr>
          <w:color w:val="000000" w:themeColor="text1"/>
          <w:szCs w:val="24"/>
        </w:rPr>
        <w:t xml:space="preserve">CAST engaged </w:t>
      </w:r>
      <w:r w:rsidRPr="007E7895">
        <w:rPr>
          <w:i/>
          <w:color w:val="000000" w:themeColor="text1"/>
          <w:szCs w:val="24"/>
          <w:u w:val="single"/>
        </w:rPr>
        <w:t>all</w:t>
      </w:r>
      <w:r w:rsidRPr="007E7895">
        <w:rPr>
          <w:i/>
          <w:color w:val="000000" w:themeColor="text1"/>
          <w:szCs w:val="24"/>
        </w:rPr>
        <w:t xml:space="preserve"> p</w:t>
      </w:r>
      <w:r w:rsidRPr="007E7895">
        <w:rPr>
          <w:color w:val="000000" w:themeColor="text1"/>
          <w:szCs w:val="24"/>
        </w:rPr>
        <w:t>articipants in identifying problems and developing and evaluating remedies.</w:t>
      </w:r>
    </w:p>
    <w:p w14:paraId="73422E17" w14:textId="77777777" w:rsidR="00C35748" w:rsidRPr="007E7895" w:rsidRDefault="00C35748" w:rsidP="00DA762E">
      <w:pPr>
        <w:pStyle w:val="ListParagraph"/>
        <w:numPr>
          <w:ilvl w:val="0"/>
          <w:numId w:val="7"/>
        </w:numPr>
        <w:tabs>
          <w:tab w:val="left" w:pos="0"/>
          <w:tab w:val="left" w:pos="0"/>
          <w:tab w:val="left" w:pos="0"/>
          <w:tab w:val="left" w:pos="0"/>
          <w:tab w:val="left" w:pos="0"/>
          <w:tab w:val="left" w:pos="0"/>
          <w:tab w:val="left" w:pos="720"/>
        </w:tabs>
        <w:snapToGrid w:val="0"/>
        <w:spacing w:after="0" w:line="240" w:lineRule="auto"/>
        <w:contextualSpacing w:val="0"/>
        <w:rPr>
          <w:rFonts w:ascii="Times New Roman" w:hAnsi="Times New Roman" w:cs="Times New Roman"/>
          <w:color w:val="000000" w:themeColor="text1"/>
          <w:sz w:val="24"/>
          <w:szCs w:val="24"/>
          <w:lang w:val="en-US"/>
        </w:rPr>
      </w:pPr>
      <w:r w:rsidRPr="007E7895">
        <w:rPr>
          <w:rFonts w:ascii="Times New Roman" w:eastAsia="Times New Roman" w:hAnsi="Times New Roman" w:cs="Times New Roman"/>
          <w:color w:val="000000" w:themeColor="text1"/>
          <w:sz w:val="24"/>
          <w:szCs w:val="24"/>
          <w:lang w:val="en-US"/>
        </w:rPr>
        <w:t xml:space="preserve">  Airlines</w:t>
      </w:r>
    </w:p>
    <w:p w14:paraId="4CEF1021" w14:textId="77777777" w:rsidR="00C35748" w:rsidRPr="007E7895" w:rsidRDefault="00C35748" w:rsidP="00DA762E">
      <w:pPr>
        <w:pStyle w:val="ListParagraph"/>
        <w:numPr>
          <w:ilvl w:val="0"/>
          <w:numId w:val="7"/>
        </w:numPr>
        <w:tabs>
          <w:tab w:val="left" w:pos="0"/>
          <w:tab w:val="left" w:pos="0"/>
          <w:tab w:val="left" w:pos="0"/>
          <w:tab w:val="left" w:pos="0"/>
          <w:tab w:val="left" w:pos="0"/>
          <w:tab w:val="left" w:pos="0"/>
          <w:tab w:val="left" w:pos="720"/>
        </w:tabs>
        <w:snapToGrid w:val="0"/>
        <w:spacing w:after="0" w:line="240" w:lineRule="auto"/>
        <w:contextualSpacing w:val="0"/>
        <w:rPr>
          <w:rFonts w:ascii="Times New Roman" w:hAnsi="Times New Roman" w:cs="Times New Roman"/>
          <w:color w:val="000000" w:themeColor="text1"/>
          <w:sz w:val="24"/>
          <w:szCs w:val="24"/>
          <w:lang w:val="en-US"/>
        </w:rPr>
      </w:pPr>
      <w:r w:rsidRPr="007E7895">
        <w:rPr>
          <w:rFonts w:ascii="Times New Roman" w:eastAsia="Times New Roman" w:hAnsi="Times New Roman" w:cs="Times New Roman"/>
          <w:color w:val="000000" w:themeColor="text1"/>
          <w:sz w:val="24"/>
          <w:szCs w:val="24"/>
          <w:lang w:val="en-US"/>
        </w:rPr>
        <w:t xml:space="preserve">  Manufacturers</w:t>
      </w:r>
    </w:p>
    <w:p w14:paraId="0A4AB1DC" w14:textId="77777777" w:rsidR="00C35748" w:rsidRPr="007E7895" w:rsidRDefault="00C35748" w:rsidP="00DA762E">
      <w:pPr>
        <w:pStyle w:val="ListParagraph"/>
        <w:numPr>
          <w:ilvl w:val="1"/>
          <w:numId w:val="7"/>
        </w:numPr>
        <w:tabs>
          <w:tab w:val="left" w:pos="0"/>
          <w:tab w:val="left" w:pos="0"/>
          <w:tab w:val="left" w:pos="0"/>
          <w:tab w:val="left" w:pos="0"/>
          <w:tab w:val="left" w:pos="0"/>
          <w:tab w:val="left" w:pos="0"/>
          <w:tab w:val="left" w:pos="0"/>
          <w:tab w:val="left" w:pos="1440"/>
        </w:tabs>
        <w:snapToGrid w:val="0"/>
        <w:spacing w:after="0" w:line="240" w:lineRule="auto"/>
        <w:contextualSpacing w:val="0"/>
        <w:rPr>
          <w:rFonts w:ascii="Times New Roman" w:hAnsi="Times New Roman" w:cs="Times New Roman"/>
          <w:i/>
          <w:color w:val="000000" w:themeColor="text1"/>
          <w:sz w:val="24"/>
          <w:szCs w:val="24"/>
          <w:lang w:val="en-US"/>
        </w:rPr>
      </w:pPr>
      <w:r w:rsidRPr="007E7895">
        <w:rPr>
          <w:rFonts w:ascii="Times New Roman" w:eastAsia="Times New Roman" w:hAnsi="Times New Roman" w:cs="Times New Roman"/>
          <w:i/>
          <w:color w:val="000000" w:themeColor="text1"/>
          <w:sz w:val="24"/>
          <w:szCs w:val="24"/>
          <w:lang w:val="en-US"/>
        </w:rPr>
        <w:t>With the systemwide effort</w:t>
      </w:r>
    </w:p>
    <w:p w14:paraId="6E95FFAA" w14:textId="77777777" w:rsidR="00C35748" w:rsidRPr="007E7895" w:rsidRDefault="00C35748" w:rsidP="00DA762E">
      <w:pPr>
        <w:pStyle w:val="ListParagraph"/>
        <w:numPr>
          <w:ilvl w:val="1"/>
          <w:numId w:val="7"/>
        </w:numPr>
        <w:tabs>
          <w:tab w:val="left" w:pos="0"/>
          <w:tab w:val="left" w:pos="0"/>
          <w:tab w:val="left" w:pos="0"/>
          <w:tab w:val="left" w:pos="0"/>
          <w:tab w:val="left" w:pos="0"/>
          <w:tab w:val="left" w:pos="0"/>
          <w:tab w:val="left" w:pos="0"/>
          <w:tab w:val="left" w:pos="1440"/>
        </w:tabs>
        <w:snapToGrid w:val="0"/>
        <w:spacing w:after="0" w:line="240" w:lineRule="auto"/>
        <w:contextualSpacing w:val="0"/>
        <w:rPr>
          <w:rFonts w:ascii="Times New Roman" w:hAnsi="Times New Roman" w:cs="Times New Roman"/>
          <w:i/>
          <w:color w:val="000000" w:themeColor="text1"/>
          <w:sz w:val="24"/>
          <w:szCs w:val="24"/>
          <w:lang w:val="en-US"/>
        </w:rPr>
      </w:pPr>
      <w:r w:rsidRPr="007E7895">
        <w:rPr>
          <w:rFonts w:ascii="Times New Roman" w:eastAsia="Times New Roman" w:hAnsi="Times New Roman" w:cs="Times New Roman"/>
          <w:i/>
          <w:color w:val="000000" w:themeColor="text1"/>
          <w:sz w:val="24"/>
          <w:szCs w:val="24"/>
          <w:lang w:val="en-US"/>
        </w:rPr>
        <w:t>With their own end users</w:t>
      </w:r>
    </w:p>
    <w:p w14:paraId="0B7E062F" w14:textId="77777777" w:rsidR="00C35748" w:rsidRPr="007E7895" w:rsidRDefault="00C35748" w:rsidP="00DA762E">
      <w:pPr>
        <w:pStyle w:val="ListParagraph"/>
        <w:numPr>
          <w:ilvl w:val="0"/>
          <w:numId w:val="7"/>
        </w:numPr>
        <w:tabs>
          <w:tab w:val="left" w:pos="0"/>
          <w:tab w:val="left" w:pos="0"/>
          <w:tab w:val="left" w:pos="0"/>
          <w:tab w:val="left" w:pos="0"/>
          <w:tab w:val="left" w:pos="0"/>
          <w:tab w:val="left" w:pos="0"/>
          <w:tab w:val="left" w:pos="720"/>
        </w:tabs>
        <w:snapToGrid w:val="0"/>
        <w:spacing w:after="0" w:line="240" w:lineRule="auto"/>
        <w:contextualSpacing w:val="0"/>
        <w:rPr>
          <w:rFonts w:ascii="Times New Roman" w:hAnsi="Times New Roman" w:cs="Times New Roman"/>
          <w:color w:val="000000" w:themeColor="text1"/>
          <w:sz w:val="24"/>
          <w:szCs w:val="24"/>
          <w:lang w:val="en-US"/>
        </w:rPr>
      </w:pPr>
      <w:r w:rsidRPr="007E7895">
        <w:rPr>
          <w:rFonts w:ascii="Times New Roman" w:eastAsia="Times New Roman" w:hAnsi="Times New Roman" w:cs="Times New Roman"/>
          <w:color w:val="000000" w:themeColor="text1"/>
          <w:sz w:val="24"/>
          <w:szCs w:val="24"/>
          <w:lang w:val="en-US"/>
        </w:rPr>
        <w:t>Air Traffic Organizations</w:t>
      </w:r>
    </w:p>
    <w:p w14:paraId="7CC0026D" w14:textId="77777777" w:rsidR="00C35748" w:rsidRPr="007E7895" w:rsidRDefault="00C35748" w:rsidP="00DA762E">
      <w:pPr>
        <w:pStyle w:val="ListParagraph"/>
        <w:numPr>
          <w:ilvl w:val="0"/>
          <w:numId w:val="7"/>
        </w:numPr>
        <w:tabs>
          <w:tab w:val="left" w:pos="0"/>
          <w:tab w:val="left" w:pos="0"/>
          <w:tab w:val="left" w:pos="0"/>
          <w:tab w:val="left" w:pos="0"/>
          <w:tab w:val="left" w:pos="0"/>
          <w:tab w:val="left" w:pos="0"/>
          <w:tab w:val="left" w:pos="720"/>
        </w:tabs>
        <w:snapToGrid w:val="0"/>
        <w:spacing w:after="0" w:line="240" w:lineRule="auto"/>
        <w:contextualSpacing w:val="0"/>
        <w:rPr>
          <w:rFonts w:ascii="Times New Roman" w:hAnsi="Times New Roman" w:cs="Times New Roman"/>
          <w:color w:val="000000" w:themeColor="text1"/>
          <w:sz w:val="24"/>
          <w:szCs w:val="24"/>
          <w:lang w:val="en-US"/>
        </w:rPr>
      </w:pPr>
      <w:r w:rsidRPr="007E7895">
        <w:rPr>
          <w:rFonts w:ascii="Times New Roman" w:eastAsia="Times New Roman" w:hAnsi="Times New Roman" w:cs="Times New Roman"/>
          <w:color w:val="000000" w:themeColor="text1"/>
          <w:sz w:val="24"/>
          <w:szCs w:val="24"/>
          <w:lang w:val="en-US"/>
        </w:rPr>
        <w:t>Labor</w:t>
      </w:r>
    </w:p>
    <w:p w14:paraId="6D2A0921" w14:textId="77777777" w:rsidR="00C35748" w:rsidRPr="007E7895" w:rsidRDefault="00C35748" w:rsidP="00DA762E">
      <w:pPr>
        <w:pStyle w:val="ListParagraph"/>
        <w:numPr>
          <w:ilvl w:val="1"/>
          <w:numId w:val="7"/>
        </w:numPr>
        <w:tabs>
          <w:tab w:val="left" w:pos="0"/>
          <w:tab w:val="left" w:pos="0"/>
          <w:tab w:val="left" w:pos="0"/>
          <w:tab w:val="left" w:pos="0"/>
          <w:tab w:val="left" w:pos="0"/>
          <w:tab w:val="left" w:pos="0"/>
          <w:tab w:val="left" w:pos="0"/>
          <w:tab w:val="left" w:pos="1440"/>
        </w:tabs>
        <w:snapToGrid w:val="0"/>
        <w:spacing w:after="0" w:line="240" w:lineRule="auto"/>
        <w:contextualSpacing w:val="0"/>
        <w:rPr>
          <w:rFonts w:ascii="Times New Roman" w:hAnsi="Times New Roman" w:cs="Times New Roman"/>
          <w:i/>
          <w:color w:val="000000" w:themeColor="text1"/>
          <w:sz w:val="24"/>
          <w:szCs w:val="24"/>
          <w:lang w:val="en-US"/>
        </w:rPr>
      </w:pPr>
      <w:r w:rsidRPr="007E7895">
        <w:rPr>
          <w:rFonts w:ascii="Times New Roman" w:eastAsia="Times New Roman" w:hAnsi="Times New Roman" w:cs="Times New Roman"/>
          <w:i/>
          <w:color w:val="000000" w:themeColor="text1"/>
          <w:sz w:val="24"/>
          <w:szCs w:val="24"/>
          <w:lang w:val="en-US"/>
        </w:rPr>
        <w:t>Pilots</w:t>
      </w:r>
    </w:p>
    <w:p w14:paraId="00AD28CF" w14:textId="77777777" w:rsidR="00C35748" w:rsidRPr="007E7895" w:rsidRDefault="00C35748" w:rsidP="00DA762E">
      <w:pPr>
        <w:pStyle w:val="ListParagraph"/>
        <w:numPr>
          <w:ilvl w:val="1"/>
          <w:numId w:val="7"/>
        </w:numPr>
        <w:tabs>
          <w:tab w:val="left" w:pos="0"/>
          <w:tab w:val="left" w:pos="0"/>
          <w:tab w:val="left" w:pos="0"/>
          <w:tab w:val="left" w:pos="0"/>
          <w:tab w:val="left" w:pos="0"/>
          <w:tab w:val="left" w:pos="0"/>
          <w:tab w:val="left" w:pos="0"/>
          <w:tab w:val="left" w:pos="1440"/>
        </w:tabs>
        <w:snapToGrid w:val="0"/>
        <w:spacing w:after="0" w:line="240" w:lineRule="auto"/>
        <w:contextualSpacing w:val="0"/>
        <w:rPr>
          <w:rFonts w:ascii="Times New Roman" w:hAnsi="Times New Roman" w:cs="Times New Roman"/>
          <w:i/>
          <w:color w:val="000000" w:themeColor="text1"/>
          <w:sz w:val="24"/>
          <w:szCs w:val="24"/>
          <w:lang w:val="en-US"/>
        </w:rPr>
      </w:pPr>
      <w:r w:rsidRPr="007E7895">
        <w:rPr>
          <w:rFonts w:ascii="Times New Roman" w:eastAsia="Times New Roman" w:hAnsi="Times New Roman" w:cs="Times New Roman"/>
          <w:i/>
          <w:color w:val="000000" w:themeColor="text1"/>
          <w:sz w:val="24"/>
          <w:szCs w:val="24"/>
          <w:lang w:val="en-US"/>
        </w:rPr>
        <w:t>Mechanics</w:t>
      </w:r>
    </w:p>
    <w:p w14:paraId="0E033D62" w14:textId="77777777" w:rsidR="00C35748" w:rsidRPr="007E7895" w:rsidRDefault="00C35748" w:rsidP="00DA762E">
      <w:pPr>
        <w:pStyle w:val="ListParagraph"/>
        <w:numPr>
          <w:ilvl w:val="1"/>
          <w:numId w:val="7"/>
        </w:numPr>
        <w:tabs>
          <w:tab w:val="left" w:pos="0"/>
          <w:tab w:val="left" w:pos="0"/>
          <w:tab w:val="left" w:pos="0"/>
          <w:tab w:val="left" w:pos="0"/>
          <w:tab w:val="left" w:pos="0"/>
          <w:tab w:val="left" w:pos="0"/>
          <w:tab w:val="left" w:pos="0"/>
          <w:tab w:val="left" w:pos="1440"/>
        </w:tabs>
        <w:snapToGrid w:val="0"/>
        <w:spacing w:after="0" w:line="240" w:lineRule="auto"/>
        <w:contextualSpacing w:val="0"/>
        <w:rPr>
          <w:rFonts w:ascii="Times New Roman" w:hAnsi="Times New Roman" w:cs="Times New Roman"/>
          <w:i/>
          <w:color w:val="000000" w:themeColor="text1"/>
          <w:sz w:val="24"/>
          <w:szCs w:val="24"/>
          <w:lang w:val="en-US"/>
        </w:rPr>
      </w:pPr>
      <w:r w:rsidRPr="007E7895">
        <w:rPr>
          <w:rFonts w:ascii="Times New Roman" w:eastAsia="Times New Roman" w:hAnsi="Times New Roman" w:cs="Times New Roman"/>
          <w:i/>
          <w:color w:val="000000" w:themeColor="text1"/>
          <w:sz w:val="24"/>
          <w:szCs w:val="24"/>
          <w:lang w:val="en-US"/>
        </w:rPr>
        <w:t>Air traffic controllers</w:t>
      </w:r>
    </w:p>
    <w:p w14:paraId="2D568436" w14:textId="77777777" w:rsidR="00C35748" w:rsidRPr="007E7895" w:rsidRDefault="00C35748" w:rsidP="00DA762E">
      <w:pPr>
        <w:pStyle w:val="ListParagraph"/>
        <w:numPr>
          <w:ilvl w:val="0"/>
          <w:numId w:val="7"/>
        </w:numPr>
        <w:tabs>
          <w:tab w:val="left" w:pos="0"/>
          <w:tab w:val="left" w:pos="0"/>
          <w:tab w:val="left" w:pos="0"/>
          <w:tab w:val="left" w:pos="0"/>
          <w:tab w:val="left" w:pos="0"/>
          <w:tab w:val="left" w:pos="0"/>
          <w:tab w:val="left" w:pos="720"/>
        </w:tabs>
        <w:snapToGrid w:val="0"/>
        <w:spacing w:after="0" w:line="240" w:lineRule="auto"/>
        <w:contextualSpacing w:val="0"/>
        <w:rPr>
          <w:rFonts w:ascii="Times New Roman" w:hAnsi="Times New Roman" w:cs="Times New Roman"/>
          <w:color w:val="000000" w:themeColor="text1"/>
          <w:sz w:val="24"/>
          <w:szCs w:val="24"/>
          <w:lang w:val="en-US"/>
        </w:rPr>
      </w:pPr>
      <w:r w:rsidRPr="007E7895">
        <w:rPr>
          <w:rFonts w:ascii="Times New Roman" w:eastAsia="Times New Roman" w:hAnsi="Times New Roman" w:cs="Times New Roman"/>
          <w:color w:val="000000" w:themeColor="text1"/>
          <w:sz w:val="24"/>
          <w:szCs w:val="24"/>
          <w:lang w:val="en-US"/>
        </w:rPr>
        <w:t xml:space="preserve">  Regulator(s)</w:t>
      </w:r>
    </w:p>
    <w:p w14:paraId="6B1AE604" w14:textId="77777777" w:rsidR="00C35748" w:rsidRPr="007E7895" w:rsidRDefault="00C35748" w:rsidP="00C35748">
      <w:pPr>
        <w:snapToGrid w:val="0"/>
        <w:spacing w:after="0"/>
        <w:rPr>
          <w:color w:val="000000" w:themeColor="text1"/>
          <w:szCs w:val="24"/>
        </w:rPr>
      </w:pPr>
      <w:r w:rsidRPr="007E7895">
        <w:rPr>
          <w:color w:val="000000" w:themeColor="text1"/>
          <w:szCs w:val="24"/>
        </w:rPr>
        <w:t xml:space="preserve"> </w:t>
      </w:r>
    </w:p>
    <w:p w14:paraId="01F71A36" w14:textId="77777777" w:rsidR="00C35748" w:rsidRPr="007E7895" w:rsidRDefault="00C35748" w:rsidP="00347DD5">
      <w:pPr>
        <w:pStyle w:val="BodyText"/>
        <w:spacing w:after="120"/>
        <w:rPr>
          <w:color w:val="000000" w:themeColor="text1"/>
          <w:szCs w:val="24"/>
        </w:rPr>
      </w:pPr>
      <w:r w:rsidRPr="007E7895">
        <w:rPr>
          <w:color w:val="000000" w:themeColor="text1"/>
          <w:szCs w:val="24"/>
        </w:rPr>
        <w:t>They were able decrease the fatal accident rate with 83% in less than ten years.</w:t>
      </w:r>
    </w:p>
    <w:p w14:paraId="6523E857" w14:textId="3259BD00" w:rsidR="00C35748" w:rsidRPr="007E7895" w:rsidRDefault="00C35748" w:rsidP="00347DD5">
      <w:pPr>
        <w:pStyle w:val="BodyText"/>
        <w:spacing w:after="120"/>
        <w:ind w:firstLine="567"/>
        <w:rPr>
          <w:color w:val="000000" w:themeColor="text1"/>
          <w:szCs w:val="24"/>
        </w:rPr>
      </w:pPr>
      <w:r w:rsidRPr="007E7895">
        <w:rPr>
          <w:color w:val="000000" w:themeColor="text1"/>
          <w:szCs w:val="24"/>
        </w:rPr>
        <w:t xml:space="preserve">Another aviation industry example to learn from is the Collaborative Decision Making (CDM). It is similar to the CAST approach but is a more structured process. All the different stakeholders in the aviation system are engaged to participate in process to collaboratively make decisions that gains safety and efficiency. It creates win-win situations and increases the understanding of the different stakeholders’ perspectives. </w:t>
      </w:r>
      <w:proofErr w:type="spellStart"/>
      <w:r w:rsidRPr="007E7895">
        <w:rPr>
          <w:color w:val="000000" w:themeColor="text1"/>
          <w:szCs w:val="24"/>
        </w:rPr>
        <w:t>Eurocontrol</w:t>
      </w:r>
      <w:proofErr w:type="spellEnd"/>
      <w:r w:rsidRPr="007E7895">
        <w:rPr>
          <w:color w:val="000000" w:themeColor="text1"/>
          <w:szCs w:val="24"/>
        </w:rPr>
        <w:t xml:space="preserve"> </w:t>
      </w:r>
      <w:r w:rsidR="007B55DC">
        <w:rPr>
          <w:color w:val="000000" w:themeColor="text1"/>
          <w:szCs w:val="24"/>
        </w:rPr>
        <w:fldChar w:fldCharType="begin"/>
      </w:r>
      <w:r w:rsidR="00070702">
        <w:rPr>
          <w:color w:val="000000" w:themeColor="text1"/>
          <w:szCs w:val="24"/>
        </w:rPr>
        <w:instrText xml:space="preserve"> ADDIN ZOTERO_ITEM CSL_CITATION {"citationID":"bBQ2QFGQ","properties":{"formattedCitation":"[42]","plainCitation":"[42]","noteIndex":0},"citationItems":[{"id":1105,"uris":["http://zotero.org/users/6184040/items/YGGX4JLA"],"uri":["http://zotero.org/users/6184040/items/YGGX4JLA"],"itemData":{"id":1105,"type":"book","title":"Airport CDM Implementation – The Manual","author":[{"literal":"Eurocontrol"}]}}],"schema":"https://github.com/citation-style-language/schema/raw/master/csl-citation.json"} </w:instrText>
      </w:r>
      <w:r w:rsidR="007B55DC">
        <w:rPr>
          <w:color w:val="000000" w:themeColor="text1"/>
          <w:szCs w:val="24"/>
        </w:rPr>
        <w:fldChar w:fldCharType="separate"/>
      </w:r>
      <w:r w:rsidR="00070702" w:rsidRPr="00070702">
        <w:t>[42]</w:t>
      </w:r>
      <w:r w:rsidR="007B55DC">
        <w:rPr>
          <w:color w:val="000000" w:themeColor="text1"/>
          <w:szCs w:val="24"/>
        </w:rPr>
        <w:fldChar w:fldCharType="end"/>
      </w:r>
      <w:r w:rsidRPr="007E7895">
        <w:rPr>
          <w:color w:val="000000" w:themeColor="text1"/>
          <w:szCs w:val="24"/>
        </w:rPr>
        <w:t xml:space="preserve"> has used CDM with excellent safety, environmental and business results.   </w:t>
      </w:r>
    </w:p>
    <w:p w14:paraId="5464C463" w14:textId="76BC88BF" w:rsidR="00C35748" w:rsidRPr="007E7895" w:rsidRDefault="00C35748" w:rsidP="00347DD5">
      <w:pPr>
        <w:pStyle w:val="BodyText"/>
        <w:spacing w:after="120"/>
        <w:ind w:firstLine="567"/>
        <w:rPr>
          <w:color w:val="000000" w:themeColor="text1"/>
          <w:szCs w:val="24"/>
        </w:rPr>
      </w:pPr>
      <w:r w:rsidRPr="007E7895">
        <w:rPr>
          <w:color w:val="000000" w:themeColor="text1"/>
          <w:szCs w:val="24"/>
        </w:rPr>
        <w:t xml:space="preserve">From the Oil &amp; Gas industry in Norway lessons can be learned on how to increase safety with focus on the vendors/contractors. The different Oil &amp; Gas companies has created a joint Safety, Health and Environment Standard called NORSOK-SHE </w:t>
      </w:r>
      <w:r w:rsidR="005706FD">
        <w:rPr>
          <w:rStyle w:val="FootnoteReference"/>
          <w:color w:val="000000" w:themeColor="text1"/>
          <w:szCs w:val="24"/>
        </w:rPr>
        <w:footnoteReference w:id="11"/>
      </w:r>
      <w:r w:rsidRPr="007E7895">
        <w:rPr>
          <w:color w:val="000000" w:themeColor="text1"/>
          <w:szCs w:val="24"/>
        </w:rPr>
        <w:t xml:space="preserve">. This standard is used as a leading indicator for the contractor/vendors to self-evaluate their SHE performance. Each segment has for levels, which provides a good overview for the contractor what to strive for. </w:t>
      </w:r>
      <w:r w:rsidRPr="007E7895">
        <w:rPr>
          <w:color w:val="000000" w:themeColor="text1"/>
          <w:szCs w:val="24"/>
        </w:rPr>
        <w:lastRenderedPageBreak/>
        <w:t>The self-evaluation results are part of the contract arrangements, which adds a competitive element. This drives the contractor companies to focus on improving their SHE performance to become more attractive on the market. The Oil &amp; Gas companies performs audits to evaluate if the self-scoring is correct. The audit results are shared amongst the Oil &amp; Gas companies. This transparency reduces the contractor’s possibility to skew the self-scoring.</w:t>
      </w:r>
    </w:p>
    <w:p w14:paraId="05D0DBB0" w14:textId="77777777" w:rsidR="000C0211" w:rsidRPr="00747369" w:rsidRDefault="000C0211" w:rsidP="009B7873">
      <w:pPr>
        <w:pStyle w:val="BodyText"/>
      </w:pPr>
    </w:p>
    <w:p w14:paraId="63FA557C" w14:textId="330CBD78" w:rsidR="00B23C71" w:rsidRDefault="00B23C71" w:rsidP="00B23C71">
      <w:pPr>
        <w:pStyle w:val="Heading1"/>
      </w:pPr>
      <w:bookmarkStart w:id="1721" w:name="_Toc87627693"/>
      <w:r>
        <w:t>Conclusions</w:t>
      </w:r>
      <w:bookmarkEnd w:id="1717"/>
      <w:bookmarkEnd w:id="1721"/>
    </w:p>
    <w:p w14:paraId="0ACD6BDB" w14:textId="075E0A55" w:rsidR="00A00B21" w:rsidRDefault="00A00B21">
      <w:pPr>
        <w:overflowPunct/>
        <w:autoSpaceDE/>
        <w:autoSpaceDN/>
        <w:adjustRightInd/>
        <w:spacing w:after="160" w:line="259" w:lineRule="auto"/>
        <w:jc w:val="left"/>
        <w:textAlignment w:val="auto"/>
        <w:rPr>
          <w:lang w:val="en-US"/>
        </w:rPr>
      </w:pPr>
      <w:r>
        <w:br w:type="page"/>
      </w:r>
    </w:p>
    <w:p w14:paraId="15AE72A8" w14:textId="015ACA93" w:rsidR="00B23C71" w:rsidRDefault="00BD2901" w:rsidP="00BD2901">
      <w:pPr>
        <w:pStyle w:val="Heading1"/>
        <w:numPr>
          <w:ilvl w:val="0"/>
          <w:numId w:val="0"/>
        </w:numPr>
      </w:pPr>
      <w:bookmarkStart w:id="1722" w:name="_Toc87627694"/>
      <w:r>
        <w:lastRenderedPageBreak/>
        <w:t>APPENDIX</w:t>
      </w:r>
      <w:bookmarkEnd w:id="1722"/>
    </w:p>
    <w:p w14:paraId="6E43DDDF" w14:textId="77777777" w:rsidR="001D33B5" w:rsidRPr="00511F9D" w:rsidRDefault="001D33B5" w:rsidP="001D33B5">
      <w:pPr>
        <w:snapToGrid w:val="0"/>
        <w:rPr>
          <w:b/>
          <w:szCs w:val="24"/>
        </w:rPr>
      </w:pPr>
      <w:r w:rsidRPr="00511F9D">
        <w:rPr>
          <w:b/>
          <w:szCs w:val="24"/>
        </w:rPr>
        <w:t>Appendix-1 How four units at Fukushima-Daini escaped core damage</w:t>
      </w:r>
    </w:p>
    <w:p w14:paraId="3CA3B078" w14:textId="77777777" w:rsidR="001D33B5" w:rsidRPr="00511F9D" w:rsidRDefault="001D33B5" w:rsidP="001D33B5">
      <w:pPr>
        <w:pStyle w:val="Default"/>
        <w:snapToGrid w:val="0"/>
        <w:rPr>
          <w:rFonts w:ascii="Times New Roman" w:hAnsi="Times New Roman" w:cs="Times New Roman"/>
        </w:rPr>
      </w:pPr>
    </w:p>
    <w:p w14:paraId="6EB5BA31" w14:textId="3E77E111" w:rsidR="001D33B5" w:rsidRPr="00511F9D" w:rsidRDefault="001D33B5" w:rsidP="00347DD5">
      <w:pPr>
        <w:pStyle w:val="BodyText"/>
        <w:spacing w:after="120"/>
        <w:ind w:firstLine="567"/>
      </w:pPr>
      <w:r w:rsidRPr="00511F9D">
        <w:t>Fukushima Daini, located 12 km south of Daiichi, consists of four BWR 5 reactors. All four units were operating at full power when earthquake hit and triggered automatic scram. Tsunami damage was less severe as compared with Daiichi. AC and DC power were available (one local AC line was intact, Electric Equipment Room was not flooded</w:t>
      </w:r>
      <w:r w:rsidR="00867DD7">
        <w:t xml:space="preserve"> </w:t>
      </w:r>
      <w:r w:rsidR="00511F9D">
        <w:t xml:space="preserve">except unit </w:t>
      </w:r>
      <w:r w:rsidR="00867DD7">
        <w:t>1</w:t>
      </w:r>
      <w:r w:rsidRPr="00511F9D">
        <w:t xml:space="preserve">), but, as was identified by immediate walkdown, UHS (Ultimate Heat Sink) was lost for unit 1,2,4 due to damage to seawater pump motors by tsunami. </w:t>
      </w:r>
    </w:p>
    <w:p w14:paraId="50DE786D" w14:textId="592E29F0" w:rsidR="001D33B5" w:rsidRPr="00511F9D" w:rsidRDefault="001D33B5" w:rsidP="00347DD5">
      <w:pPr>
        <w:pStyle w:val="BodyText"/>
        <w:spacing w:after="120"/>
        <w:ind w:firstLine="567"/>
      </w:pPr>
      <w:r w:rsidRPr="00511F9D">
        <w:rPr>
          <w:bCs/>
        </w:rPr>
        <w:t xml:space="preserve">Senior site managers decided on a strategy to depressurizing the reactors </w:t>
      </w:r>
      <w:r w:rsidRPr="00511F9D">
        <w:t xml:space="preserve">using the Safety Relief Valves and to maintain reactor coolant inventory by RCIC (Reactor Core Isolation Cooling), and later HPCS (High Pressure Core Spray) and MUWC (MakeUp Water Cndensate). However, with no decay heat removal capability, Suppression Pool water temperatures on Units 1, 2 and 4 gradually increased. </w:t>
      </w:r>
      <w:r w:rsidRPr="00511F9D">
        <w:rPr>
          <w:bCs/>
        </w:rPr>
        <w:t>Having</w:t>
      </w:r>
      <w:r w:rsidRPr="00511F9D">
        <w:t xml:space="preserve"> in-depth knowledge of the electrical distribution system</w:t>
      </w:r>
      <w:r w:rsidRPr="00511F9D">
        <w:rPr>
          <w:bCs/>
        </w:rPr>
        <w:t xml:space="preserve"> including plant manager</w:t>
      </w:r>
      <w:r w:rsidRPr="00511F9D">
        <w:t xml:space="preserve">, they </w:t>
      </w:r>
      <w:r w:rsidRPr="00511F9D">
        <w:rPr>
          <w:bCs/>
        </w:rPr>
        <w:t xml:space="preserve">(Mr. Masuda with background in Electric Engineering) </w:t>
      </w:r>
      <w:r w:rsidRPr="00511F9D">
        <w:t>developed plans for emergency procurement and replacement of seawater pump motors and installation of temporary cable to power the pumps from electrical distribution panels in other buildings (</w:t>
      </w:r>
      <w:r w:rsidR="00515397">
        <w:t xml:space="preserve">the total length of installed cable was </w:t>
      </w:r>
      <w:r w:rsidRPr="00511F9D">
        <w:t xml:space="preserve">9km) </w:t>
      </w:r>
      <w:r w:rsidR="00E549C0">
        <w:t>located at the ocean front</w:t>
      </w:r>
      <w:r w:rsidRPr="00511F9D">
        <w:t>. Corporate procurement personnel located motors at the Toshiba factory and at the TEPCO’s Kashiwazaki Kariwa Nuclear Power Station (more than 300km away), identified a source of the needed cable, and arranged for transportation to the site. Transportation was not easy due to some roads damaged by the earthquake and helicopter was also used. Installation of approximately 9 km of temporary cables was completed in one day, which would usually necessitated 20 personnel for a month, and replacement of pump motors finished as well. Beginning in the early morning of 14 March, decay heat removal was sequentially restored until cold shutdown of all units on 15 March.</w:t>
      </w:r>
    </w:p>
    <w:p w14:paraId="104BF5F9" w14:textId="03631AEC" w:rsidR="001D33B5" w:rsidRPr="00511F9D" w:rsidRDefault="001D33B5" w:rsidP="00347DD5">
      <w:pPr>
        <w:pStyle w:val="BodyText"/>
        <w:spacing w:after="120"/>
        <w:ind w:firstLine="567"/>
        <w:rPr>
          <w:szCs w:val="24"/>
        </w:rPr>
      </w:pPr>
      <w:r w:rsidRPr="00511F9D">
        <w:rPr>
          <w:b/>
          <w:bCs/>
          <w:szCs w:val="24"/>
        </w:rPr>
        <w:t>I</w:t>
      </w:r>
      <w:r w:rsidRPr="00511F9D">
        <w:rPr>
          <w:bCs/>
          <w:szCs w:val="24"/>
        </w:rPr>
        <w:t>NPO Lesson Learned report</w:t>
      </w:r>
      <w:r w:rsidR="00D80AD2">
        <w:rPr>
          <w:bCs/>
          <w:szCs w:val="24"/>
        </w:rPr>
        <w:t xml:space="preserve"> </w:t>
      </w:r>
      <w:r w:rsidR="00D80AD2">
        <w:rPr>
          <w:bCs/>
          <w:szCs w:val="24"/>
        </w:rPr>
        <w:fldChar w:fldCharType="begin"/>
      </w:r>
      <w:r w:rsidR="00D80AD2">
        <w:rPr>
          <w:bCs/>
          <w:szCs w:val="24"/>
        </w:rPr>
        <w:instrText xml:space="preserve"> ADDIN ZOTERO_ITEM CSL_CITATION {"citationID":"0ttJvZEr","properties":{"formattedCitation":"[7]","plainCitation":"[7]","noteIndex":0},"citationItems":[{"id":1064,"uris":["http://zotero.org/users/6184040/items/KGHCPR5X"],"uri":["http://zotero.org/users/6184040/items/KGHCPR5X"],"itemData":{"id":1064,"type":"book","collection-number":"INPO 11-005 Addendum","title":"Lessons Learned from th Fukushima Daiichi Nuclear Power Station","author":[{"literal":"INSTITUTE OF NUCLEAR POWER OPERATIONS"}],"issued":{"date-parts":[["2012",8]]}}}],"schema":"https://github.com/citation-style-language/schema/raw/master/csl-citation.json"} </w:instrText>
      </w:r>
      <w:r w:rsidR="00D80AD2">
        <w:rPr>
          <w:bCs/>
          <w:szCs w:val="24"/>
        </w:rPr>
        <w:fldChar w:fldCharType="separate"/>
      </w:r>
      <w:r w:rsidR="00D80AD2" w:rsidRPr="00D80AD2">
        <w:t>[7]</w:t>
      </w:r>
      <w:r w:rsidR="00D80AD2">
        <w:rPr>
          <w:bCs/>
          <w:szCs w:val="24"/>
        </w:rPr>
        <w:fldChar w:fldCharType="end"/>
      </w:r>
      <w:r w:rsidRPr="00511F9D">
        <w:rPr>
          <w:bCs/>
          <w:szCs w:val="24"/>
        </w:rPr>
        <w:t xml:space="preserve"> recommends leaders to establish, early in the response to an event, clear strategies for core cooling and recovery actions, and to communicate to control room and ERC personnel while establishing priorities and providing direction and oversight to enable the strategy to be implemented effectively.</w:t>
      </w:r>
    </w:p>
    <w:p w14:paraId="4D280CCD" w14:textId="77777777" w:rsidR="001D33B5" w:rsidRPr="00511F9D" w:rsidRDefault="001D33B5" w:rsidP="00347DD5">
      <w:pPr>
        <w:pStyle w:val="BodyText"/>
        <w:spacing w:after="120"/>
        <w:ind w:firstLine="567"/>
        <w:rPr>
          <w:szCs w:val="24"/>
        </w:rPr>
      </w:pPr>
      <w:r w:rsidRPr="00511F9D">
        <w:rPr>
          <w:szCs w:val="24"/>
        </w:rPr>
        <w:t>The plant manager later raised success factors for crisis management at Fukushima Daini as:</w:t>
      </w:r>
    </w:p>
    <w:p w14:paraId="147FFFEC" w14:textId="77777777" w:rsidR="001D33B5" w:rsidRPr="00F41E3F" w:rsidRDefault="001D33B5" w:rsidP="00AC768F">
      <w:pPr>
        <w:pStyle w:val="ListParagraph"/>
        <w:widowControl w:val="0"/>
        <w:numPr>
          <w:ilvl w:val="0"/>
          <w:numId w:val="23"/>
        </w:numPr>
        <w:overflowPunct/>
        <w:autoSpaceDE/>
        <w:autoSpaceDN/>
        <w:adjustRightInd/>
        <w:snapToGrid w:val="0"/>
        <w:spacing w:after="0"/>
        <w:textAlignment w:val="auto"/>
        <w:rPr>
          <w:rFonts w:ascii="Times New Roman" w:hAnsi="Times New Roman" w:cs="Times New Roman"/>
          <w:sz w:val="24"/>
          <w:szCs w:val="24"/>
        </w:rPr>
      </w:pPr>
      <w:r w:rsidRPr="00F41E3F">
        <w:rPr>
          <w:rFonts w:ascii="Times New Roman" w:hAnsi="Times New Roman" w:cs="Times New Roman"/>
          <w:sz w:val="24"/>
          <w:szCs w:val="24"/>
        </w:rPr>
        <w:t>Team work &amp; Dedication</w:t>
      </w:r>
    </w:p>
    <w:p w14:paraId="0D89C659" w14:textId="77777777" w:rsidR="001D33B5" w:rsidRPr="00F41E3F" w:rsidRDefault="001D33B5" w:rsidP="00AC768F">
      <w:pPr>
        <w:pStyle w:val="ListParagraph"/>
        <w:widowControl w:val="0"/>
        <w:numPr>
          <w:ilvl w:val="0"/>
          <w:numId w:val="23"/>
        </w:numPr>
        <w:overflowPunct/>
        <w:autoSpaceDE/>
        <w:autoSpaceDN/>
        <w:adjustRightInd/>
        <w:snapToGrid w:val="0"/>
        <w:spacing w:after="0"/>
        <w:textAlignment w:val="auto"/>
        <w:rPr>
          <w:rFonts w:ascii="Times New Roman" w:hAnsi="Times New Roman" w:cs="Times New Roman"/>
          <w:sz w:val="24"/>
          <w:szCs w:val="24"/>
        </w:rPr>
      </w:pPr>
      <w:r w:rsidRPr="00F41E3F">
        <w:rPr>
          <w:rFonts w:ascii="Times New Roman" w:hAnsi="Times New Roman" w:cs="Times New Roman"/>
          <w:sz w:val="24"/>
          <w:szCs w:val="24"/>
        </w:rPr>
        <w:t>Sharing information</w:t>
      </w:r>
    </w:p>
    <w:p w14:paraId="798AEDFD" w14:textId="77777777" w:rsidR="001D33B5" w:rsidRPr="00F41E3F" w:rsidRDefault="001D33B5" w:rsidP="00AC768F">
      <w:pPr>
        <w:pStyle w:val="ListParagraph"/>
        <w:widowControl w:val="0"/>
        <w:numPr>
          <w:ilvl w:val="0"/>
          <w:numId w:val="23"/>
        </w:numPr>
        <w:overflowPunct/>
        <w:autoSpaceDE/>
        <w:autoSpaceDN/>
        <w:adjustRightInd/>
        <w:snapToGrid w:val="0"/>
        <w:spacing w:after="120"/>
        <w:ind w:left="924" w:hanging="357"/>
        <w:textAlignment w:val="auto"/>
        <w:rPr>
          <w:rFonts w:ascii="Times New Roman" w:hAnsi="Times New Roman" w:cs="Times New Roman"/>
          <w:sz w:val="24"/>
          <w:szCs w:val="24"/>
        </w:rPr>
      </w:pPr>
      <w:r w:rsidRPr="00F41E3F">
        <w:rPr>
          <w:rFonts w:ascii="Times New Roman" w:hAnsi="Times New Roman" w:cs="Times New Roman"/>
          <w:sz w:val="24"/>
          <w:szCs w:val="24"/>
        </w:rPr>
        <w:t>Making everyone feel that they are making progress</w:t>
      </w:r>
    </w:p>
    <w:p w14:paraId="61D902D0" w14:textId="77777777" w:rsidR="001D33B5" w:rsidRPr="00511F9D" w:rsidRDefault="001D33B5" w:rsidP="00347DD5">
      <w:pPr>
        <w:pStyle w:val="BodyText"/>
        <w:spacing w:after="120"/>
        <w:ind w:firstLine="567"/>
        <w:rPr>
          <w:szCs w:val="24"/>
        </w:rPr>
      </w:pPr>
      <w:r w:rsidRPr="00347DD5">
        <w:rPr>
          <w:szCs w:val="24"/>
        </w:rPr>
        <w:t>Harvard Business School picked up this in the case study as “adaptive behavior” called “sense-</w:t>
      </w:r>
      <w:r w:rsidRPr="00511F9D">
        <w:rPr>
          <w:szCs w:val="24"/>
        </w:rPr>
        <w:t>making” and described the plant manager offered data, giving the workers an opportunity to confront and process the uncertainty for themselves.</w:t>
      </w:r>
    </w:p>
    <w:p w14:paraId="5D4DC1CC" w14:textId="77777777" w:rsidR="001D33B5" w:rsidRPr="00511F9D" w:rsidRDefault="001D33B5" w:rsidP="001D33B5">
      <w:pPr>
        <w:snapToGrid w:val="0"/>
        <w:rPr>
          <w:szCs w:val="24"/>
        </w:rPr>
      </w:pPr>
    </w:p>
    <w:p w14:paraId="02D27C54" w14:textId="0959EDA2" w:rsidR="00C868C5" w:rsidRDefault="00C868C5">
      <w:pPr>
        <w:overflowPunct/>
        <w:autoSpaceDE/>
        <w:autoSpaceDN/>
        <w:adjustRightInd/>
        <w:spacing w:after="160" w:line="259" w:lineRule="auto"/>
        <w:jc w:val="left"/>
        <w:textAlignment w:val="auto"/>
        <w:rPr>
          <w:bCs/>
          <w:szCs w:val="24"/>
        </w:rPr>
      </w:pPr>
      <w:r>
        <w:rPr>
          <w:bCs/>
          <w:szCs w:val="24"/>
        </w:rPr>
        <w:br w:type="page"/>
      </w:r>
    </w:p>
    <w:p w14:paraId="66AEA157" w14:textId="22FBCA53" w:rsidR="00AA1A0A" w:rsidRPr="008F7291" w:rsidRDefault="00AA1A0A" w:rsidP="00AA1A0A">
      <w:pPr>
        <w:snapToGrid w:val="0"/>
        <w:rPr>
          <w:b/>
          <w:szCs w:val="24"/>
        </w:rPr>
      </w:pPr>
      <w:r w:rsidRPr="008F7291">
        <w:rPr>
          <w:b/>
          <w:szCs w:val="24"/>
        </w:rPr>
        <w:lastRenderedPageBreak/>
        <w:t>Appendix 5-1 ISiD-related reform in Japan</w:t>
      </w:r>
    </w:p>
    <w:p w14:paraId="547082B0" w14:textId="77777777" w:rsidR="00AA1A0A" w:rsidRPr="0097439D" w:rsidRDefault="00AA1A0A" w:rsidP="00AA1A0A">
      <w:pPr>
        <w:snapToGrid w:val="0"/>
        <w:rPr>
          <w:bCs/>
          <w:szCs w:val="24"/>
        </w:rPr>
      </w:pPr>
    </w:p>
    <w:p w14:paraId="7B526BFB" w14:textId="77777777" w:rsidR="00AA1A0A" w:rsidRPr="0097439D" w:rsidRDefault="00AA1A0A" w:rsidP="00AA1A0A">
      <w:pPr>
        <w:snapToGrid w:val="0"/>
        <w:rPr>
          <w:bCs/>
          <w:szCs w:val="24"/>
        </w:rPr>
      </w:pPr>
      <w:r w:rsidRPr="0097439D">
        <w:rPr>
          <w:bCs/>
          <w:szCs w:val="24"/>
        </w:rPr>
        <w:t>1. TEPCO’s reform plan and oversight</w:t>
      </w:r>
    </w:p>
    <w:p w14:paraId="2405786B" w14:textId="45C327CC" w:rsidR="00AA1A0A" w:rsidRPr="0097439D" w:rsidRDefault="00AA1A0A" w:rsidP="008F7291">
      <w:pPr>
        <w:pStyle w:val="BodyText"/>
        <w:spacing w:after="120"/>
        <w:ind w:firstLine="567"/>
        <w:rPr>
          <w:bCs/>
          <w:szCs w:val="24"/>
        </w:rPr>
      </w:pPr>
      <w:r w:rsidRPr="008F7291">
        <w:rPr>
          <w:szCs w:val="24"/>
        </w:rPr>
        <w:t>Following</w:t>
      </w:r>
      <w:r w:rsidRPr="0097439D">
        <w:rPr>
          <w:bCs/>
          <w:szCs w:val="24"/>
        </w:rPr>
        <w:t xml:space="preserve"> the completion of the Fukushima-Daiichi Accident analysis report</w:t>
      </w:r>
      <w:r w:rsidR="00051080">
        <w:rPr>
          <w:bCs/>
          <w:szCs w:val="24"/>
        </w:rPr>
        <w:t xml:space="preserve"> </w:t>
      </w:r>
      <w:r w:rsidR="00F36F06">
        <w:rPr>
          <w:bCs/>
          <w:szCs w:val="24"/>
        </w:rPr>
        <w:fldChar w:fldCharType="begin"/>
      </w:r>
      <w:r w:rsidR="00F36F06">
        <w:rPr>
          <w:bCs/>
          <w:szCs w:val="24"/>
        </w:rPr>
        <w:instrText xml:space="preserve"> ADDIN ZOTERO_ITEM CSL_CITATION {"citationID":"xpS8x4aA","properties":{"formattedCitation":"[11]","plainCitation":"[11]","noteIndex":0},"citationItems":[{"id":1069,"uris":["http://zotero.org/users/6184040/items/YX35BFJT"],"uri":["http://zotero.org/users/6184040/items/YX35BFJT"],"itemData":{"id":1069,"type":"book","title":"Fukushima Nuclear Accident Analysis Report","author":[{"literal":"Tokyo Electric Power Company, Inc."}],"issued":{"date-parts":[["2012",6,20]]}}}],"schema":"https://github.com/citation-style-language/schema/raw/master/csl-citation.json"} </w:instrText>
      </w:r>
      <w:r w:rsidR="00F36F06">
        <w:rPr>
          <w:bCs/>
          <w:szCs w:val="24"/>
        </w:rPr>
        <w:fldChar w:fldCharType="separate"/>
      </w:r>
      <w:r w:rsidR="00F36F06" w:rsidRPr="00F36F06">
        <w:t>[11]</w:t>
      </w:r>
      <w:r w:rsidR="00F36F06">
        <w:rPr>
          <w:bCs/>
          <w:szCs w:val="24"/>
        </w:rPr>
        <w:fldChar w:fldCharType="end"/>
      </w:r>
      <w:r w:rsidRPr="0097439D">
        <w:rPr>
          <w:bCs/>
          <w:szCs w:val="24"/>
        </w:rPr>
        <w:t>, TEPCO released its reform plan</w:t>
      </w:r>
      <w:r w:rsidR="00051080">
        <w:rPr>
          <w:bCs/>
          <w:szCs w:val="24"/>
        </w:rPr>
        <w:t xml:space="preserve"> </w:t>
      </w:r>
      <w:r w:rsidR="00051080">
        <w:rPr>
          <w:bCs/>
          <w:szCs w:val="24"/>
        </w:rPr>
        <w:fldChar w:fldCharType="begin"/>
      </w:r>
      <w:r w:rsidR="00051080">
        <w:rPr>
          <w:bCs/>
          <w:szCs w:val="24"/>
        </w:rPr>
        <w:instrText xml:space="preserve"> ADDIN ZOTERO_ITEM CSL_CITATION {"citationID":"KqX0cJKS","properties":{"formattedCitation":"[5]","plainCitation":"[5]","noteIndex":0},"citationItems":[{"id":1062,"uris":["http://zotero.org/users/6184040/items/3Z6ZN28N"],"uri":["http://zotero.org/users/6184040/items/3Z6ZN28N"],"itemData":{"id":1062,"type":"book","title":"Fukushima Nuclear Accident Summary  &amp; Nuclear Safety Reform Plan","author":[{"literal":"Tokyo Electric Power Company, Inc."}],"issued":{"date-parts":[["2013",3,29]]}}}],"schema":"https://github.com/citation-style-language/schema/raw/master/csl-citation.json"} </w:instrText>
      </w:r>
      <w:r w:rsidR="00051080">
        <w:rPr>
          <w:bCs/>
          <w:szCs w:val="24"/>
        </w:rPr>
        <w:fldChar w:fldCharType="separate"/>
      </w:r>
      <w:r w:rsidR="00051080" w:rsidRPr="00051080">
        <w:t>[5]</w:t>
      </w:r>
      <w:r w:rsidR="00051080">
        <w:rPr>
          <w:bCs/>
          <w:szCs w:val="24"/>
        </w:rPr>
        <w:fldChar w:fldCharType="end"/>
      </w:r>
      <w:r w:rsidRPr="0097439D">
        <w:rPr>
          <w:bCs/>
          <w:szCs w:val="24"/>
        </w:rPr>
        <w:t xml:space="preserve"> that consists of a) reflections on tsunami assumptions, b) Lessons Learned based on the analysis of TEPCO’s response to the Accident, c)analysis of the root cause of the Accident, and lastly d) reform plan. The root cause analysis focused on its organizational and cultural aspects and described, inter alia;</w:t>
      </w:r>
    </w:p>
    <w:p w14:paraId="00E95AA5" w14:textId="77777777" w:rsidR="00AA1A0A" w:rsidRPr="0097439D" w:rsidRDefault="00AA1A0A" w:rsidP="00AC768F">
      <w:pPr>
        <w:pStyle w:val="ListParagraph"/>
        <w:widowControl w:val="0"/>
        <w:numPr>
          <w:ilvl w:val="0"/>
          <w:numId w:val="23"/>
        </w:numPr>
        <w:overflowPunct/>
        <w:autoSpaceDE/>
        <w:autoSpaceDN/>
        <w:adjustRightInd/>
        <w:snapToGrid w:val="0"/>
        <w:spacing w:after="0"/>
        <w:textAlignment w:val="auto"/>
        <w:rPr>
          <w:rFonts w:ascii="Times New Roman" w:eastAsia="Times New Roman" w:hAnsi="Times New Roman" w:cs="Times New Roman"/>
          <w:sz w:val="24"/>
          <w:szCs w:val="24"/>
        </w:rPr>
      </w:pPr>
      <w:r w:rsidRPr="0097439D">
        <w:rPr>
          <w:rFonts w:ascii="Times New Roman" w:eastAsia="Times New Roman" w:hAnsi="Times New Roman" w:cs="Times New Roman"/>
          <w:sz w:val="24"/>
          <w:szCs w:val="24"/>
        </w:rPr>
        <w:t xml:space="preserve">Safety culture: </w:t>
      </w:r>
      <w:r w:rsidRPr="0097439D">
        <w:rPr>
          <w:rFonts w:ascii="Times New Roman" w:eastAsia="Times New Roman" w:hAnsi="Times New Roman" w:cs="Times New Roman"/>
          <w:sz w:val="24"/>
          <w:szCs w:val="24"/>
          <w:lang w:val="en-US"/>
        </w:rPr>
        <w:t>Corporate senior management failed to</w:t>
      </w:r>
      <w:r w:rsidRPr="0097439D">
        <w:rPr>
          <w:rFonts w:ascii="Times New Roman" w:eastAsia="Times New Roman" w:hAnsi="Times New Roman" w:cs="Times New Roman"/>
          <w:sz w:val="24"/>
          <w:szCs w:val="24"/>
        </w:rPr>
        <w:t xml:space="preserve"> place high priority on nuclear safety</w:t>
      </w:r>
    </w:p>
    <w:p w14:paraId="13472125" w14:textId="77777777" w:rsidR="00AA1A0A" w:rsidRPr="0097439D" w:rsidRDefault="00AA1A0A" w:rsidP="00AC768F">
      <w:pPr>
        <w:pStyle w:val="ListParagraph"/>
        <w:widowControl w:val="0"/>
        <w:numPr>
          <w:ilvl w:val="0"/>
          <w:numId w:val="23"/>
        </w:numPr>
        <w:overflowPunct/>
        <w:autoSpaceDE/>
        <w:autoSpaceDN/>
        <w:adjustRightInd/>
        <w:snapToGrid w:val="0"/>
        <w:spacing w:after="0"/>
        <w:textAlignment w:val="auto"/>
        <w:rPr>
          <w:rFonts w:ascii="Times New Roman" w:eastAsia="Times New Roman" w:hAnsi="Times New Roman" w:cs="Times New Roman"/>
          <w:sz w:val="24"/>
          <w:szCs w:val="24"/>
        </w:rPr>
      </w:pPr>
      <w:r w:rsidRPr="0097439D">
        <w:rPr>
          <w:rFonts w:ascii="Times New Roman" w:eastAsia="Times New Roman" w:hAnsi="Times New Roman" w:cs="Times New Roman"/>
          <w:sz w:val="24"/>
          <w:szCs w:val="24"/>
        </w:rPr>
        <w:t>Outsourcing and competence: High reliance on Contractors eroded technical competence, knowledge of plan design and ownership</w:t>
      </w:r>
    </w:p>
    <w:p w14:paraId="2ACF3A92" w14:textId="77777777" w:rsidR="00AA1A0A" w:rsidRPr="0097439D" w:rsidRDefault="00AA1A0A" w:rsidP="00AC768F">
      <w:pPr>
        <w:pStyle w:val="ListParagraph"/>
        <w:widowControl w:val="0"/>
        <w:numPr>
          <w:ilvl w:val="0"/>
          <w:numId w:val="23"/>
        </w:numPr>
        <w:overflowPunct/>
        <w:autoSpaceDE/>
        <w:autoSpaceDN/>
        <w:adjustRightInd/>
        <w:snapToGrid w:val="0"/>
        <w:spacing w:after="0"/>
        <w:textAlignment w:val="auto"/>
        <w:rPr>
          <w:rFonts w:ascii="Times New Roman" w:eastAsia="Times New Roman" w:hAnsi="Times New Roman" w:cs="Times New Roman"/>
          <w:sz w:val="24"/>
          <w:szCs w:val="24"/>
        </w:rPr>
      </w:pPr>
      <w:r w:rsidRPr="0097439D">
        <w:rPr>
          <w:rFonts w:ascii="Times New Roman" w:eastAsia="Times New Roman" w:hAnsi="Times New Roman" w:cs="Times New Roman"/>
          <w:sz w:val="24"/>
          <w:szCs w:val="24"/>
        </w:rPr>
        <w:t>Communication: Low level of risk communication with local government and communities</w:t>
      </w:r>
    </w:p>
    <w:p w14:paraId="6B06C5DF" w14:textId="1C022697" w:rsidR="00AA1A0A" w:rsidRPr="0097439D" w:rsidRDefault="00AA1A0A" w:rsidP="008F7291">
      <w:pPr>
        <w:pStyle w:val="BodyText"/>
        <w:spacing w:after="120"/>
        <w:ind w:firstLine="567"/>
        <w:rPr>
          <w:szCs w:val="24"/>
        </w:rPr>
      </w:pPr>
      <w:r w:rsidRPr="0097439D">
        <w:rPr>
          <w:szCs w:val="24"/>
        </w:rPr>
        <w:t>With the above as the background, TEPCO’s reform plan included many elements such as safety culture, education &amp; training, oversight, dialogue along the line of organizational hierarchy, defense-in-depth, risk communicator system, realigned Incident Command System, technical competence.</w:t>
      </w:r>
    </w:p>
    <w:p w14:paraId="7DE1E180" w14:textId="0A4428CD" w:rsidR="00AA1A0A" w:rsidRPr="0097439D" w:rsidRDefault="00AA1A0A" w:rsidP="008F7291">
      <w:pPr>
        <w:pStyle w:val="BodyText"/>
        <w:spacing w:after="120"/>
        <w:ind w:firstLine="567"/>
        <w:rPr>
          <w:szCs w:val="24"/>
        </w:rPr>
      </w:pPr>
      <w:r w:rsidRPr="0097439D">
        <w:rPr>
          <w:bCs/>
          <w:szCs w:val="24"/>
        </w:rPr>
        <w:t xml:space="preserve">Besides setting internal oversite office, TEPCO seeked for advices from </w:t>
      </w:r>
      <w:r w:rsidRPr="0097439D">
        <w:rPr>
          <w:szCs w:val="24"/>
        </w:rPr>
        <w:t>Nuclear Safety Advisory Board named “</w:t>
      </w:r>
      <w:r w:rsidRPr="0097439D">
        <w:rPr>
          <w:bCs/>
          <w:szCs w:val="24"/>
        </w:rPr>
        <w:t xml:space="preserve">Nuclear Reform Monitoring Committee”, which was established in 2012 to </w:t>
      </w:r>
      <w:r w:rsidRPr="0097439D">
        <w:rPr>
          <w:szCs w:val="24"/>
        </w:rPr>
        <w:t>monitor and advice TEPCO’s “safety reform” activities to achieve goals in safety culture, technical competence and communication with outside. The board consists of several members, mostly from outside of Japan including ex-chairman of USNRC. Its quarterly report is available from http://www.nrmc.jp/en/.</w:t>
      </w:r>
    </w:p>
    <w:p w14:paraId="7B509F82" w14:textId="25BC39DD" w:rsidR="006A0659" w:rsidRDefault="006A0659" w:rsidP="00AA1A0A">
      <w:pPr>
        <w:snapToGrid w:val="0"/>
        <w:rPr>
          <w:bCs/>
          <w:szCs w:val="24"/>
        </w:rPr>
      </w:pPr>
    </w:p>
    <w:p w14:paraId="41A22AB6" w14:textId="0723741D" w:rsidR="006A0659" w:rsidRDefault="003B5E23" w:rsidP="00AA1A0A">
      <w:pPr>
        <w:snapToGrid w:val="0"/>
        <w:rPr>
          <w:bCs/>
          <w:szCs w:val="24"/>
        </w:rPr>
      </w:pPr>
      <w:r w:rsidRPr="0097439D">
        <w:rPr>
          <w:noProof/>
          <w:szCs w:val="24"/>
          <w:u w:val="single"/>
        </w:rPr>
        <w:drawing>
          <wp:anchor distT="0" distB="0" distL="114300" distR="114300" simplePos="0" relativeHeight="251658246" behindDoc="0" locked="0" layoutInCell="1" allowOverlap="1" wp14:anchorId="6C52289D" wp14:editId="4B27B700">
            <wp:simplePos x="0" y="0"/>
            <wp:positionH relativeFrom="column">
              <wp:posOffset>1094931</wp:posOffset>
            </wp:positionH>
            <wp:positionV relativeFrom="paragraph">
              <wp:posOffset>47613</wp:posOffset>
            </wp:positionV>
            <wp:extent cx="3230880" cy="1983105"/>
            <wp:effectExtent l="0" t="0" r="0" b="0"/>
            <wp:wrapSquare wrapText="bothSides"/>
            <wp:docPr id="12" name="図 4">
              <a:extLst xmlns:a="http://schemas.openxmlformats.org/drawingml/2006/main">
                <a:ext uri="{FF2B5EF4-FFF2-40B4-BE49-F238E27FC236}">
                  <a16:creationId xmlns:a16="http://schemas.microsoft.com/office/drawing/2014/main" id="{EA49F59E-CDC5-C141-8E49-0E62970780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EA49F59E-CDC5-C141-8E49-0E6297078047}"/>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230880" cy="1983105"/>
                    </a:xfrm>
                    <a:prstGeom prst="rect">
                      <a:avLst/>
                    </a:prstGeom>
                  </pic:spPr>
                </pic:pic>
              </a:graphicData>
            </a:graphic>
            <wp14:sizeRelH relativeFrom="page">
              <wp14:pctWidth>0</wp14:pctWidth>
            </wp14:sizeRelH>
            <wp14:sizeRelV relativeFrom="page">
              <wp14:pctHeight>0</wp14:pctHeight>
            </wp14:sizeRelV>
          </wp:anchor>
        </w:drawing>
      </w:r>
    </w:p>
    <w:p w14:paraId="024401BE" w14:textId="2DDF3AF1" w:rsidR="006A0659" w:rsidRDefault="006A0659" w:rsidP="00AA1A0A">
      <w:pPr>
        <w:snapToGrid w:val="0"/>
        <w:rPr>
          <w:bCs/>
          <w:szCs w:val="24"/>
        </w:rPr>
      </w:pPr>
    </w:p>
    <w:p w14:paraId="52769163" w14:textId="098B5550" w:rsidR="006A0659" w:rsidRDefault="006A0659" w:rsidP="00AA1A0A">
      <w:pPr>
        <w:snapToGrid w:val="0"/>
        <w:rPr>
          <w:bCs/>
          <w:szCs w:val="24"/>
        </w:rPr>
      </w:pPr>
    </w:p>
    <w:p w14:paraId="327708EB" w14:textId="1AB63CA5" w:rsidR="00AA1A0A" w:rsidRDefault="00AA1A0A" w:rsidP="00AA1A0A">
      <w:pPr>
        <w:snapToGrid w:val="0"/>
        <w:rPr>
          <w:bCs/>
          <w:szCs w:val="24"/>
        </w:rPr>
      </w:pPr>
    </w:p>
    <w:p w14:paraId="3877A132" w14:textId="20CC820A" w:rsidR="002F1F99" w:rsidRDefault="002F1F99" w:rsidP="00AA1A0A">
      <w:pPr>
        <w:snapToGrid w:val="0"/>
        <w:rPr>
          <w:bCs/>
          <w:szCs w:val="24"/>
        </w:rPr>
      </w:pPr>
    </w:p>
    <w:p w14:paraId="33F496F4" w14:textId="6A569E78" w:rsidR="003B5E23" w:rsidRDefault="003B5E23" w:rsidP="00AA1A0A">
      <w:pPr>
        <w:snapToGrid w:val="0"/>
        <w:rPr>
          <w:bCs/>
          <w:szCs w:val="24"/>
        </w:rPr>
      </w:pPr>
    </w:p>
    <w:p w14:paraId="1818398F" w14:textId="353118B5" w:rsidR="003B5E23" w:rsidRDefault="003B5E23" w:rsidP="00AA1A0A">
      <w:pPr>
        <w:snapToGrid w:val="0"/>
        <w:rPr>
          <w:bCs/>
          <w:szCs w:val="24"/>
        </w:rPr>
      </w:pPr>
    </w:p>
    <w:p w14:paraId="6972B39F" w14:textId="77777777" w:rsidR="00783BAC" w:rsidRPr="0097439D" w:rsidRDefault="00783BAC" w:rsidP="00783BAC">
      <w:pPr>
        <w:pStyle w:val="BodyText"/>
        <w:spacing w:after="120"/>
        <w:ind w:firstLine="567"/>
        <w:rPr>
          <w:szCs w:val="24"/>
        </w:rPr>
      </w:pPr>
      <w:r w:rsidRPr="0097439D">
        <w:rPr>
          <w:szCs w:val="24"/>
        </w:rPr>
        <w:t xml:space="preserve">Before the Fukushima-Daiichi Accident, management of risks associated with the operation of nuclear power plants was almost delegated to Nuclear Power Division and was not regarded as an important integral part of corporate risk management, in spite of the magnitude of financial risk once core melt accident occurred. The new corporate risk management structure has Risk Management Committee with the President as Chief Risk Management Executive, has governance over all the risks and activities in each risk </w:t>
      </w:r>
      <w:r w:rsidRPr="0097439D">
        <w:rPr>
          <w:szCs w:val="24"/>
        </w:rPr>
        <w:lastRenderedPageBreak/>
        <w:t xml:space="preserve">management unit (departments, offices, group companies) is supposed to report to and put into scrutiny by the Committee. </w:t>
      </w:r>
    </w:p>
    <w:p w14:paraId="5D183308" w14:textId="4C1423AD" w:rsidR="003B5E23" w:rsidRPr="00783BAC" w:rsidRDefault="00783BAC" w:rsidP="00AA1A0A">
      <w:pPr>
        <w:snapToGrid w:val="0"/>
        <w:rPr>
          <w:bCs/>
          <w:szCs w:val="24"/>
          <w:lang w:val="en-US"/>
        </w:rPr>
      </w:pPr>
      <w:r w:rsidRPr="0097439D">
        <w:rPr>
          <w:bCs/>
          <w:noProof/>
          <w:szCs w:val="24"/>
        </w:rPr>
        <w:drawing>
          <wp:anchor distT="0" distB="0" distL="114300" distR="114300" simplePos="0" relativeHeight="251658247" behindDoc="0" locked="0" layoutInCell="1" allowOverlap="1" wp14:anchorId="6F0F8D3F" wp14:editId="38E3D33C">
            <wp:simplePos x="0" y="0"/>
            <wp:positionH relativeFrom="column">
              <wp:posOffset>1065877</wp:posOffset>
            </wp:positionH>
            <wp:positionV relativeFrom="paragraph">
              <wp:posOffset>245134</wp:posOffset>
            </wp:positionV>
            <wp:extent cx="3455670" cy="3642360"/>
            <wp:effectExtent l="0" t="0" r="0" b="2540"/>
            <wp:wrapSquare wrapText="bothSides"/>
            <wp:docPr id="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455670" cy="3642360"/>
                    </a:xfrm>
                    <a:prstGeom prst="rect">
                      <a:avLst/>
                    </a:prstGeom>
                  </pic:spPr>
                </pic:pic>
              </a:graphicData>
            </a:graphic>
            <wp14:sizeRelH relativeFrom="page">
              <wp14:pctWidth>0</wp14:pctWidth>
            </wp14:sizeRelH>
            <wp14:sizeRelV relativeFrom="page">
              <wp14:pctHeight>0</wp14:pctHeight>
            </wp14:sizeRelV>
          </wp:anchor>
        </w:drawing>
      </w:r>
    </w:p>
    <w:p w14:paraId="0C8CA031" w14:textId="2122DC70" w:rsidR="003B5E23" w:rsidRDefault="003B5E23" w:rsidP="00AA1A0A">
      <w:pPr>
        <w:snapToGrid w:val="0"/>
        <w:rPr>
          <w:bCs/>
          <w:szCs w:val="24"/>
        </w:rPr>
      </w:pPr>
    </w:p>
    <w:p w14:paraId="7AE3ADEC" w14:textId="6FA0AAF1" w:rsidR="003B5E23" w:rsidRDefault="003B5E23" w:rsidP="00AA1A0A">
      <w:pPr>
        <w:snapToGrid w:val="0"/>
        <w:rPr>
          <w:bCs/>
          <w:szCs w:val="24"/>
        </w:rPr>
      </w:pPr>
    </w:p>
    <w:p w14:paraId="751447A8" w14:textId="3773204F" w:rsidR="00783BAC" w:rsidRDefault="00783BAC" w:rsidP="00AA1A0A">
      <w:pPr>
        <w:snapToGrid w:val="0"/>
        <w:rPr>
          <w:bCs/>
          <w:szCs w:val="24"/>
        </w:rPr>
      </w:pPr>
    </w:p>
    <w:p w14:paraId="2D1CF3C1" w14:textId="67F82FCD" w:rsidR="00783BAC" w:rsidRDefault="00783BAC" w:rsidP="00AA1A0A">
      <w:pPr>
        <w:snapToGrid w:val="0"/>
        <w:rPr>
          <w:bCs/>
          <w:szCs w:val="24"/>
        </w:rPr>
      </w:pPr>
    </w:p>
    <w:p w14:paraId="42FD527D" w14:textId="6824D454" w:rsidR="00783BAC" w:rsidRDefault="00783BAC" w:rsidP="00AA1A0A">
      <w:pPr>
        <w:snapToGrid w:val="0"/>
        <w:rPr>
          <w:bCs/>
          <w:szCs w:val="24"/>
        </w:rPr>
      </w:pPr>
    </w:p>
    <w:p w14:paraId="70A73CBB" w14:textId="57D60B0B" w:rsidR="00783BAC" w:rsidRDefault="00783BAC" w:rsidP="00AA1A0A">
      <w:pPr>
        <w:snapToGrid w:val="0"/>
        <w:rPr>
          <w:bCs/>
          <w:szCs w:val="24"/>
        </w:rPr>
      </w:pPr>
    </w:p>
    <w:p w14:paraId="3E325D91" w14:textId="66DF103A" w:rsidR="00783BAC" w:rsidRDefault="00783BAC" w:rsidP="00AA1A0A">
      <w:pPr>
        <w:snapToGrid w:val="0"/>
        <w:rPr>
          <w:bCs/>
          <w:szCs w:val="24"/>
        </w:rPr>
      </w:pPr>
    </w:p>
    <w:p w14:paraId="7E69934E" w14:textId="0E4FBF0D" w:rsidR="00783BAC" w:rsidRDefault="00783BAC" w:rsidP="00AA1A0A">
      <w:pPr>
        <w:snapToGrid w:val="0"/>
        <w:rPr>
          <w:bCs/>
          <w:szCs w:val="24"/>
        </w:rPr>
      </w:pPr>
    </w:p>
    <w:p w14:paraId="7BC1C505" w14:textId="3BA9748C" w:rsidR="00783BAC" w:rsidRDefault="00783BAC" w:rsidP="00AA1A0A">
      <w:pPr>
        <w:snapToGrid w:val="0"/>
        <w:rPr>
          <w:bCs/>
          <w:szCs w:val="24"/>
        </w:rPr>
      </w:pPr>
    </w:p>
    <w:p w14:paraId="6EE8EA62" w14:textId="1CBFF81F" w:rsidR="00783BAC" w:rsidRDefault="00783BAC" w:rsidP="00AA1A0A">
      <w:pPr>
        <w:snapToGrid w:val="0"/>
        <w:rPr>
          <w:bCs/>
          <w:szCs w:val="24"/>
        </w:rPr>
      </w:pPr>
    </w:p>
    <w:p w14:paraId="0B9E75D6" w14:textId="77777777" w:rsidR="00783BAC" w:rsidRDefault="00783BAC" w:rsidP="00AA1A0A">
      <w:pPr>
        <w:snapToGrid w:val="0"/>
        <w:rPr>
          <w:bCs/>
          <w:szCs w:val="24"/>
        </w:rPr>
      </w:pPr>
    </w:p>
    <w:p w14:paraId="3A34DC9A" w14:textId="2ABE4FDE" w:rsidR="002F1F99" w:rsidRPr="0097439D" w:rsidRDefault="002F1F99" w:rsidP="00AA1A0A">
      <w:pPr>
        <w:snapToGrid w:val="0"/>
        <w:rPr>
          <w:bCs/>
          <w:szCs w:val="24"/>
        </w:rPr>
      </w:pPr>
    </w:p>
    <w:p w14:paraId="1B9DEF19" w14:textId="5B4EEA09" w:rsidR="00AA1A0A" w:rsidRPr="0097439D" w:rsidRDefault="00AA1A0A" w:rsidP="00AA1A0A">
      <w:pPr>
        <w:snapToGrid w:val="0"/>
        <w:rPr>
          <w:bCs/>
          <w:szCs w:val="24"/>
        </w:rPr>
      </w:pPr>
      <w:r w:rsidRPr="0097439D">
        <w:rPr>
          <w:bCs/>
          <w:szCs w:val="24"/>
        </w:rPr>
        <w:t xml:space="preserve">2. Nuclear Industry in Japan </w:t>
      </w:r>
    </w:p>
    <w:p w14:paraId="1860FEC1" w14:textId="6AFE3046" w:rsidR="002F1F99" w:rsidRPr="0097439D" w:rsidRDefault="002F1F99" w:rsidP="002F1F99">
      <w:pPr>
        <w:pStyle w:val="BodyText"/>
        <w:spacing w:after="120"/>
        <w:ind w:firstLine="567"/>
        <w:rPr>
          <w:szCs w:val="24"/>
        </w:rPr>
      </w:pPr>
      <w:r w:rsidRPr="0097439D">
        <w:rPr>
          <w:szCs w:val="24"/>
        </w:rPr>
        <w:t>Many of its nine nuclear Utilities, after the Fukushima-Daiichi Accident, established more or less internal and/or external oversight systems on nuclear safety. They sought for external advices on safety, technology, communication and other managerial issues.</w:t>
      </w:r>
    </w:p>
    <w:p w14:paraId="7D38FE47" w14:textId="6620860F" w:rsidR="00AA1A0A" w:rsidRPr="0097439D" w:rsidRDefault="002F1F99" w:rsidP="00783BAC">
      <w:pPr>
        <w:tabs>
          <w:tab w:val="num" w:pos="1440"/>
        </w:tabs>
        <w:snapToGrid w:val="0"/>
        <w:ind w:firstLineChars="100" w:firstLine="240"/>
        <w:rPr>
          <w:szCs w:val="24"/>
        </w:rPr>
      </w:pPr>
      <w:r w:rsidRPr="0097439D">
        <w:rPr>
          <w:szCs w:val="24"/>
        </w:rPr>
        <w:t>Nuclear utilities and nuclear Industry jointly established trade group’s consortium as follows;</w:t>
      </w:r>
    </w:p>
    <w:p w14:paraId="0E7FEB0C" w14:textId="77777777" w:rsidR="00AA1A0A" w:rsidRPr="0097439D" w:rsidRDefault="00AA1A0A" w:rsidP="00AA1A0A">
      <w:pPr>
        <w:snapToGrid w:val="0"/>
        <w:rPr>
          <w:szCs w:val="24"/>
        </w:rPr>
      </w:pPr>
      <w:r w:rsidRPr="0097439D">
        <w:rPr>
          <w:szCs w:val="24"/>
        </w:rPr>
        <w:t>2.1. JANSI (Japan Nuclear Safety Institute, since 2012)</w:t>
      </w:r>
    </w:p>
    <w:p w14:paraId="5C68EB92" w14:textId="77777777" w:rsidR="00AA1A0A" w:rsidRPr="0097439D" w:rsidRDefault="00AA1A0A" w:rsidP="00A01ADC">
      <w:pPr>
        <w:pStyle w:val="BodyText"/>
        <w:spacing w:after="120"/>
        <w:ind w:firstLine="567"/>
        <w:rPr>
          <w:szCs w:val="24"/>
        </w:rPr>
      </w:pPr>
      <w:r w:rsidRPr="0097439D">
        <w:rPr>
          <w:szCs w:val="24"/>
        </w:rPr>
        <w:t xml:space="preserve">JANTI (Japan Nuclear Technology Institute) was established in the process of reform of JAIF (Japan Atomic Industrial Forum) in 2004, whose function is basically to emulate INPO on peer review. JANSI is supposed to focus more on safety but its activity includes a wide variety of areas such as; </w:t>
      </w:r>
    </w:p>
    <w:p w14:paraId="4022336E" w14:textId="77777777" w:rsidR="00AA1A0A" w:rsidRPr="0097439D" w:rsidRDefault="00AA1A0A" w:rsidP="00AC768F">
      <w:pPr>
        <w:pStyle w:val="ListParagraph"/>
        <w:numPr>
          <w:ilvl w:val="0"/>
          <w:numId w:val="10"/>
        </w:numPr>
        <w:snapToGrid w:val="0"/>
        <w:spacing w:after="0" w:line="240" w:lineRule="auto"/>
        <w:contextualSpacing w:val="0"/>
        <w:rPr>
          <w:rFonts w:ascii="Times New Roman" w:hAnsi="Times New Roman" w:cs="Times New Roman"/>
          <w:sz w:val="24"/>
          <w:szCs w:val="24"/>
        </w:rPr>
      </w:pPr>
      <w:r w:rsidRPr="0097439D">
        <w:rPr>
          <w:rFonts w:ascii="Times New Roman" w:hAnsi="Times New Roman" w:cs="Times New Roman"/>
          <w:sz w:val="24"/>
          <w:szCs w:val="24"/>
        </w:rPr>
        <w:t xml:space="preserve">Peer review </w:t>
      </w:r>
    </w:p>
    <w:p w14:paraId="7B1BD24F" w14:textId="77777777" w:rsidR="00AA1A0A" w:rsidRPr="0097439D" w:rsidRDefault="00AA1A0A" w:rsidP="00AC768F">
      <w:pPr>
        <w:pStyle w:val="ListParagraph"/>
        <w:numPr>
          <w:ilvl w:val="0"/>
          <w:numId w:val="10"/>
        </w:numPr>
        <w:snapToGrid w:val="0"/>
        <w:spacing w:after="0" w:line="240" w:lineRule="auto"/>
        <w:contextualSpacing w:val="0"/>
        <w:rPr>
          <w:rFonts w:ascii="Times New Roman" w:hAnsi="Times New Roman" w:cs="Times New Roman"/>
          <w:sz w:val="24"/>
          <w:szCs w:val="24"/>
        </w:rPr>
      </w:pPr>
      <w:r w:rsidRPr="0097439D">
        <w:rPr>
          <w:rFonts w:ascii="Times New Roman" w:hAnsi="Times New Roman" w:cs="Times New Roman"/>
          <w:sz w:val="24"/>
          <w:szCs w:val="24"/>
        </w:rPr>
        <w:t>Safety culture assessment</w:t>
      </w:r>
    </w:p>
    <w:p w14:paraId="7560083F" w14:textId="77777777" w:rsidR="00AA1A0A" w:rsidRPr="0097439D" w:rsidRDefault="00AA1A0A" w:rsidP="00AC768F">
      <w:pPr>
        <w:pStyle w:val="ListParagraph"/>
        <w:numPr>
          <w:ilvl w:val="0"/>
          <w:numId w:val="10"/>
        </w:numPr>
        <w:snapToGrid w:val="0"/>
        <w:spacing w:after="0" w:line="240" w:lineRule="auto"/>
        <w:contextualSpacing w:val="0"/>
        <w:rPr>
          <w:rFonts w:ascii="Times New Roman" w:hAnsi="Times New Roman" w:cs="Times New Roman"/>
          <w:sz w:val="24"/>
          <w:szCs w:val="24"/>
        </w:rPr>
      </w:pPr>
      <w:r w:rsidRPr="0097439D">
        <w:rPr>
          <w:rFonts w:ascii="Times New Roman" w:hAnsi="Times New Roman" w:cs="Times New Roman"/>
          <w:sz w:val="24"/>
          <w:szCs w:val="24"/>
        </w:rPr>
        <w:t>Organizing seminars</w:t>
      </w:r>
    </w:p>
    <w:p w14:paraId="00295A4B" w14:textId="77777777" w:rsidR="00AA1A0A" w:rsidRPr="0097439D" w:rsidRDefault="00AA1A0A" w:rsidP="00AC768F">
      <w:pPr>
        <w:pStyle w:val="ListParagraph"/>
        <w:numPr>
          <w:ilvl w:val="0"/>
          <w:numId w:val="10"/>
        </w:numPr>
        <w:snapToGrid w:val="0"/>
        <w:spacing w:after="0" w:line="240" w:lineRule="auto"/>
        <w:contextualSpacing w:val="0"/>
        <w:rPr>
          <w:rFonts w:ascii="Times New Roman" w:hAnsi="Times New Roman" w:cs="Times New Roman"/>
          <w:sz w:val="24"/>
          <w:szCs w:val="24"/>
        </w:rPr>
      </w:pPr>
      <w:r w:rsidRPr="0097439D">
        <w:rPr>
          <w:rFonts w:ascii="Times New Roman" w:hAnsi="Times New Roman" w:cs="Times New Roman"/>
          <w:sz w:val="24"/>
          <w:szCs w:val="24"/>
        </w:rPr>
        <w:t>Sharing operating performance and experiences</w:t>
      </w:r>
    </w:p>
    <w:p w14:paraId="4D799708" w14:textId="77777777" w:rsidR="00AA1A0A" w:rsidRPr="0097439D" w:rsidRDefault="00AA1A0A" w:rsidP="00AC768F">
      <w:pPr>
        <w:pStyle w:val="ListParagraph"/>
        <w:numPr>
          <w:ilvl w:val="0"/>
          <w:numId w:val="10"/>
        </w:numPr>
        <w:snapToGrid w:val="0"/>
        <w:spacing w:after="0" w:line="240" w:lineRule="auto"/>
        <w:contextualSpacing w:val="0"/>
        <w:rPr>
          <w:rFonts w:ascii="Times New Roman" w:hAnsi="Times New Roman" w:cs="Times New Roman"/>
          <w:sz w:val="24"/>
          <w:szCs w:val="24"/>
        </w:rPr>
      </w:pPr>
      <w:r w:rsidRPr="0097439D">
        <w:rPr>
          <w:rFonts w:ascii="Times New Roman" w:hAnsi="Times New Roman" w:cs="Times New Roman"/>
          <w:sz w:val="24"/>
          <w:szCs w:val="24"/>
        </w:rPr>
        <w:t>Publishing reports and guidelines on such topical areas as emergency preparedness drill, evaluation of active faults, and configuration management</w:t>
      </w:r>
    </w:p>
    <w:p w14:paraId="4CA3F90E" w14:textId="77777777" w:rsidR="00AA1A0A" w:rsidRPr="0097439D" w:rsidRDefault="00AA1A0A" w:rsidP="00AC768F">
      <w:pPr>
        <w:pStyle w:val="ListParagraph"/>
        <w:numPr>
          <w:ilvl w:val="0"/>
          <w:numId w:val="10"/>
        </w:numPr>
        <w:snapToGrid w:val="0"/>
        <w:spacing w:after="0" w:line="240" w:lineRule="auto"/>
        <w:contextualSpacing w:val="0"/>
        <w:rPr>
          <w:rFonts w:ascii="Times New Roman" w:hAnsi="Times New Roman" w:cs="Times New Roman"/>
          <w:sz w:val="24"/>
          <w:szCs w:val="24"/>
          <w:lang w:val="en-US"/>
        </w:rPr>
      </w:pPr>
      <w:r w:rsidRPr="0097439D">
        <w:rPr>
          <w:rFonts w:ascii="Times New Roman" w:hAnsi="Times New Roman" w:cs="Times New Roman"/>
          <w:sz w:val="24"/>
          <w:szCs w:val="24"/>
        </w:rPr>
        <w:t>Function as accreditation organ for shift superintendent</w:t>
      </w:r>
    </w:p>
    <w:p w14:paraId="49966C92" w14:textId="77777777" w:rsidR="00AA1A0A" w:rsidRPr="0097439D" w:rsidRDefault="00AA1A0A" w:rsidP="00AA1A0A">
      <w:pPr>
        <w:pStyle w:val="ListParagraph"/>
        <w:snapToGrid w:val="0"/>
        <w:spacing w:after="0" w:line="240" w:lineRule="auto"/>
        <w:ind w:left="840"/>
        <w:contextualSpacing w:val="0"/>
        <w:rPr>
          <w:rFonts w:ascii="Times New Roman" w:hAnsi="Times New Roman" w:cs="Times New Roman"/>
          <w:sz w:val="24"/>
          <w:szCs w:val="24"/>
          <w:lang w:val="en-US"/>
        </w:rPr>
      </w:pPr>
    </w:p>
    <w:p w14:paraId="2ACFF8C1" w14:textId="77777777" w:rsidR="00AA1A0A" w:rsidRPr="0097439D" w:rsidRDefault="00AA1A0A" w:rsidP="00AA1A0A">
      <w:pPr>
        <w:snapToGrid w:val="0"/>
        <w:rPr>
          <w:szCs w:val="24"/>
        </w:rPr>
      </w:pPr>
      <w:r w:rsidRPr="0097439D">
        <w:rPr>
          <w:szCs w:val="24"/>
        </w:rPr>
        <w:lastRenderedPageBreak/>
        <w:t>2.2. NRRC (Nuclear Risk Research Center, since 2014)</w:t>
      </w:r>
    </w:p>
    <w:p w14:paraId="0786C42E" w14:textId="1C6772ED" w:rsidR="00AA1A0A" w:rsidRPr="0097439D" w:rsidRDefault="00AA1A0A" w:rsidP="00A01ADC">
      <w:pPr>
        <w:pStyle w:val="BodyText"/>
        <w:spacing w:after="120"/>
        <w:ind w:firstLine="567"/>
        <w:rPr>
          <w:szCs w:val="24"/>
        </w:rPr>
      </w:pPr>
      <w:r w:rsidRPr="0097439D">
        <w:rPr>
          <w:szCs w:val="24"/>
        </w:rPr>
        <w:t>As a part of CRIEPI (Central Research Institute for Electric Power Industry), a research wing of power companies in Japan, it is supposed to support capacity building of nuclear utilities in their Risk Assessment, Risk Management and Risk Communication. It takes advantage of research facilities owned and operated by CRIEPI such as shake table and tsunami hydraulic test facility to produce technical basis for risk evaluation and management. For the purpose of linkage with global knowledge on advanced methodologies, most of the members of its technical advisory committee are invited from outside of Japan.</w:t>
      </w:r>
    </w:p>
    <w:p w14:paraId="5820D7CD" w14:textId="77777777" w:rsidR="00AA1A0A" w:rsidRPr="0097439D" w:rsidRDefault="00AA1A0A" w:rsidP="00A01ADC">
      <w:pPr>
        <w:pStyle w:val="BodyText"/>
        <w:spacing w:after="120"/>
        <w:ind w:firstLine="567"/>
        <w:rPr>
          <w:szCs w:val="24"/>
        </w:rPr>
      </w:pPr>
      <w:r w:rsidRPr="0097439D">
        <w:rPr>
          <w:szCs w:val="24"/>
        </w:rPr>
        <w:t>In the aftermath of the Fukushima-Daiichi Accident, it focuses on advancing analytical methods of extreme external events, multi-unit accident, and human reliability in harsh environment (stress and radiation from the accident). Its supports utilities in their plant-specific PRA using most up-to-date methodologies.</w:t>
      </w:r>
    </w:p>
    <w:p w14:paraId="4AC66B9D" w14:textId="77777777" w:rsidR="00AA1A0A" w:rsidRPr="0097439D" w:rsidRDefault="00AA1A0A" w:rsidP="00AA1A0A">
      <w:pPr>
        <w:snapToGrid w:val="0"/>
        <w:rPr>
          <w:szCs w:val="24"/>
        </w:rPr>
      </w:pPr>
      <w:r w:rsidRPr="0097439D">
        <w:rPr>
          <w:szCs w:val="24"/>
        </w:rPr>
        <w:t xml:space="preserve">2.3. ATENA (Atomic Energy Association, since 2018) </w:t>
      </w:r>
    </w:p>
    <w:p w14:paraId="391B47F8" w14:textId="77777777" w:rsidR="00AA1A0A" w:rsidRPr="0097439D" w:rsidRDefault="00AA1A0A" w:rsidP="00481063">
      <w:pPr>
        <w:pStyle w:val="BodyText"/>
        <w:spacing w:after="120"/>
        <w:ind w:firstLine="567"/>
        <w:rPr>
          <w:szCs w:val="24"/>
        </w:rPr>
      </w:pPr>
      <w:r w:rsidRPr="00481063">
        <w:rPr>
          <w:szCs w:val="24"/>
        </w:rPr>
        <w:t>Jointly established by nuclear utilities and Industry, ATENA has its primary function for</w:t>
      </w:r>
      <w:r w:rsidRPr="0097439D">
        <w:rPr>
          <w:szCs w:val="24"/>
        </w:rPr>
        <w:t xml:space="preserve"> interface with the regulatory body (NRA).</w:t>
      </w:r>
    </w:p>
    <w:p w14:paraId="5836BFF0" w14:textId="77777777" w:rsidR="00AA1A0A" w:rsidRPr="0097439D" w:rsidRDefault="00AA1A0A" w:rsidP="00AA1A0A">
      <w:pPr>
        <w:snapToGrid w:val="0"/>
        <w:rPr>
          <w:szCs w:val="24"/>
        </w:rPr>
      </w:pPr>
      <w:r w:rsidRPr="0097439D">
        <w:rPr>
          <w:szCs w:val="24"/>
        </w:rPr>
        <w:t>3. Oversight of the regulatory body</w:t>
      </w:r>
    </w:p>
    <w:p w14:paraId="476E50E0" w14:textId="77777777" w:rsidR="00AA1A0A" w:rsidRPr="0097439D" w:rsidRDefault="00AA1A0A" w:rsidP="00481063">
      <w:pPr>
        <w:pStyle w:val="BodyText"/>
        <w:spacing w:after="120"/>
        <w:ind w:firstLine="567"/>
        <w:rPr>
          <w:szCs w:val="24"/>
        </w:rPr>
      </w:pPr>
      <w:r w:rsidRPr="0097439D">
        <w:rPr>
          <w:szCs w:val="24"/>
        </w:rPr>
        <w:t>In the aftermath of the Fukushima-Daiichi Accident, the Diet enacted a law to create an oversight committee to the regulatory body (NRA) in both Houses, namely the House of Representatives and the House of Councilors.</w:t>
      </w:r>
    </w:p>
    <w:p w14:paraId="6E21706C" w14:textId="77777777" w:rsidR="00AA1A0A" w:rsidRPr="0097439D" w:rsidRDefault="00AA1A0A" w:rsidP="00AA1A0A">
      <w:pPr>
        <w:snapToGrid w:val="0"/>
        <w:rPr>
          <w:szCs w:val="24"/>
        </w:rPr>
      </w:pPr>
    </w:p>
    <w:p w14:paraId="30C162CB" w14:textId="38E66228" w:rsidR="00801791" w:rsidRDefault="00801791">
      <w:pPr>
        <w:overflowPunct/>
        <w:autoSpaceDE/>
        <w:autoSpaceDN/>
        <w:adjustRightInd/>
        <w:spacing w:after="160" w:line="259" w:lineRule="auto"/>
        <w:jc w:val="left"/>
        <w:textAlignment w:val="auto"/>
        <w:rPr>
          <w:rFonts w:eastAsia="MS Mincho"/>
          <w:color w:val="000000" w:themeColor="text1"/>
          <w:szCs w:val="24"/>
        </w:rPr>
      </w:pPr>
      <w:r>
        <w:rPr>
          <w:rFonts w:eastAsia="MS Mincho"/>
          <w:color w:val="000000" w:themeColor="text1"/>
          <w:szCs w:val="24"/>
        </w:rPr>
        <w:br w:type="page"/>
      </w:r>
    </w:p>
    <w:p w14:paraId="5033F521" w14:textId="417AE35F" w:rsidR="00801791" w:rsidRDefault="00F61BE5" w:rsidP="00801791">
      <w:pPr>
        <w:pStyle w:val="Heading1"/>
        <w:numPr>
          <w:ilvl w:val="0"/>
          <w:numId w:val="0"/>
        </w:numPr>
      </w:pPr>
      <w:bookmarkStart w:id="1723" w:name="_Toc87627695"/>
      <w:r>
        <w:lastRenderedPageBreak/>
        <w:t>GLOSSARY</w:t>
      </w:r>
      <w:bookmarkEnd w:id="1723"/>
    </w:p>
    <w:p w14:paraId="22719824" w14:textId="7AE674BE" w:rsidR="00801791" w:rsidRDefault="00801791">
      <w:pPr>
        <w:overflowPunct/>
        <w:autoSpaceDE/>
        <w:autoSpaceDN/>
        <w:adjustRightInd/>
        <w:spacing w:after="160" w:line="259" w:lineRule="auto"/>
        <w:jc w:val="left"/>
        <w:textAlignment w:val="auto"/>
        <w:rPr>
          <w:lang w:val="en-US"/>
        </w:rPr>
      </w:pPr>
      <w:r>
        <w:br w:type="page"/>
      </w:r>
    </w:p>
    <w:p w14:paraId="76198ACA" w14:textId="77777777" w:rsidR="00801791" w:rsidRPr="00801791" w:rsidRDefault="00801791" w:rsidP="00801791">
      <w:pPr>
        <w:pStyle w:val="BodyText"/>
      </w:pPr>
    </w:p>
    <w:p w14:paraId="32EC1F02" w14:textId="47658BC9" w:rsidR="00650F09" w:rsidRDefault="008B224F" w:rsidP="001E793F">
      <w:pPr>
        <w:pStyle w:val="Heading1"/>
        <w:numPr>
          <w:ilvl w:val="0"/>
          <w:numId w:val="0"/>
        </w:numPr>
      </w:pPr>
      <w:bookmarkStart w:id="1724" w:name="_Toc87627696"/>
      <w:r>
        <w:t>ABBREVIATIONS</w:t>
      </w:r>
      <w:bookmarkStart w:id="1725" w:name="BkmReturnToMainText"/>
      <w:bookmarkEnd w:id="1724"/>
      <w:bookmarkEnd w:id="1725"/>
    </w:p>
    <w:p w14:paraId="1DB08533" w14:textId="1C630107" w:rsidR="00B04A36" w:rsidRDefault="00B04A36">
      <w:pPr>
        <w:overflowPunct/>
        <w:autoSpaceDE/>
        <w:autoSpaceDN/>
        <w:adjustRightInd/>
        <w:spacing w:after="160" w:line="259" w:lineRule="auto"/>
        <w:jc w:val="left"/>
        <w:textAlignment w:val="auto"/>
        <w:rPr>
          <w:lang w:val="en-US"/>
        </w:rPr>
      </w:pPr>
      <w:r>
        <w:br w:type="page"/>
      </w:r>
    </w:p>
    <w:p w14:paraId="6EBEEDC2" w14:textId="40799FDC" w:rsidR="00313CB4" w:rsidRDefault="00313CB4" w:rsidP="00313CB4">
      <w:pPr>
        <w:pStyle w:val="Heading1"/>
        <w:numPr>
          <w:ilvl w:val="0"/>
          <w:numId w:val="0"/>
        </w:numPr>
      </w:pPr>
      <w:bookmarkStart w:id="1726" w:name="_Toc84956114"/>
      <w:bookmarkStart w:id="1727" w:name="_Toc87627697"/>
      <w:r>
        <w:lastRenderedPageBreak/>
        <w:t>REFERENCES</w:t>
      </w:r>
      <w:bookmarkEnd w:id="1726"/>
      <w:bookmarkEnd w:id="1727"/>
    </w:p>
    <w:p w14:paraId="5F145D3A" w14:textId="77777777" w:rsidR="00070702" w:rsidRPr="00070702" w:rsidRDefault="00AD71E5" w:rsidP="00070702">
      <w:pPr>
        <w:pStyle w:val="Bibliography"/>
      </w:pPr>
      <w:r>
        <w:rPr>
          <w:lang w:val="en-US"/>
        </w:rPr>
        <w:fldChar w:fldCharType="begin"/>
      </w:r>
      <w:r w:rsidR="00070702">
        <w:rPr>
          <w:lang w:val="en-US"/>
        </w:rPr>
        <w:instrText xml:space="preserve"> ADDIN ZOTERO_BIBL {"uncited":[],"omitted":[],"custom":[]} CSL_BIBLIOGRAPHY </w:instrText>
      </w:r>
      <w:r>
        <w:rPr>
          <w:lang w:val="en-US"/>
        </w:rPr>
        <w:fldChar w:fldCharType="separate"/>
      </w:r>
      <w:r w:rsidR="00070702" w:rsidRPr="00070702">
        <w:t>[1]</w:t>
      </w:r>
      <w:r w:rsidR="00070702" w:rsidRPr="00070702">
        <w:tab/>
        <w:t xml:space="preserve">ELLIOTT, J.F., </w:t>
      </w:r>
      <w:proofErr w:type="spellStart"/>
      <w:r w:rsidR="00070702" w:rsidRPr="00070702">
        <w:t>Kemeny</w:t>
      </w:r>
      <w:proofErr w:type="spellEnd"/>
      <w:r w:rsidR="00070702" w:rsidRPr="00070702">
        <w:t xml:space="preserve"> Report on the accident at Three Mile Island, Ecology Law Quarterly </w:t>
      </w:r>
      <w:r w:rsidR="00070702" w:rsidRPr="00070702">
        <w:rPr>
          <w:b/>
          <w:bCs/>
        </w:rPr>
        <w:t>8</w:t>
      </w:r>
      <w:r w:rsidR="00070702" w:rsidRPr="00070702">
        <w:t xml:space="preserve"> 4 (1980) 810.</w:t>
      </w:r>
    </w:p>
    <w:p w14:paraId="2B496226" w14:textId="77777777" w:rsidR="00070702" w:rsidRPr="00070702" w:rsidRDefault="00070702" w:rsidP="00070702">
      <w:pPr>
        <w:pStyle w:val="Bibliography"/>
      </w:pPr>
      <w:r w:rsidRPr="00070702">
        <w:t>[2]</w:t>
      </w:r>
      <w:r w:rsidRPr="00070702">
        <w:tab/>
        <w:t>INTERNATIONAL NUCLEAR SAFETY ADVISORY GROUP, Safety Culture, INSAG-4, IAEA, Vienna (1991).</w:t>
      </w:r>
    </w:p>
    <w:p w14:paraId="39470ABF" w14:textId="77777777" w:rsidR="00070702" w:rsidRPr="00070702" w:rsidRDefault="00070702" w:rsidP="00070702">
      <w:pPr>
        <w:pStyle w:val="Bibliography"/>
      </w:pPr>
      <w:r w:rsidRPr="00070702">
        <w:t>[3]</w:t>
      </w:r>
      <w:r w:rsidRPr="00070702">
        <w:tab/>
        <w:t>JOONHONG AHN et al. (Eds), Reflections on Fukushima-Daiichi Nuclear Accident, (2015).</w:t>
      </w:r>
    </w:p>
    <w:p w14:paraId="75740B0A" w14:textId="77777777" w:rsidR="00070702" w:rsidRPr="00070702" w:rsidRDefault="00070702" w:rsidP="00070702">
      <w:pPr>
        <w:pStyle w:val="Bibliography"/>
      </w:pPr>
      <w:r w:rsidRPr="00070702">
        <w:t>[4]</w:t>
      </w:r>
      <w:r w:rsidRPr="00070702">
        <w:tab/>
        <w:t>INTERNATIONAL ATOMIC ENERGY AGENCY, The Fukushima Daiichi Accident, International Atomic Energy Agency, Vienna (2015) 1254 pp.</w:t>
      </w:r>
    </w:p>
    <w:p w14:paraId="7FD86DAC" w14:textId="77777777" w:rsidR="00070702" w:rsidRPr="00070702" w:rsidRDefault="00070702" w:rsidP="00070702">
      <w:pPr>
        <w:pStyle w:val="Bibliography"/>
      </w:pPr>
      <w:r w:rsidRPr="00070702">
        <w:t>[5]</w:t>
      </w:r>
      <w:r w:rsidRPr="00070702">
        <w:tab/>
        <w:t>TOKYO ELECTRIC POWER COMPANY, INC., Fukushima Nuclear Accident Summary  &amp; Nuclear Safety Reform Plan, (2013).</w:t>
      </w:r>
    </w:p>
    <w:p w14:paraId="2CF4672E" w14:textId="77777777" w:rsidR="00070702" w:rsidRPr="00070702" w:rsidRDefault="00070702" w:rsidP="00070702">
      <w:pPr>
        <w:pStyle w:val="Bibliography"/>
      </w:pPr>
      <w:r w:rsidRPr="00070702">
        <w:t>[6]</w:t>
      </w:r>
      <w:r w:rsidRPr="00070702">
        <w:tab/>
        <w:t>REBUILT JAPAN INITIATIVE FOUNDATION, Independent Panel Report on the Fukushima Nuclear Accident, (2012).</w:t>
      </w:r>
    </w:p>
    <w:p w14:paraId="372727C1" w14:textId="77777777" w:rsidR="00070702" w:rsidRPr="00070702" w:rsidRDefault="00070702" w:rsidP="00070702">
      <w:pPr>
        <w:pStyle w:val="Bibliography"/>
      </w:pPr>
      <w:r w:rsidRPr="00070702">
        <w:t>[7]</w:t>
      </w:r>
      <w:r w:rsidRPr="00070702">
        <w:tab/>
        <w:t>INSTITUTE OF NUCLEAR POWER OPERATIONS, Lessons Learned from Th Fukushima Daiichi Nuclear Power Station, INPO 11-005 Addendum, (2012).</w:t>
      </w:r>
    </w:p>
    <w:p w14:paraId="742CDAFF" w14:textId="77777777" w:rsidR="00070702" w:rsidRPr="00070702" w:rsidRDefault="00070702" w:rsidP="00070702">
      <w:pPr>
        <w:pStyle w:val="Bibliography"/>
      </w:pPr>
      <w:r w:rsidRPr="00070702">
        <w:t>[8]</w:t>
      </w:r>
      <w:r w:rsidRPr="00070702">
        <w:tab/>
        <w:t>THE NATIONAL DIET OF JAPAN, The Official Report of The Fukushima Nuclear Accident Independent Investigation Commission, The National Diet of Japan (2012).</w:t>
      </w:r>
    </w:p>
    <w:p w14:paraId="77DA5834" w14:textId="77777777" w:rsidR="00070702" w:rsidRPr="00070702" w:rsidRDefault="00070702" w:rsidP="00070702">
      <w:pPr>
        <w:pStyle w:val="Bibliography"/>
      </w:pPr>
      <w:r w:rsidRPr="00070702">
        <w:t>[9]</w:t>
      </w:r>
      <w:r w:rsidRPr="00070702">
        <w:tab/>
        <w:t>INTERNATIONAL ATOMIC ENERGY AGENCY, Nuclear Power Plant Organization and Staffing for Improved Performance: Lessons Learned, IAEA-TECDOC-1052, IAEA, Vienna (1998) 87 pp.</w:t>
      </w:r>
    </w:p>
    <w:p w14:paraId="0E76AE91" w14:textId="77777777" w:rsidR="00070702" w:rsidRPr="00070702" w:rsidRDefault="00070702" w:rsidP="00070702">
      <w:pPr>
        <w:pStyle w:val="Bibliography"/>
      </w:pPr>
      <w:r w:rsidRPr="00070702">
        <w:t>[10]</w:t>
      </w:r>
      <w:r w:rsidRPr="00070702">
        <w:tab/>
        <w:t>SAKAI, T., TAKEDA, T., SORAOKA, H., YANAGISAWA, K., ANNAKA, T., Development of a Probabilistic Tsunami Hazard Analysis in Japan, (2006) 69–75.</w:t>
      </w:r>
    </w:p>
    <w:p w14:paraId="7A13A4E6" w14:textId="77777777" w:rsidR="00070702" w:rsidRPr="00070702" w:rsidRDefault="00070702" w:rsidP="00070702">
      <w:pPr>
        <w:pStyle w:val="Bibliography"/>
      </w:pPr>
      <w:r w:rsidRPr="00070702">
        <w:t>[11]</w:t>
      </w:r>
      <w:r w:rsidRPr="00070702">
        <w:tab/>
        <w:t>TOKYO ELECTRIC POWER COMPANY, INC., Fukushima Nuclear Accident Analysis Report, (2012).</w:t>
      </w:r>
    </w:p>
    <w:p w14:paraId="5EA9FC8C" w14:textId="77777777" w:rsidR="00070702" w:rsidRPr="00070702" w:rsidRDefault="00070702" w:rsidP="00070702">
      <w:pPr>
        <w:pStyle w:val="Bibliography"/>
      </w:pPr>
      <w:r w:rsidRPr="00070702">
        <w:t>[12]</w:t>
      </w:r>
      <w:r w:rsidRPr="00070702">
        <w:tab/>
        <w:t>ERIK HOLLNAGEL, Safety-I and Safety-II, (2014).</w:t>
      </w:r>
    </w:p>
    <w:p w14:paraId="3A4A5D67" w14:textId="77777777" w:rsidR="00070702" w:rsidRPr="00070702" w:rsidRDefault="00070702" w:rsidP="00070702">
      <w:pPr>
        <w:pStyle w:val="Bibliography"/>
      </w:pPr>
      <w:r w:rsidRPr="00070702">
        <w:t>[13]</w:t>
      </w:r>
      <w:r w:rsidRPr="00070702">
        <w:tab/>
        <w:t>RANJAY GULATI, CHARLES CASTO, CHARLOTTE KRONTIRIS, How the Other Fukushima Plant Survived, (2014).</w:t>
      </w:r>
    </w:p>
    <w:p w14:paraId="51EE0A64" w14:textId="77777777" w:rsidR="00070702" w:rsidRPr="00070702" w:rsidRDefault="00070702" w:rsidP="00070702">
      <w:pPr>
        <w:pStyle w:val="Bibliography"/>
      </w:pPr>
      <w:r w:rsidRPr="00070702">
        <w:t>[14]</w:t>
      </w:r>
      <w:r w:rsidRPr="00070702">
        <w:tab/>
        <w:t>Fundamental Safety Principles, Safety Fundamentals SF-1, INTERNATIONAL ATOMIC ENERGY AGENCY, Vienna (2006).</w:t>
      </w:r>
    </w:p>
    <w:p w14:paraId="34116D3B" w14:textId="77777777" w:rsidR="00070702" w:rsidRPr="00070702" w:rsidRDefault="00070702" w:rsidP="00070702">
      <w:pPr>
        <w:pStyle w:val="Bibliography"/>
      </w:pPr>
      <w:r w:rsidRPr="00070702">
        <w:t>[15]</w:t>
      </w:r>
      <w:r w:rsidRPr="00070702">
        <w:tab/>
        <w:t>INTERNATIONAL ATOMIC ENERGY AGENCY, Leadership and Management for Safety, IAEA Safety Standards Series No. GSR Part 2, IAEA, Vienna (2016).</w:t>
      </w:r>
    </w:p>
    <w:p w14:paraId="1B982E2D" w14:textId="77777777" w:rsidR="00070702" w:rsidRPr="00070702" w:rsidRDefault="00070702" w:rsidP="00070702">
      <w:pPr>
        <w:pStyle w:val="Bibliography"/>
      </w:pPr>
      <w:r w:rsidRPr="00070702">
        <w:t>[16]</w:t>
      </w:r>
      <w:r w:rsidRPr="00070702">
        <w:tab/>
        <w:t>Communication and Consultation with Interested Parties by the Regulatory Body, General Safety Guides GSG-6, INTERNATIONAL ATOMIC ENERGY AGENCY, Vienna (2017).</w:t>
      </w:r>
    </w:p>
    <w:p w14:paraId="38304199" w14:textId="77777777" w:rsidR="00070702" w:rsidRPr="00070702" w:rsidRDefault="00070702" w:rsidP="00070702">
      <w:pPr>
        <w:pStyle w:val="Bibliography"/>
      </w:pPr>
      <w:r w:rsidRPr="00070702">
        <w:lastRenderedPageBreak/>
        <w:t>[17]</w:t>
      </w:r>
      <w:r w:rsidRPr="00070702">
        <w:tab/>
        <w:t>Ensuring Robust National Nuclear Safety Systems — Institutional Strength in Depth, INSAG Series 27, INTERNATIONAL ATOMIC ENERGY AGENCY, Vienna (2017).</w:t>
      </w:r>
    </w:p>
    <w:p w14:paraId="2E516ED6" w14:textId="77777777" w:rsidR="00070702" w:rsidRPr="00070702" w:rsidRDefault="00070702" w:rsidP="00070702">
      <w:pPr>
        <w:pStyle w:val="Bibliography"/>
      </w:pPr>
      <w:r w:rsidRPr="00070702">
        <w:t>[18]</w:t>
      </w:r>
      <w:r w:rsidRPr="00070702">
        <w:tab/>
        <w:t>INTERNATIONAL ATOMIC ENERGY AGENCY, The Management System for Nuclear Installations, IAEA Safety Standards Series No. GS-G-3.5, IAEA, Vienna (2009) 139 pp.</w:t>
      </w:r>
    </w:p>
    <w:p w14:paraId="0515E2EF" w14:textId="77777777" w:rsidR="00070702" w:rsidRPr="00070702" w:rsidRDefault="00070702" w:rsidP="00070702">
      <w:pPr>
        <w:pStyle w:val="Bibliography"/>
      </w:pPr>
      <w:r w:rsidRPr="00070702">
        <w:t>[19]</w:t>
      </w:r>
      <w:r w:rsidRPr="00070702">
        <w:tab/>
        <w:t>INSTITUTE OF NUCLEAR POWER OPERATIONS, Leadership and Team Effectiveness Attributes, INPO 14-005.</w:t>
      </w:r>
    </w:p>
    <w:p w14:paraId="33AFA079" w14:textId="77777777" w:rsidR="00070702" w:rsidRPr="00070702" w:rsidRDefault="00070702" w:rsidP="00070702">
      <w:pPr>
        <w:pStyle w:val="Bibliography"/>
      </w:pPr>
      <w:r w:rsidRPr="00070702">
        <w:t>[20]</w:t>
      </w:r>
      <w:r w:rsidRPr="00070702">
        <w:tab/>
        <w:t>WORLD ASSOCIATION OF NUCLEAR OPERATORS, Traits of a Healthy Nuclear Safety Culture, PL 2013-1, London (2013).</w:t>
      </w:r>
    </w:p>
    <w:p w14:paraId="73AC1DE4" w14:textId="77777777" w:rsidR="00070702" w:rsidRPr="00070702" w:rsidRDefault="00070702" w:rsidP="00070702">
      <w:pPr>
        <w:pStyle w:val="Bibliography"/>
      </w:pPr>
      <w:r w:rsidRPr="00070702">
        <w:t>[21]</w:t>
      </w:r>
      <w:r w:rsidRPr="00070702">
        <w:tab/>
        <w:t>WORLD ASSOCIATION OF NUCLEAR OPERATORS, WANO Principles - Nuclear Leadership Effectiveness Attributes, PL 2019-01, London (2019).</w:t>
      </w:r>
    </w:p>
    <w:p w14:paraId="2D03AF29" w14:textId="77777777" w:rsidR="00070702" w:rsidRPr="00070702" w:rsidRDefault="00070702" w:rsidP="00070702">
      <w:pPr>
        <w:pStyle w:val="Bibliography"/>
      </w:pPr>
      <w:r w:rsidRPr="00070702">
        <w:t>[22]</w:t>
      </w:r>
      <w:r w:rsidRPr="00070702">
        <w:tab/>
        <w:t>INTERNATIONAL ATOMIC ENERGY AGENCY, A Harmonized Safety Culture Model, IAEA Working Document, IAEA, Vienna (2020).</w:t>
      </w:r>
    </w:p>
    <w:p w14:paraId="01639123" w14:textId="77777777" w:rsidR="00070702" w:rsidRPr="00070702" w:rsidRDefault="00070702" w:rsidP="00070702">
      <w:pPr>
        <w:pStyle w:val="Bibliography"/>
      </w:pPr>
      <w:r w:rsidRPr="00070702">
        <w:t>[23]</w:t>
      </w:r>
      <w:r w:rsidRPr="00070702">
        <w:tab/>
        <w:t>INTERNATIONAL ATOMIC ENERGY AGENCY, Performing Safety Culture Self-Assessments, IAEA Safety Reports Series No. 83, IAEA, Vienna (2016).</w:t>
      </w:r>
    </w:p>
    <w:p w14:paraId="63C3AC00" w14:textId="77777777" w:rsidR="00070702" w:rsidRPr="00070702" w:rsidRDefault="00070702" w:rsidP="00070702">
      <w:pPr>
        <w:pStyle w:val="Bibliography"/>
      </w:pPr>
      <w:r w:rsidRPr="00070702">
        <w:t>[24]</w:t>
      </w:r>
      <w:r w:rsidRPr="00070702">
        <w:tab/>
        <w:t>INTERNATIONAL NUCLEAR SAFETY ADVISORY GROUP, Maintaining the Design Integrity of Nuclear Installations throughout Their Operating Life, INSAG-19, IAEA, Vienna (2003).</w:t>
      </w:r>
    </w:p>
    <w:p w14:paraId="64AA765B" w14:textId="77777777" w:rsidR="00070702" w:rsidRPr="00070702" w:rsidRDefault="00070702" w:rsidP="00070702">
      <w:pPr>
        <w:pStyle w:val="Bibliography"/>
      </w:pPr>
      <w:r w:rsidRPr="00070702">
        <w:t>[25]</w:t>
      </w:r>
      <w:r w:rsidRPr="00070702">
        <w:tab/>
        <w:t>INTERNATIONAL ATOMIC ENERGY AGENCY, Sustaining Operational Excellence at Nuclear Power Plants – Principles and Challenges, Nuclear Energy Series, IAEA, Vienna.</w:t>
      </w:r>
    </w:p>
    <w:p w14:paraId="7A8B7E1C" w14:textId="77777777" w:rsidR="00070702" w:rsidRPr="00070702" w:rsidRDefault="00070702" w:rsidP="00070702">
      <w:pPr>
        <w:pStyle w:val="Bibliography"/>
      </w:pPr>
      <w:r w:rsidRPr="00070702">
        <w:t>[26]</w:t>
      </w:r>
      <w:r w:rsidRPr="00070702">
        <w:tab/>
        <w:t>Competency Assessments for Nuclear Industry Personnel, Non-serial Publications, INTERNATIONAL ATOMIC ENERGY AGENCY, Vienna (2006).</w:t>
      </w:r>
    </w:p>
    <w:p w14:paraId="5471FE71" w14:textId="77777777" w:rsidR="00070702" w:rsidRPr="00070702" w:rsidRDefault="00070702" w:rsidP="00070702">
      <w:pPr>
        <w:pStyle w:val="Bibliography"/>
      </w:pPr>
      <w:r w:rsidRPr="00070702">
        <w:t>[27]</w:t>
      </w:r>
      <w:r w:rsidRPr="00070702">
        <w:tab/>
        <w:t>INTERNATIONAL ATOMIC ENERGY AGENCY, Knowledge Management and Its Implementation in Nuclear Organizations, Nuclear Energy Series NG-T-6.10, INTERNATIONAL ATOMIC ENERGY AGENCY, Vienna (2016).</w:t>
      </w:r>
    </w:p>
    <w:p w14:paraId="343B2213" w14:textId="77777777" w:rsidR="00070702" w:rsidRPr="00070702" w:rsidRDefault="00070702" w:rsidP="00070702">
      <w:pPr>
        <w:pStyle w:val="Bibliography"/>
      </w:pPr>
      <w:r w:rsidRPr="00070702">
        <w:t>[28]</w:t>
      </w:r>
      <w:r w:rsidRPr="00070702">
        <w:tab/>
        <w:t>Maintaining the Design Integrity of Nuclear Installations Throughout Their Operating Life, INSAG Series 19, INTERNATIONAL ATOMIC ENERGY AGENCY, Vienna (2004).</w:t>
      </w:r>
    </w:p>
    <w:p w14:paraId="5B96F164" w14:textId="77777777" w:rsidR="00070702" w:rsidRPr="00070702" w:rsidRDefault="00070702" w:rsidP="00070702">
      <w:pPr>
        <w:pStyle w:val="Bibliography"/>
      </w:pPr>
      <w:r w:rsidRPr="00070702">
        <w:t>[29]</w:t>
      </w:r>
      <w:r w:rsidRPr="00070702">
        <w:tab/>
        <w:t>International Nuclear Management Academy Master’s Programmes in Nuclear Technology Management, Nuclear Energy Series NG-T-6.12, INTERNATIONAL ATOMIC ENERGY AGENCY, Vienna (2020).</w:t>
      </w:r>
    </w:p>
    <w:p w14:paraId="48B775E6" w14:textId="77777777" w:rsidR="00070702" w:rsidRPr="00070702" w:rsidRDefault="00070702" w:rsidP="00070702">
      <w:pPr>
        <w:pStyle w:val="Bibliography"/>
      </w:pPr>
      <w:r w:rsidRPr="00070702">
        <w:t>[30]</w:t>
      </w:r>
      <w:r w:rsidRPr="00070702">
        <w:tab/>
        <w:t xml:space="preserve">INTERNATIONAL PANEL ON FISSILE MATERIALS, NRU Reactor at Chalk River Labs Shut down for Repairs, </w:t>
      </w:r>
      <w:r w:rsidRPr="00070702">
        <w:rPr>
          <w:i/>
          <w:iCs/>
        </w:rPr>
        <w:t>IPFM BLOG</w:t>
      </w:r>
      <w:r w:rsidRPr="00070702">
        <w:t xml:space="preserve"> (2009).</w:t>
      </w:r>
    </w:p>
    <w:p w14:paraId="4132D9F6" w14:textId="77777777" w:rsidR="00070702" w:rsidRPr="00070702" w:rsidRDefault="00070702" w:rsidP="00070702">
      <w:pPr>
        <w:pStyle w:val="Bibliography"/>
      </w:pPr>
      <w:r w:rsidRPr="00070702">
        <w:t>[31]</w:t>
      </w:r>
      <w:r w:rsidRPr="00070702">
        <w:tab/>
        <w:t xml:space="preserve">IRVING L. JANIS’, Victims of Groupthink, Political Psychology </w:t>
      </w:r>
      <w:r w:rsidRPr="00070702">
        <w:rPr>
          <w:b/>
          <w:bCs/>
        </w:rPr>
        <w:t>Vol.12, No. 2.</w:t>
      </w:r>
      <w:r w:rsidRPr="00070702">
        <w:t xml:space="preserve"> International Society of Political Psychology (1991).</w:t>
      </w:r>
    </w:p>
    <w:p w14:paraId="56E0914D" w14:textId="77777777" w:rsidR="00070702" w:rsidRPr="00070702" w:rsidRDefault="00070702" w:rsidP="00070702">
      <w:pPr>
        <w:pStyle w:val="Bibliography"/>
      </w:pPr>
      <w:r w:rsidRPr="00070702">
        <w:t>[32]</w:t>
      </w:r>
      <w:r w:rsidRPr="00070702">
        <w:tab/>
        <w:t>MATHEW SYED, Rebel Ideas: The Power of Diverse Thinking, (2019).</w:t>
      </w:r>
    </w:p>
    <w:p w14:paraId="00331623" w14:textId="77777777" w:rsidR="00070702" w:rsidRPr="00070702" w:rsidRDefault="00070702" w:rsidP="00070702">
      <w:pPr>
        <w:pStyle w:val="Bibliography"/>
      </w:pPr>
      <w:r w:rsidRPr="00070702">
        <w:lastRenderedPageBreak/>
        <w:t>[33]</w:t>
      </w:r>
      <w:r w:rsidRPr="00070702">
        <w:tab/>
        <w:t>RICHARD E. NISBETT, The Geography of Thought, (2003).</w:t>
      </w:r>
    </w:p>
    <w:p w14:paraId="42E4E40D" w14:textId="77777777" w:rsidR="00070702" w:rsidRPr="00070702" w:rsidRDefault="00070702" w:rsidP="00070702">
      <w:pPr>
        <w:pStyle w:val="Bibliography"/>
      </w:pPr>
      <w:r w:rsidRPr="00070702">
        <w:t>[34]</w:t>
      </w:r>
      <w:r w:rsidRPr="00070702">
        <w:tab/>
        <w:t>MÜLLER ET AL, Decision Making, (2008).</w:t>
      </w:r>
    </w:p>
    <w:p w14:paraId="620DAE6C" w14:textId="77777777" w:rsidR="00070702" w:rsidRPr="00070702" w:rsidRDefault="00070702" w:rsidP="00070702">
      <w:pPr>
        <w:pStyle w:val="Bibliography"/>
      </w:pPr>
      <w:r w:rsidRPr="00070702">
        <w:t>[35]</w:t>
      </w:r>
      <w:r w:rsidRPr="00070702">
        <w:tab/>
        <w:t>CHARLES R. SCHWENK, The Use of Devil’s Advocates in Strategic Decision-Making, College of Commerce and Business Administration, Bureau of Economic and Business Research, University of Illinois, Urbana-Champaign (1984).</w:t>
      </w:r>
    </w:p>
    <w:p w14:paraId="41E95C72" w14:textId="77777777" w:rsidR="00070702" w:rsidRPr="00070702" w:rsidRDefault="00070702" w:rsidP="00070702">
      <w:pPr>
        <w:pStyle w:val="Bibliography"/>
      </w:pPr>
      <w:r w:rsidRPr="00070702">
        <w:t>[36]</w:t>
      </w:r>
      <w:r w:rsidRPr="00070702">
        <w:tab/>
        <w:t>INTERNATIONAL NUCLEAR SAFETY ADVISORY GROUP, A Framework for an Integrated Risk Informed Decision Making Process, INSAG-25, IAEA, Vienna (2011) 39 pp.</w:t>
      </w:r>
    </w:p>
    <w:p w14:paraId="308C5AE1" w14:textId="77777777" w:rsidR="00070702" w:rsidRPr="00070702" w:rsidRDefault="00070702" w:rsidP="00070702">
      <w:pPr>
        <w:pStyle w:val="Bibliography"/>
      </w:pPr>
      <w:r w:rsidRPr="00070702">
        <w:t>[37]</w:t>
      </w:r>
      <w:r w:rsidRPr="00070702">
        <w:tab/>
        <w:t>U.S.NRC, Updated Implementation Guidelines for SSHAC Hazard Studies, NUREG 2213, (2018).</w:t>
      </w:r>
    </w:p>
    <w:p w14:paraId="13873EEF" w14:textId="77777777" w:rsidR="00070702" w:rsidRPr="00070702" w:rsidRDefault="00070702" w:rsidP="00070702">
      <w:pPr>
        <w:pStyle w:val="Bibliography"/>
      </w:pPr>
      <w:r w:rsidRPr="00070702">
        <w:t>[38]</w:t>
      </w:r>
      <w:r w:rsidRPr="00070702">
        <w:tab/>
        <w:t>INTERNATIONAL ATOMIC ENERGY AGENCY, Safety of Nuclear Power Plants: Design, IAEA Safety Standards Series No. SSR-2/1 (Rev. 1), IAEA, Vienna (2016) 71 pp.</w:t>
      </w:r>
    </w:p>
    <w:p w14:paraId="46861E75" w14:textId="77777777" w:rsidR="00070702" w:rsidRPr="00070702" w:rsidRDefault="00070702" w:rsidP="00070702">
      <w:pPr>
        <w:pStyle w:val="Bibliography"/>
      </w:pPr>
      <w:r w:rsidRPr="00070702">
        <w:t>[39]</w:t>
      </w:r>
      <w:r w:rsidRPr="00070702">
        <w:tab/>
        <w:t>INTERNATIONAL ATOMIC ENERGY AGENCY, Considerations on Performing Integrated Risk Informed Decision Making, IAEA-TECDOC-1909, IAEA, Vienna (2020).</w:t>
      </w:r>
    </w:p>
    <w:p w14:paraId="224B3ADC" w14:textId="77777777" w:rsidR="00070702" w:rsidRPr="00070702" w:rsidRDefault="00070702" w:rsidP="00070702">
      <w:pPr>
        <w:pStyle w:val="Bibliography"/>
      </w:pPr>
      <w:r w:rsidRPr="00070702">
        <w:t>[40]</w:t>
      </w:r>
      <w:r w:rsidRPr="00070702">
        <w:tab/>
        <w:t>OECD, The Characteristics of an Effective Nuclear Regulator, (2014) 32 pp.</w:t>
      </w:r>
    </w:p>
    <w:p w14:paraId="3B1DC0EB" w14:textId="77777777" w:rsidR="00070702" w:rsidRPr="00070702" w:rsidRDefault="00070702" w:rsidP="00070702">
      <w:pPr>
        <w:pStyle w:val="Bibliography"/>
      </w:pPr>
      <w:r w:rsidRPr="00070702">
        <w:t>[41]</w:t>
      </w:r>
      <w:r w:rsidRPr="00070702">
        <w:tab/>
        <w:t>OFFICE FOR NUCLEAR REGULATION, HOLDING INDUSTRY TO ACCOUNT  AND INFLUENCING IMPROVEMENTS – A GUIDE TO ENABLINGREGULATION IN  PRACTICE, (2018).</w:t>
      </w:r>
    </w:p>
    <w:p w14:paraId="7F7EDDA5" w14:textId="77777777" w:rsidR="00070702" w:rsidRPr="00070702" w:rsidRDefault="00070702" w:rsidP="00070702">
      <w:pPr>
        <w:pStyle w:val="Bibliography"/>
      </w:pPr>
      <w:r w:rsidRPr="00070702">
        <w:t>[42]</w:t>
      </w:r>
      <w:r w:rsidRPr="00070702">
        <w:tab/>
        <w:t>EUROCONTROL, Airport CDM Implementation – The Manual.</w:t>
      </w:r>
    </w:p>
    <w:p w14:paraId="2DB42B75" w14:textId="37CE5820" w:rsidR="00313CB4" w:rsidRPr="0028734A" w:rsidRDefault="00AD71E5" w:rsidP="00313CB4">
      <w:pPr>
        <w:rPr>
          <w:lang w:val="en-US"/>
        </w:rPr>
      </w:pPr>
      <w:r>
        <w:rPr>
          <w:lang w:val="en-US"/>
        </w:rPr>
        <w:fldChar w:fldCharType="end"/>
      </w:r>
    </w:p>
    <w:p w14:paraId="57B932EF" w14:textId="5F4D0AE7" w:rsidR="00B04A36" w:rsidRDefault="00B04A36">
      <w:pPr>
        <w:overflowPunct/>
        <w:autoSpaceDE/>
        <w:autoSpaceDN/>
        <w:adjustRightInd/>
        <w:spacing w:after="160" w:line="259" w:lineRule="auto"/>
        <w:jc w:val="left"/>
        <w:textAlignment w:val="auto"/>
      </w:pPr>
      <w:r>
        <w:br w:type="page"/>
      </w:r>
    </w:p>
    <w:p w14:paraId="29A82021" w14:textId="77777777" w:rsidR="00B23C71" w:rsidRDefault="00B23C71" w:rsidP="00B23C71"/>
    <w:p w14:paraId="5C2975D8" w14:textId="77777777" w:rsidR="00650F09" w:rsidRPr="00D64CAF" w:rsidRDefault="00650F09" w:rsidP="00650F09">
      <w:pPr>
        <w:pStyle w:val="Heading1"/>
        <w:numPr>
          <w:ilvl w:val="0"/>
          <w:numId w:val="0"/>
        </w:numPr>
      </w:pPr>
      <w:bookmarkStart w:id="1728" w:name="_Toc87627698"/>
      <w:r>
        <w:t>CONTRIBUTORS TO DRAFTING AND REVIEW</w:t>
      </w:r>
      <w:bookmarkEnd w:id="1728"/>
    </w:p>
    <w:p w14:paraId="3D9AC346" w14:textId="77777777" w:rsidR="00650F09" w:rsidRPr="000C28B9" w:rsidRDefault="00650F09" w:rsidP="00650F09">
      <w:r w:rsidRPr="000C28B9">
        <w:fldChar w:fldCharType="begin"/>
      </w:r>
      <w:r w:rsidRPr="000C28B9">
        <w:instrText xml:space="preserve"> MACROBUTTON  AcceptAllChangesShown "[Click here and type the Appendix Title of your report]" </w:instrText>
      </w:r>
      <w:r w:rsidRPr="000C28B9">
        <w:fldChar w:fldCharType="end"/>
      </w:r>
      <w:r w:rsidRPr="000C28B9">
        <w:t xml:space="preserve"> </w:t>
      </w:r>
    </w:p>
    <w:p w14:paraId="75422C2B" w14:textId="77777777" w:rsidR="00650F09" w:rsidRPr="000C28B9" w:rsidRDefault="00650F09" w:rsidP="00650F09">
      <w:r w:rsidRPr="000C28B9">
        <w:fldChar w:fldCharType="begin"/>
      </w:r>
      <w:r w:rsidRPr="000C28B9">
        <w:instrText xml:space="preserve"> MACROBUTTON  AcceptAllChangesShown "[Click here and type the Appendix Heading 2 of your report]" </w:instrText>
      </w:r>
      <w:r w:rsidRPr="000C28B9">
        <w:fldChar w:fldCharType="end"/>
      </w:r>
      <w:r w:rsidRPr="000C28B9">
        <w:t xml:space="preserve"> </w:t>
      </w:r>
    </w:p>
    <w:p w14:paraId="3094EBDE" w14:textId="77777777" w:rsidR="00650F09" w:rsidRPr="000C28B9" w:rsidRDefault="00650F09" w:rsidP="00B23C71"/>
    <w:sectPr w:rsidR="00650F09" w:rsidRPr="000C28B9">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4DD8F0" w14:textId="77777777" w:rsidR="00AC768F" w:rsidRDefault="00AC768F" w:rsidP="004D0546">
      <w:r>
        <w:separator/>
      </w:r>
    </w:p>
  </w:endnote>
  <w:endnote w:type="continuationSeparator" w:id="0">
    <w:p w14:paraId="1E824886" w14:textId="77777777" w:rsidR="00AC768F" w:rsidRDefault="00AC768F" w:rsidP="004D0546">
      <w:r>
        <w:continuationSeparator/>
      </w:r>
    </w:p>
  </w:endnote>
  <w:endnote w:type="continuationNotice" w:id="1">
    <w:p w14:paraId="31D880C7" w14:textId="77777777" w:rsidR="00AC768F" w:rsidRDefault="00AC76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895473E-57B3-4401-B2D2-75BC29186D0C}"/>
    <w:embedBold r:id="rId2" w:subsetted="1" w:fontKey="{211B2EB8-1361-47A1-ACBC-638D55911FF7}"/>
  </w:font>
  <w:font w:name="Yu Mincho">
    <w:altName w:val="游明朝"/>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de">
    <w:altName w:val="Calibri"/>
    <w:charset w:val="00"/>
    <w:family w:val="swiss"/>
    <w:pitch w:val="default"/>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embedRegular r:id="rId3" w:subsetted="1" w:fontKey="{CA1347E2-496B-4368-B3A1-FA473EAC7376}"/>
  </w:font>
  <w:font w:name="MS Mincho">
    <w:altName w:val="ＭＳ 明朝"/>
    <w:panose1 w:val="020206090402050803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embedRegular r:id="rId4" w:subsetted="1" w:fontKey="{D8980F3F-02F5-47B8-B817-AB9D9E156A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9585783"/>
      <w:docPartObj>
        <w:docPartGallery w:val="Page Numbers (Bottom of Page)"/>
        <w:docPartUnique/>
      </w:docPartObj>
    </w:sdtPr>
    <w:sdtEndPr>
      <w:rPr>
        <w:noProof/>
      </w:rPr>
    </w:sdtEndPr>
    <w:sdtContent>
      <w:p w14:paraId="5741CFF7" w14:textId="4B37DB4D" w:rsidR="00897139" w:rsidRDefault="0089713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9E6786" w14:textId="7C2C514C" w:rsidR="00897139" w:rsidRDefault="008971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826375" w14:textId="77777777" w:rsidR="00AC768F" w:rsidRDefault="00AC768F" w:rsidP="004D0546">
      <w:r>
        <w:separator/>
      </w:r>
    </w:p>
  </w:footnote>
  <w:footnote w:type="continuationSeparator" w:id="0">
    <w:p w14:paraId="7651F73A" w14:textId="77777777" w:rsidR="00AC768F" w:rsidRDefault="00AC768F" w:rsidP="004D0546">
      <w:r>
        <w:continuationSeparator/>
      </w:r>
    </w:p>
  </w:footnote>
  <w:footnote w:type="continuationNotice" w:id="1">
    <w:p w14:paraId="5D4AC74C" w14:textId="77777777" w:rsidR="00AC768F" w:rsidRDefault="00AC768F"/>
  </w:footnote>
  <w:footnote w:id="2">
    <w:p w14:paraId="52757715" w14:textId="77777777" w:rsidR="009F4015" w:rsidRPr="000E2AF0" w:rsidRDefault="009F4015" w:rsidP="003B4FAF">
      <w:pPr>
        <w:overflowPunct/>
        <w:autoSpaceDE/>
        <w:autoSpaceDN/>
        <w:adjustRightInd/>
        <w:snapToGrid w:val="0"/>
        <w:spacing w:after="0"/>
        <w:jc w:val="left"/>
        <w:textAlignment w:val="auto"/>
        <w:rPr>
          <w:rFonts w:eastAsia="MS PGothic"/>
          <w:sz w:val="20"/>
          <w:lang w:val="en-US" w:eastAsia="ja-JP"/>
        </w:rPr>
      </w:pPr>
      <w:r>
        <w:rPr>
          <w:rStyle w:val="FootnoteReference"/>
        </w:rPr>
        <w:footnoteRef/>
      </w:r>
      <w:r>
        <w:t xml:space="preserve"> </w:t>
      </w:r>
      <w:r w:rsidRPr="000E2AF0">
        <w:rPr>
          <w:rFonts w:eastAsia="MS PGothic"/>
          <w:color w:val="000000"/>
          <w:sz w:val="20"/>
        </w:rPr>
        <w:t>Although TEPCO recognized the value of listening to the views of experts in other Divisions of the company after falsification issue surfaced in 2002, this was occasionally done in a strange way by appointing someone with no knowledge of nuclear power to the General Manager of the Department of Engineering at Fukushima-Daiichi nuclear power station (Accident Investigation Report by Rebuild Japan, 2021, p317)</w:t>
      </w:r>
    </w:p>
  </w:footnote>
  <w:footnote w:id="3">
    <w:p w14:paraId="7F663E96" w14:textId="77777777" w:rsidR="009F4015" w:rsidRPr="003B4FAF" w:rsidRDefault="009F4015" w:rsidP="003B4FAF">
      <w:pPr>
        <w:overflowPunct/>
        <w:autoSpaceDE/>
        <w:autoSpaceDN/>
        <w:adjustRightInd/>
        <w:snapToGrid w:val="0"/>
        <w:spacing w:after="0"/>
        <w:jc w:val="left"/>
        <w:textAlignment w:val="auto"/>
        <w:rPr>
          <w:rFonts w:eastAsia="MS PGothic"/>
          <w:color w:val="000000" w:themeColor="text1"/>
          <w:sz w:val="21"/>
          <w:szCs w:val="21"/>
        </w:rPr>
      </w:pPr>
      <w:r>
        <w:rPr>
          <w:rStyle w:val="FootnoteReference"/>
        </w:rPr>
        <w:footnoteRef/>
      </w:r>
      <w:r>
        <w:t xml:space="preserve"> </w:t>
      </w:r>
      <w:r w:rsidRPr="000E2AF0">
        <w:rPr>
          <w:rFonts w:eastAsia="MS PGothic"/>
          <w:color w:val="000000"/>
          <w:sz w:val="20"/>
        </w:rPr>
        <w:t>WANO</w:t>
      </w:r>
      <w:r w:rsidRPr="000E2AF0">
        <w:rPr>
          <w:rFonts w:eastAsia="MS PGothic"/>
          <w:b/>
          <w:color w:val="000000"/>
          <w:sz w:val="20"/>
        </w:rPr>
        <w:t>,</w:t>
      </w:r>
      <w:r w:rsidRPr="000E2AF0">
        <w:rPr>
          <w:rFonts w:eastAsia="MS PGothic"/>
          <w:color w:val="000000"/>
          <w:sz w:val="20"/>
        </w:rPr>
        <w:t xml:space="preserve"> as Industry’s watchdog, allowed autonomy of regional center, which resulted in lack of attention to governance issue. This issue was addressed and WANO had changed review system in the aftermath of the accident </w:t>
      </w:r>
      <w:r w:rsidRPr="000E2AF0">
        <w:rPr>
          <w:rFonts w:eastAsia="MS PGothic"/>
          <w:color w:val="000000" w:themeColor="text1"/>
          <w:sz w:val="20"/>
        </w:rPr>
        <w:t>including addition of corporate function review.</w:t>
      </w:r>
    </w:p>
  </w:footnote>
  <w:footnote w:id="4">
    <w:p w14:paraId="4AEFF20A" w14:textId="77777777" w:rsidR="003B4FAF" w:rsidRDefault="003B4FAF" w:rsidP="003B4FAF">
      <w:pPr>
        <w:widowControl w:val="0"/>
        <w:overflowPunct/>
        <w:autoSpaceDE/>
        <w:autoSpaceDN/>
        <w:adjustRightInd/>
        <w:snapToGrid w:val="0"/>
        <w:spacing w:after="0"/>
        <w:textAlignment w:val="auto"/>
        <w:rPr>
          <w:sz w:val="21"/>
          <w:szCs w:val="21"/>
        </w:rPr>
      </w:pPr>
    </w:p>
    <w:p w14:paraId="107BF828" w14:textId="5EB1E4B6" w:rsidR="009F4015" w:rsidRPr="000E2AF0" w:rsidRDefault="009F4015" w:rsidP="003B4FAF">
      <w:pPr>
        <w:widowControl w:val="0"/>
        <w:overflowPunct/>
        <w:autoSpaceDE/>
        <w:autoSpaceDN/>
        <w:adjustRightInd/>
        <w:snapToGrid w:val="0"/>
        <w:spacing w:after="0"/>
        <w:textAlignment w:val="auto"/>
        <w:rPr>
          <w:color w:val="000000"/>
          <w:sz w:val="20"/>
        </w:rPr>
      </w:pPr>
      <w:r w:rsidRPr="002C276F">
        <w:rPr>
          <w:rStyle w:val="FootnoteReference"/>
          <w:sz w:val="21"/>
          <w:szCs w:val="21"/>
        </w:rPr>
        <w:footnoteRef/>
      </w:r>
      <w:r w:rsidRPr="003B4FAF">
        <w:rPr>
          <w:sz w:val="21"/>
          <w:szCs w:val="21"/>
        </w:rPr>
        <w:t xml:space="preserve"> </w:t>
      </w:r>
      <w:r w:rsidRPr="000E2AF0">
        <w:rPr>
          <w:rFonts w:eastAsia="MS PGothic"/>
          <w:color w:val="000000"/>
          <w:sz w:val="20"/>
        </w:rPr>
        <w:t xml:space="preserve">IAEA, </w:t>
      </w:r>
      <w:r w:rsidRPr="000E2AF0">
        <w:rPr>
          <w:color w:val="000000"/>
          <w:sz w:val="20"/>
        </w:rPr>
        <w:t>Specific Safety Requirement</w:t>
      </w:r>
      <w:r w:rsidR="000E2AF0">
        <w:rPr>
          <w:color w:val="000000"/>
          <w:sz w:val="20"/>
        </w:rPr>
        <w:t xml:space="preserve"> </w:t>
      </w:r>
      <w:r w:rsidRPr="000E2AF0">
        <w:rPr>
          <w:color w:val="000000"/>
          <w:sz w:val="20"/>
        </w:rPr>
        <w:t>(SSR ‐2/1, Rev.1, February 2016) item 5.73. WENRA’S stress test (detail in Appendix)</w:t>
      </w:r>
    </w:p>
    <w:p w14:paraId="7EEBCD27" w14:textId="77777777" w:rsidR="009F4015" w:rsidRPr="006013B1" w:rsidRDefault="009F4015" w:rsidP="009F4015">
      <w:pPr>
        <w:pStyle w:val="FootnoteText"/>
      </w:pPr>
    </w:p>
  </w:footnote>
  <w:footnote w:id="5">
    <w:p w14:paraId="372A3AF8" w14:textId="6490CEDB" w:rsidR="009F4015" w:rsidRDefault="009F4015" w:rsidP="009F4015">
      <w:pPr>
        <w:pStyle w:val="FootnoteText"/>
        <w:rPr>
          <w:rFonts w:ascii="Times New Roman" w:hAnsi="Times New Roman" w:cs="Times New Roman"/>
          <w:sz w:val="20"/>
          <w:szCs w:val="20"/>
        </w:rPr>
      </w:pPr>
      <w:r w:rsidRPr="002D7630">
        <w:rPr>
          <w:rStyle w:val="FootnoteReference"/>
          <w:rFonts w:ascii="Times New Roman" w:hAnsi="Times New Roman" w:cs="Times New Roman"/>
          <w:sz w:val="20"/>
          <w:szCs w:val="20"/>
        </w:rPr>
        <w:footnoteRef/>
      </w:r>
      <w:r w:rsidRPr="002D7630">
        <w:rPr>
          <w:rFonts w:ascii="Times New Roman" w:hAnsi="Times New Roman" w:cs="Times New Roman"/>
          <w:sz w:val="20"/>
          <w:szCs w:val="20"/>
        </w:rPr>
        <w:t xml:space="preserve"> Site manager’s adaptive behaviour of sense-making before site staffers is analysed in Harvard Business Review (“How the other Fukushima unit survived”, 2014</w:t>
      </w:r>
      <w:r w:rsidR="00436FA0">
        <w:rPr>
          <w:rFonts w:ascii="Times New Roman" w:hAnsi="Times New Roman" w:cs="Times New Roman"/>
          <w:sz w:val="20"/>
          <w:szCs w:val="20"/>
        </w:rPr>
        <w:t xml:space="preserve"> </w:t>
      </w:r>
      <w:r w:rsidR="00436FA0">
        <w:rPr>
          <w:rFonts w:ascii="Times New Roman" w:hAnsi="Times New Roman" w:cs="Times New Roman"/>
          <w:sz w:val="20"/>
          <w:szCs w:val="20"/>
        </w:rPr>
        <w:fldChar w:fldCharType="begin"/>
      </w:r>
      <w:r w:rsidR="00436FA0">
        <w:rPr>
          <w:rFonts w:ascii="Times New Roman" w:hAnsi="Times New Roman" w:cs="Times New Roman"/>
          <w:sz w:val="20"/>
          <w:szCs w:val="20"/>
        </w:rPr>
        <w:instrText xml:space="preserve"> ADDIN ZOTERO_ITEM CSL_CITATION {"citationID":"GJkCA3OS","properties":{"formattedCitation":"[13]","plainCitation":"[13]","noteIndex":4},"citationItems":[{"id":1071,"uris":["http://zotero.org/users/6184040/items/JVG3NXPW"],"uri":["http://zotero.org/users/6184040/items/JVG3NXPW"],"itemData":{"id":1071,"type":"book","title":"How the Other Fukushima Plant Survived","author":[{"literal":"Ranjay Gulati"},{"literal":"Charles Casto"},{"literal":"Charlotte Krontiris"}],"issued":{"date-parts":[["2014",7,1]]}}}],"schema":"https://github.com/citation-style-language/schema/raw/master/csl-citation.json"} </w:instrText>
      </w:r>
      <w:r w:rsidR="00436FA0">
        <w:rPr>
          <w:rFonts w:ascii="Times New Roman" w:hAnsi="Times New Roman" w:cs="Times New Roman"/>
          <w:sz w:val="20"/>
          <w:szCs w:val="20"/>
        </w:rPr>
        <w:fldChar w:fldCharType="separate"/>
      </w:r>
      <w:r w:rsidR="00436FA0" w:rsidRPr="00436FA0">
        <w:rPr>
          <w:rFonts w:ascii="Times New Roman" w:hAnsi="Times New Roman" w:cs="Times New Roman"/>
          <w:sz w:val="20"/>
        </w:rPr>
        <w:t>[13]</w:t>
      </w:r>
      <w:r w:rsidR="00436FA0">
        <w:rPr>
          <w:rFonts w:ascii="Times New Roman" w:hAnsi="Times New Roman" w:cs="Times New Roman"/>
          <w:sz w:val="20"/>
          <w:szCs w:val="20"/>
        </w:rPr>
        <w:fldChar w:fldCharType="end"/>
      </w:r>
      <w:r w:rsidRPr="002D7630">
        <w:rPr>
          <w:rFonts w:ascii="Times New Roman" w:hAnsi="Times New Roman" w:cs="Times New Roman"/>
          <w:sz w:val="20"/>
          <w:szCs w:val="20"/>
        </w:rPr>
        <w:t>)</w:t>
      </w:r>
    </w:p>
    <w:p w14:paraId="031A44FD" w14:textId="77777777" w:rsidR="002D7630" w:rsidRPr="002D7630" w:rsidRDefault="002D7630" w:rsidP="009F4015">
      <w:pPr>
        <w:pStyle w:val="FootnoteText"/>
        <w:rPr>
          <w:rFonts w:ascii="Times New Roman" w:hAnsi="Times New Roman" w:cs="Times New Roman"/>
          <w:sz w:val="20"/>
          <w:szCs w:val="20"/>
        </w:rPr>
      </w:pPr>
    </w:p>
  </w:footnote>
  <w:footnote w:id="6">
    <w:p w14:paraId="78C212AD" w14:textId="77777777" w:rsidR="009B0975" w:rsidRPr="002D7630" w:rsidRDefault="009B0975" w:rsidP="009B0975">
      <w:pPr>
        <w:snapToGrid w:val="0"/>
        <w:spacing w:after="0"/>
        <w:rPr>
          <w:sz w:val="20"/>
        </w:rPr>
      </w:pPr>
      <w:r w:rsidRPr="002D7630">
        <w:rPr>
          <w:rStyle w:val="FootnoteReference"/>
          <w:sz w:val="20"/>
        </w:rPr>
        <w:footnoteRef/>
      </w:r>
      <w:r w:rsidRPr="002D7630">
        <w:rPr>
          <w:sz w:val="20"/>
        </w:rPr>
        <w:t xml:space="preserve"> The totality of stakeholders is taken to constitute an institution (people, non- governmental organizations, media, shareholders, neighbours), even if views among stakeholders may be different. ‘Safety’ in this context relates to the protection of people, society and the environment. It is noted that many of the concepts and requirements presented in this model of a robust nuclear safety system could also be employed when considering the robustness of a national nuclear security system.</w:t>
      </w:r>
    </w:p>
    <w:p w14:paraId="48537148" w14:textId="77777777" w:rsidR="009B0975" w:rsidRPr="00A06531" w:rsidRDefault="009B0975" w:rsidP="009B0975">
      <w:pPr>
        <w:pStyle w:val="FootnoteText"/>
      </w:pPr>
    </w:p>
  </w:footnote>
  <w:footnote w:id="7">
    <w:p w14:paraId="442DA981" w14:textId="77777777" w:rsidR="009B0975" w:rsidRPr="009B01A7" w:rsidRDefault="009B0975" w:rsidP="009B0975">
      <w:pPr>
        <w:pStyle w:val="FootnoteText"/>
      </w:pPr>
      <w:r>
        <w:rPr>
          <w:rStyle w:val="FootnoteReference"/>
        </w:rPr>
        <w:footnoteRef/>
      </w:r>
      <w:r>
        <w:t xml:space="preserve"> </w:t>
      </w:r>
      <w:r w:rsidRPr="00D5096B">
        <w:rPr>
          <w:rFonts w:ascii="Times New Roman" w:hAnsi="Times New Roman" w:cs="Times New Roman"/>
          <w:sz w:val="20"/>
          <w:szCs w:val="20"/>
        </w:rPr>
        <w:t>Recommendations in IAEA GSGR6, though it is for regulators, provides useful general recommendations for interaction such as transparency and openness, earning trust, leadership and strategy</w:t>
      </w:r>
    </w:p>
  </w:footnote>
  <w:footnote w:id="8">
    <w:p w14:paraId="581B44D5" w14:textId="77777777" w:rsidR="00EA02F0" w:rsidRPr="00AE6A2C" w:rsidRDefault="00EA02F0" w:rsidP="00EA02F0">
      <w:pPr>
        <w:pStyle w:val="FootnoteText"/>
        <w:rPr>
          <w:rFonts w:ascii="Times New Roman" w:hAnsi="Times New Roman" w:cs="Times New Roman"/>
          <w:sz w:val="20"/>
          <w:szCs w:val="20"/>
        </w:rPr>
      </w:pPr>
      <w:r w:rsidRPr="0064676C">
        <w:rPr>
          <w:rStyle w:val="FootnoteReference"/>
          <w:rFonts w:ascii="Helvetica" w:hAnsi="Helvetica"/>
        </w:rPr>
        <w:footnoteRef/>
      </w:r>
      <w:r w:rsidRPr="0064676C">
        <w:rPr>
          <w:rFonts w:ascii="Helvetica" w:hAnsi="Helvetica"/>
        </w:rPr>
        <w:t xml:space="preserve"> </w:t>
      </w:r>
      <w:r w:rsidRPr="00AE6A2C">
        <w:rPr>
          <w:rFonts w:ascii="Times New Roman" w:hAnsi="Times New Roman" w:cs="Times New Roman"/>
          <w:sz w:val="20"/>
          <w:szCs w:val="20"/>
        </w:rPr>
        <w:t xml:space="preserve">Reference can be made to such events as below. Sensitivity to alarming signal: accumulated rust in ventilation filter at Davis-Besse (RPV top bottom corrosion); Sensitivity to precursors: Seawater leakage at the basement (Fukushima-Daiichi, 1991), Flooding at Blayais NPP, 1999, accident at Leningrad unit 1(precursor to Chernobyl), Davis-Besse condensate water system transient (precursor to TMI). Experience at Leningrad Unit 1 accident was not shared with Chernobyl. Importance of sensitivity and sharing information for prevention were also cited in 9.11 Investigations Report (terrorists sent to US flight training school, FBI Phenix report etc.). </w:t>
      </w:r>
    </w:p>
  </w:footnote>
  <w:footnote w:id="9">
    <w:p w14:paraId="551B7DB8" w14:textId="77777777" w:rsidR="00EF053B" w:rsidRPr="00C809B1" w:rsidRDefault="00EF053B" w:rsidP="00EF053B">
      <w:pPr>
        <w:pStyle w:val="FootnoteText"/>
        <w:rPr>
          <w:rFonts w:ascii="Times New Roman" w:hAnsi="Times New Roman" w:cs="Times New Roman"/>
          <w:sz w:val="20"/>
          <w:szCs w:val="20"/>
        </w:rPr>
      </w:pPr>
      <w:r w:rsidRPr="00EC4B43">
        <w:rPr>
          <w:rStyle w:val="FootnoteReference"/>
          <w:color w:val="000000" w:themeColor="text1"/>
        </w:rPr>
        <w:footnoteRef/>
      </w:r>
      <w:r w:rsidRPr="00EC4B43">
        <w:rPr>
          <w:color w:val="000000" w:themeColor="text1"/>
        </w:rPr>
        <w:t xml:space="preserve"> </w:t>
      </w:r>
      <w:r w:rsidRPr="00C809B1">
        <w:rPr>
          <w:rFonts w:ascii="Times New Roman" w:hAnsi="Times New Roman" w:cs="Times New Roman"/>
          <w:color w:val="000000" w:themeColor="text1"/>
          <w:sz w:val="20"/>
          <w:szCs w:val="20"/>
        </w:rPr>
        <w:t>Reference can be made to Use of batteries collected from automobile when faced with total loss of all DC power (Fukushima-Daiichi), and even non-nuclear cases such as Apollo 13 when faced with loss of oxygen tank, landing of US Airways flight 1549 landing on Hudson river when faced with loss of all engines.</w:t>
      </w:r>
    </w:p>
  </w:footnote>
  <w:footnote w:id="10">
    <w:p w14:paraId="5843F3DC" w14:textId="4ABABBFE" w:rsidR="00507B4F" w:rsidRPr="00747369" w:rsidRDefault="00643515" w:rsidP="00507B4F">
      <w:pPr>
        <w:snapToGrid w:val="0"/>
        <w:spacing w:after="0"/>
        <w:rPr>
          <w:rStyle w:val="Hyperlink"/>
          <w:color w:val="000000" w:themeColor="text1"/>
          <w:szCs w:val="24"/>
        </w:rPr>
      </w:pPr>
      <w:r>
        <w:rPr>
          <w:rStyle w:val="FootnoteReference"/>
        </w:rPr>
        <w:footnoteRef/>
      </w:r>
      <w:r>
        <w:t xml:space="preserve"> </w:t>
      </w:r>
      <w:r w:rsidR="00507B4F">
        <w:rPr>
          <w:sz w:val="20"/>
        </w:rPr>
        <w:t xml:space="preserve">See </w:t>
      </w:r>
      <w:hyperlink r:id="rId1" w:history="1">
        <w:r w:rsidR="00507B4F" w:rsidRPr="00507B4F">
          <w:rPr>
            <w:rStyle w:val="Hyperlink"/>
            <w:rFonts w:eastAsia="Calibri"/>
            <w:color w:val="000000" w:themeColor="text1"/>
            <w:sz w:val="20"/>
          </w:rPr>
          <w:t>https://www.cast-safety.org/apex/f?p=102:1:14493125834281::NO::P1_X:history</w:t>
        </w:r>
      </w:hyperlink>
    </w:p>
    <w:p w14:paraId="47209F70" w14:textId="41EF2978" w:rsidR="00643515" w:rsidRPr="00507B4F" w:rsidRDefault="00643515">
      <w:pPr>
        <w:pStyle w:val="FootnoteText"/>
        <w:rPr>
          <w:rFonts w:ascii="Times New Roman" w:hAnsi="Times New Roman" w:cs="Times New Roman"/>
          <w:sz w:val="20"/>
          <w:szCs w:val="20"/>
          <w:lang w:val="en-GB"/>
        </w:rPr>
      </w:pPr>
    </w:p>
  </w:footnote>
  <w:footnote w:id="11">
    <w:p w14:paraId="728E6336" w14:textId="78CAE53F" w:rsidR="005706FD" w:rsidRPr="005706FD" w:rsidRDefault="005706FD">
      <w:pPr>
        <w:pStyle w:val="FootnoteText"/>
        <w:rPr>
          <w:rFonts w:ascii="Times New Roman" w:hAnsi="Times New Roman" w:cs="Times New Roman"/>
          <w:sz w:val="20"/>
          <w:szCs w:val="20"/>
          <w:lang w:val="en-GB"/>
        </w:rPr>
      </w:pPr>
      <w:r>
        <w:rPr>
          <w:rStyle w:val="FootnoteReference"/>
        </w:rPr>
        <w:footnoteRef/>
      </w:r>
      <w:r>
        <w:t xml:space="preserve"> </w:t>
      </w:r>
      <w:r>
        <w:rPr>
          <w:rFonts w:ascii="Times New Roman" w:hAnsi="Times New Roman" w:cs="Times New Roman"/>
          <w:sz w:val="20"/>
          <w:szCs w:val="20"/>
        </w:rPr>
        <w:t xml:space="preserve">See </w:t>
      </w:r>
      <w:hyperlink r:id="rId2" w:history="1">
        <w:r w:rsidRPr="005706FD">
          <w:rPr>
            <w:rStyle w:val="Hyperlink"/>
            <w:rFonts w:ascii="Times New Roman" w:eastAsia="Calibri" w:hAnsi="Times New Roman" w:cs="Times New Roman"/>
            <w:color w:val="000000" w:themeColor="text1"/>
            <w:sz w:val="20"/>
            <w:szCs w:val="20"/>
          </w:rPr>
          <w:t>https://www.standard.no/en/sectors/energi-og-klima/petroleum/norsok-standard-categories/s-safety-she/</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B1959"/>
    <w:multiLevelType w:val="multilevel"/>
    <w:tmpl w:val="A4A60696"/>
    <w:lvl w:ilvl="0">
      <w:start w:val="1"/>
      <w:numFmt w:val="upperRoman"/>
      <w:pStyle w:val="AppendixHeading1"/>
      <w:lvlText w:val="APPENDIX %1."/>
      <w:lvlJc w:val="left"/>
      <w:pPr>
        <w:tabs>
          <w:tab w:val="num" w:pos="2160"/>
        </w:tabs>
        <w:ind w:left="0" w:firstLine="0"/>
      </w:pPr>
      <w:rPr>
        <w:rFonts w:hint="default"/>
      </w:rPr>
    </w:lvl>
    <w:lvl w:ilvl="1">
      <w:start w:val="1"/>
      <w:numFmt w:val="decimal"/>
      <w:pStyle w:val="AppendixHeading2"/>
      <w:lvlText w:val="%1.%2."/>
      <w:lvlJc w:val="left"/>
      <w:pPr>
        <w:tabs>
          <w:tab w:val="num" w:pos="360"/>
        </w:tabs>
        <w:ind w:left="0" w:firstLine="0"/>
      </w:pPr>
      <w:rPr>
        <w:rFonts w:hint="default"/>
      </w:rPr>
    </w:lvl>
    <w:lvl w:ilvl="2">
      <w:start w:val="1"/>
      <w:numFmt w:val="decimal"/>
      <w:pStyle w:val="AppendixHeading3"/>
      <w:lvlText w:val="%1.%2.%3."/>
      <w:lvlJc w:val="left"/>
      <w:pPr>
        <w:tabs>
          <w:tab w:val="num" w:pos="720"/>
        </w:tabs>
        <w:ind w:left="0" w:firstLine="0"/>
      </w:pPr>
      <w:rPr>
        <w:rFonts w:hint="default"/>
      </w:rPr>
    </w:lvl>
    <w:lvl w:ilvl="3">
      <w:start w:val="1"/>
      <w:numFmt w:val="decimal"/>
      <w:pStyle w:val="AppendixHeading4"/>
      <w:lvlText w:val="%1.%2.%3.%4."/>
      <w:lvlJc w:val="left"/>
      <w:pPr>
        <w:tabs>
          <w:tab w:val="num" w:pos="720"/>
        </w:tabs>
        <w:ind w:left="0" w:firstLine="0"/>
      </w:pPr>
      <w:rPr>
        <w:rFonts w:hint="default"/>
      </w:rPr>
    </w:lvl>
    <w:lvl w:ilvl="4">
      <w:start w:val="1"/>
      <w:numFmt w:val="none"/>
      <w:lvlText w:val=""/>
      <w:lvlJc w:val="left"/>
      <w:pPr>
        <w:tabs>
          <w:tab w:val="num" w:pos="2232"/>
        </w:tabs>
        <w:ind w:left="2232" w:hanging="792"/>
      </w:pPr>
      <w:rPr>
        <w:rFonts w:hint="default"/>
      </w:rPr>
    </w:lvl>
    <w:lvl w:ilvl="5">
      <w:start w:val="1"/>
      <w:numFmt w:val="none"/>
      <w:lvlText w:val=""/>
      <w:lvlJc w:val="left"/>
      <w:pPr>
        <w:tabs>
          <w:tab w:val="num" w:pos="2736"/>
        </w:tabs>
        <w:ind w:left="2736" w:hanging="936"/>
      </w:pPr>
      <w:rPr>
        <w:rFonts w:hint="default"/>
      </w:rPr>
    </w:lvl>
    <w:lvl w:ilvl="6">
      <w:start w:val="1"/>
      <w:numFmt w:val="none"/>
      <w:lvlText w:val=""/>
      <w:lvlJc w:val="left"/>
      <w:pPr>
        <w:tabs>
          <w:tab w:val="num" w:pos="3240"/>
        </w:tabs>
        <w:ind w:left="3240" w:hanging="1080"/>
      </w:pPr>
      <w:rPr>
        <w:rFonts w:hint="default"/>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1" w15:restartNumberingAfterBreak="0">
    <w:nsid w:val="05663B50"/>
    <w:multiLevelType w:val="hybridMultilevel"/>
    <w:tmpl w:val="8D847CEC"/>
    <w:lvl w:ilvl="0" w:tplc="39F8334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AA650C"/>
    <w:multiLevelType w:val="hybridMultilevel"/>
    <w:tmpl w:val="FFFFFFFF"/>
    <w:lvl w:ilvl="0" w:tplc="98B00E4E">
      <w:start w:val="1"/>
      <w:numFmt w:val="bullet"/>
      <w:lvlText w:val="-"/>
      <w:lvlJc w:val="left"/>
      <w:pPr>
        <w:ind w:left="720" w:hanging="360"/>
      </w:pPr>
      <w:rPr>
        <w:rFonts w:ascii="Symbol" w:hAnsi="Symbol" w:hint="default"/>
      </w:rPr>
    </w:lvl>
    <w:lvl w:ilvl="1" w:tplc="441EB2DC">
      <w:start w:val="1"/>
      <w:numFmt w:val="bullet"/>
      <w:lvlText w:val="o"/>
      <w:lvlJc w:val="left"/>
      <w:pPr>
        <w:ind w:left="1440" w:hanging="360"/>
      </w:pPr>
      <w:rPr>
        <w:rFonts w:ascii="Courier New" w:hAnsi="Courier New" w:hint="default"/>
      </w:rPr>
    </w:lvl>
    <w:lvl w:ilvl="2" w:tplc="50682FE4">
      <w:start w:val="1"/>
      <w:numFmt w:val="bullet"/>
      <w:lvlText w:val=""/>
      <w:lvlJc w:val="left"/>
      <w:pPr>
        <w:ind w:left="2160" w:hanging="360"/>
      </w:pPr>
      <w:rPr>
        <w:rFonts w:ascii="Wingdings" w:hAnsi="Wingdings" w:hint="default"/>
      </w:rPr>
    </w:lvl>
    <w:lvl w:ilvl="3" w:tplc="860C0322">
      <w:start w:val="1"/>
      <w:numFmt w:val="bullet"/>
      <w:lvlText w:val=""/>
      <w:lvlJc w:val="left"/>
      <w:pPr>
        <w:ind w:left="2880" w:hanging="360"/>
      </w:pPr>
      <w:rPr>
        <w:rFonts w:ascii="Symbol" w:hAnsi="Symbol" w:hint="default"/>
      </w:rPr>
    </w:lvl>
    <w:lvl w:ilvl="4" w:tplc="7C148436">
      <w:start w:val="1"/>
      <w:numFmt w:val="bullet"/>
      <w:lvlText w:val="o"/>
      <w:lvlJc w:val="left"/>
      <w:pPr>
        <w:ind w:left="3600" w:hanging="360"/>
      </w:pPr>
      <w:rPr>
        <w:rFonts w:ascii="Courier New" w:hAnsi="Courier New" w:hint="default"/>
      </w:rPr>
    </w:lvl>
    <w:lvl w:ilvl="5" w:tplc="B4EA1A5E">
      <w:start w:val="1"/>
      <w:numFmt w:val="bullet"/>
      <w:lvlText w:val=""/>
      <w:lvlJc w:val="left"/>
      <w:pPr>
        <w:ind w:left="4320" w:hanging="360"/>
      </w:pPr>
      <w:rPr>
        <w:rFonts w:ascii="Wingdings" w:hAnsi="Wingdings" w:hint="default"/>
      </w:rPr>
    </w:lvl>
    <w:lvl w:ilvl="6" w:tplc="FC502DD0">
      <w:start w:val="1"/>
      <w:numFmt w:val="bullet"/>
      <w:lvlText w:val=""/>
      <w:lvlJc w:val="left"/>
      <w:pPr>
        <w:ind w:left="5040" w:hanging="360"/>
      </w:pPr>
      <w:rPr>
        <w:rFonts w:ascii="Symbol" w:hAnsi="Symbol" w:hint="default"/>
      </w:rPr>
    </w:lvl>
    <w:lvl w:ilvl="7" w:tplc="0C8476D0">
      <w:start w:val="1"/>
      <w:numFmt w:val="bullet"/>
      <w:lvlText w:val="o"/>
      <w:lvlJc w:val="left"/>
      <w:pPr>
        <w:ind w:left="5760" w:hanging="360"/>
      </w:pPr>
      <w:rPr>
        <w:rFonts w:ascii="Courier New" w:hAnsi="Courier New" w:hint="default"/>
      </w:rPr>
    </w:lvl>
    <w:lvl w:ilvl="8" w:tplc="765C0CFC">
      <w:start w:val="1"/>
      <w:numFmt w:val="bullet"/>
      <w:lvlText w:val=""/>
      <w:lvlJc w:val="left"/>
      <w:pPr>
        <w:ind w:left="6480" w:hanging="360"/>
      </w:pPr>
      <w:rPr>
        <w:rFonts w:ascii="Wingdings" w:hAnsi="Wingdings" w:hint="default"/>
      </w:rPr>
    </w:lvl>
  </w:abstractNum>
  <w:abstractNum w:abstractNumId="3" w15:restartNumberingAfterBreak="0">
    <w:nsid w:val="15E23788"/>
    <w:multiLevelType w:val="hybridMultilevel"/>
    <w:tmpl w:val="FF282DB4"/>
    <w:lvl w:ilvl="0" w:tplc="71E83872">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F3C7FF2"/>
    <w:multiLevelType w:val="hybridMultilevel"/>
    <w:tmpl w:val="6E7626F0"/>
    <w:lvl w:ilvl="0" w:tplc="08090001">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1A69DA"/>
    <w:multiLevelType w:val="hybridMultilevel"/>
    <w:tmpl w:val="33FA7F42"/>
    <w:lvl w:ilvl="0" w:tplc="75E6988E">
      <w:start w:val="1"/>
      <w:numFmt w:val="bullet"/>
      <w:lvlText w:val="•"/>
      <w:lvlJc w:val="left"/>
      <w:pPr>
        <w:ind w:left="987" w:hanging="420"/>
      </w:pPr>
      <w:rPr>
        <w:rFonts w:ascii="Arial" w:hAnsi="Arial"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6" w15:restartNumberingAfterBreak="0">
    <w:nsid w:val="2E1D3AF1"/>
    <w:multiLevelType w:val="hybridMultilevel"/>
    <w:tmpl w:val="CE9497D6"/>
    <w:lvl w:ilvl="0" w:tplc="68FC0F62">
      <w:start w:val="1"/>
      <w:numFmt w:val="decimal"/>
      <w:lvlText w:val="%1."/>
      <w:lvlJc w:val="left"/>
      <w:pPr>
        <w:ind w:left="720" w:hanging="360"/>
      </w:pPr>
    </w:lvl>
    <w:lvl w:ilvl="1" w:tplc="927C07C0">
      <w:start w:val="1"/>
      <w:numFmt w:val="lowerLetter"/>
      <w:lvlText w:val="%2."/>
      <w:lvlJc w:val="left"/>
      <w:pPr>
        <w:ind w:left="1440" w:hanging="360"/>
      </w:pPr>
    </w:lvl>
    <w:lvl w:ilvl="2" w:tplc="B7CEDBE0">
      <w:start w:val="1"/>
      <w:numFmt w:val="lowerRoman"/>
      <w:lvlText w:val="%3."/>
      <w:lvlJc w:val="right"/>
      <w:pPr>
        <w:ind w:left="2160" w:hanging="180"/>
      </w:pPr>
    </w:lvl>
    <w:lvl w:ilvl="3" w:tplc="B1FCB080">
      <w:start w:val="1"/>
      <w:numFmt w:val="decimal"/>
      <w:lvlText w:val="%4."/>
      <w:lvlJc w:val="left"/>
      <w:pPr>
        <w:ind w:left="2880" w:hanging="360"/>
      </w:pPr>
    </w:lvl>
    <w:lvl w:ilvl="4" w:tplc="8FFC2772">
      <w:start w:val="1"/>
      <w:numFmt w:val="lowerLetter"/>
      <w:lvlText w:val="%5."/>
      <w:lvlJc w:val="left"/>
      <w:pPr>
        <w:ind w:left="3600" w:hanging="360"/>
      </w:pPr>
    </w:lvl>
    <w:lvl w:ilvl="5" w:tplc="A670BB90">
      <w:start w:val="1"/>
      <w:numFmt w:val="lowerRoman"/>
      <w:lvlText w:val="%6."/>
      <w:lvlJc w:val="right"/>
      <w:pPr>
        <w:ind w:left="4320" w:hanging="180"/>
      </w:pPr>
    </w:lvl>
    <w:lvl w:ilvl="6" w:tplc="1896BBC6">
      <w:start w:val="1"/>
      <w:numFmt w:val="decimal"/>
      <w:lvlText w:val="%7."/>
      <w:lvlJc w:val="left"/>
      <w:pPr>
        <w:ind w:left="5040" w:hanging="360"/>
      </w:pPr>
    </w:lvl>
    <w:lvl w:ilvl="7" w:tplc="0DC48D8C">
      <w:start w:val="1"/>
      <w:numFmt w:val="lowerLetter"/>
      <w:lvlText w:val="%8."/>
      <w:lvlJc w:val="left"/>
      <w:pPr>
        <w:ind w:left="5760" w:hanging="360"/>
      </w:pPr>
    </w:lvl>
    <w:lvl w:ilvl="8" w:tplc="C44AFF76">
      <w:start w:val="1"/>
      <w:numFmt w:val="lowerRoman"/>
      <w:lvlText w:val="%9."/>
      <w:lvlJc w:val="right"/>
      <w:pPr>
        <w:ind w:left="6480" w:hanging="180"/>
      </w:pPr>
    </w:lvl>
  </w:abstractNum>
  <w:abstractNum w:abstractNumId="7" w15:restartNumberingAfterBreak="0">
    <w:nsid w:val="3DA0667B"/>
    <w:multiLevelType w:val="hybridMultilevel"/>
    <w:tmpl w:val="FFFFFFFF"/>
    <w:lvl w:ilvl="0" w:tplc="9A8463E6">
      <w:start w:val="1"/>
      <w:numFmt w:val="bullet"/>
      <w:lvlText w:val="·"/>
      <w:lvlJc w:val="left"/>
      <w:pPr>
        <w:ind w:left="720" w:hanging="360"/>
      </w:pPr>
      <w:rPr>
        <w:rFonts w:ascii="Symbol" w:hAnsi="Symbol" w:hint="default"/>
      </w:rPr>
    </w:lvl>
    <w:lvl w:ilvl="1" w:tplc="D7FA29B8">
      <w:start w:val="1"/>
      <w:numFmt w:val="bullet"/>
      <w:lvlText w:val="o"/>
      <w:lvlJc w:val="left"/>
      <w:pPr>
        <w:ind w:left="1440" w:hanging="360"/>
      </w:pPr>
      <w:rPr>
        <w:rFonts w:ascii="Courier New" w:hAnsi="Courier New" w:hint="default"/>
      </w:rPr>
    </w:lvl>
    <w:lvl w:ilvl="2" w:tplc="C8C26D4E">
      <w:start w:val="1"/>
      <w:numFmt w:val="bullet"/>
      <w:lvlText w:val=""/>
      <w:lvlJc w:val="left"/>
      <w:pPr>
        <w:ind w:left="2160" w:hanging="360"/>
      </w:pPr>
      <w:rPr>
        <w:rFonts w:ascii="Wingdings" w:hAnsi="Wingdings" w:hint="default"/>
      </w:rPr>
    </w:lvl>
    <w:lvl w:ilvl="3" w:tplc="B4744B42">
      <w:start w:val="1"/>
      <w:numFmt w:val="bullet"/>
      <w:lvlText w:val=""/>
      <w:lvlJc w:val="left"/>
      <w:pPr>
        <w:ind w:left="2880" w:hanging="360"/>
      </w:pPr>
      <w:rPr>
        <w:rFonts w:ascii="Symbol" w:hAnsi="Symbol" w:hint="default"/>
      </w:rPr>
    </w:lvl>
    <w:lvl w:ilvl="4" w:tplc="7DFCAAD4">
      <w:start w:val="1"/>
      <w:numFmt w:val="bullet"/>
      <w:lvlText w:val="o"/>
      <w:lvlJc w:val="left"/>
      <w:pPr>
        <w:ind w:left="3600" w:hanging="360"/>
      </w:pPr>
      <w:rPr>
        <w:rFonts w:ascii="Courier New" w:hAnsi="Courier New" w:hint="default"/>
      </w:rPr>
    </w:lvl>
    <w:lvl w:ilvl="5" w:tplc="278A2BDC">
      <w:start w:val="1"/>
      <w:numFmt w:val="bullet"/>
      <w:lvlText w:val=""/>
      <w:lvlJc w:val="left"/>
      <w:pPr>
        <w:ind w:left="4320" w:hanging="360"/>
      </w:pPr>
      <w:rPr>
        <w:rFonts w:ascii="Wingdings" w:hAnsi="Wingdings" w:hint="default"/>
      </w:rPr>
    </w:lvl>
    <w:lvl w:ilvl="6" w:tplc="DD2EDCD4">
      <w:start w:val="1"/>
      <w:numFmt w:val="bullet"/>
      <w:lvlText w:val=""/>
      <w:lvlJc w:val="left"/>
      <w:pPr>
        <w:ind w:left="5040" w:hanging="360"/>
      </w:pPr>
      <w:rPr>
        <w:rFonts w:ascii="Symbol" w:hAnsi="Symbol" w:hint="default"/>
      </w:rPr>
    </w:lvl>
    <w:lvl w:ilvl="7" w:tplc="364E9AA6">
      <w:start w:val="1"/>
      <w:numFmt w:val="bullet"/>
      <w:lvlText w:val="o"/>
      <w:lvlJc w:val="left"/>
      <w:pPr>
        <w:ind w:left="5760" w:hanging="360"/>
      </w:pPr>
      <w:rPr>
        <w:rFonts w:ascii="Courier New" w:hAnsi="Courier New" w:hint="default"/>
      </w:rPr>
    </w:lvl>
    <w:lvl w:ilvl="8" w:tplc="75B87BBE">
      <w:start w:val="1"/>
      <w:numFmt w:val="bullet"/>
      <w:lvlText w:val=""/>
      <w:lvlJc w:val="left"/>
      <w:pPr>
        <w:ind w:left="6480" w:hanging="360"/>
      </w:pPr>
      <w:rPr>
        <w:rFonts w:ascii="Wingdings" w:hAnsi="Wingdings" w:hint="default"/>
      </w:rPr>
    </w:lvl>
  </w:abstractNum>
  <w:abstractNum w:abstractNumId="8" w15:restartNumberingAfterBreak="0">
    <w:nsid w:val="41FC1D90"/>
    <w:multiLevelType w:val="hybridMultilevel"/>
    <w:tmpl w:val="9C0E337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431B2AEE"/>
    <w:multiLevelType w:val="hybridMultilevel"/>
    <w:tmpl w:val="4E020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324154"/>
    <w:multiLevelType w:val="hybridMultilevel"/>
    <w:tmpl w:val="09AC6E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5993A75"/>
    <w:multiLevelType w:val="hybridMultilevel"/>
    <w:tmpl w:val="B6FC5098"/>
    <w:lvl w:ilvl="0" w:tplc="39F8334E">
      <w:start w:val="1"/>
      <w:numFmt w:val="bullet"/>
      <w:lvlText w:val=""/>
      <w:lvlJc w:val="left"/>
      <w:pPr>
        <w:ind w:left="927" w:hanging="360"/>
      </w:pPr>
      <w:rPr>
        <w:rFonts w:ascii="Symbol" w:hAnsi="Symbol" w:hint="default"/>
        <w:color w:val="auto"/>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2" w15:restartNumberingAfterBreak="0">
    <w:nsid w:val="498D5B08"/>
    <w:multiLevelType w:val="hybridMultilevel"/>
    <w:tmpl w:val="3E56FBB2"/>
    <w:lvl w:ilvl="0" w:tplc="08090001">
      <w:start w:val="1"/>
      <w:numFmt w:val="bullet"/>
      <w:lvlText w:val=""/>
      <w:lvlJc w:val="left"/>
      <w:pPr>
        <w:ind w:left="720" w:hanging="360"/>
      </w:pPr>
      <w:rPr>
        <w:rFonts w:ascii="Symbol" w:hAnsi="Symbol" w:hint="default"/>
        <w:b w:val="0"/>
      </w:rPr>
    </w:lvl>
    <w:lvl w:ilvl="1" w:tplc="2AA685D4">
      <w:start w:val="3"/>
      <w:numFmt w:val="bullet"/>
      <w:lvlText w:val="-"/>
      <w:lvlJc w:val="left"/>
      <w:pPr>
        <w:ind w:left="1440" w:hanging="360"/>
      </w:pPr>
      <w:rPr>
        <w:rFonts w:ascii="Times New Roman" w:eastAsia="Times New Roman" w:hAnsi="Times New Roman" w:cs="Times New Roman" w:hint="default"/>
        <w:b w:val="0"/>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C219D6"/>
    <w:multiLevelType w:val="hybridMultilevel"/>
    <w:tmpl w:val="B5BEE5AA"/>
    <w:lvl w:ilvl="0" w:tplc="71E83872">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0B1500C"/>
    <w:multiLevelType w:val="hybridMultilevel"/>
    <w:tmpl w:val="54A803E6"/>
    <w:lvl w:ilvl="0" w:tplc="9EFA475E">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5" w15:restartNumberingAfterBreak="0">
    <w:nsid w:val="52CD45AD"/>
    <w:multiLevelType w:val="multilevel"/>
    <w:tmpl w:val="4E709BD8"/>
    <w:lvl w:ilvl="0">
      <w:start w:val="1"/>
      <w:numFmt w:val="decimal"/>
      <w:pStyle w:val="Heading1"/>
      <w:lvlText w:val="%1."/>
      <w:lvlJc w:val="left"/>
      <w:pPr>
        <w:tabs>
          <w:tab w:val="num" w:pos="360"/>
        </w:tabs>
        <w:ind w:left="0" w:firstLine="0"/>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72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53122884"/>
    <w:multiLevelType w:val="hybridMultilevel"/>
    <w:tmpl w:val="4198AFB8"/>
    <w:lvl w:ilvl="0" w:tplc="2AA685D4">
      <w:start w:val="3"/>
      <w:numFmt w:val="bullet"/>
      <w:lvlText w:val="-"/>
      <w:lvlJc w:val="left"/>
      <w:pPr>
        <w:ind w:left="1800" w:hanging="360"/>
      </w:pPr>
      <w:rPr>
        <w:rFonts w:ascii="Times New Roman" w:eastAsia="Times New Roman" w:hAnsi="Times New Roman" w:cs="Times New Roman" w:hint="default"/>
        <w:b w:val="0"/>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56F40A48"/>
    <w:multiLevelType w:val="hybridMultilevel"/>
    <w:tmpl w:val="58F6680E"/>
    <w:lvl w:ilvl="0" w:tplc="7ABAA146">
      <w:start w:val="1"/>
      <w:numFmt w:val="bullet"/>
      <w:lvlText w:val="-"/>
      <w:lvlJc w:val="left"/>
      <w:pPr>
        <w:tabs>
          <w:tab w:val="num" w:pos="720"/>
        </w:tabs>
        <w:ind w:left="720" w:hanging="360"/>
      </w:pPr>
      <w:rPr>
        <w:rFonts w:ascii="Arial" w:hAnsi="Arial" w:cs="Times New Roman" w:hint="default"/>
      </w:rPr>
    </w:lvl>
    <w:lvl w:ilvl="1" w:tplc="041B0001">
      <w:start w:val="1"/>
      <w:numFmt w:val="bullet"/>
      <w:lvlText w:val=""/>
      <w:lvlJc w:val="left"/>
      <w:pPr>
        <w:tabs>
          <w:tab w:val="num" w:pos="1440"/>
        </w:tabs>
        <w:ind w:left="1440" w:hanging="360"/>
      </w:pPr>
      <w:rPr>
        <w:rFonts w:ascii="Symbol" w:hAnsi="Symbol" w:hint="default"/>
      </w:rPr>
    </w:lvl>
    <w:lvl w:ilvl="2" w:tplc="3BA0B848">
      <w:start w:val="1"/>
      <w:numFmt w:val="bullet"/>
      <w:lvlText w:val="-"/>
      <w:lvlJc w:val="left"/>
      <w:pPr>
        <w:tabs>
          <w:tab w:val="num" w:pos="2160"/>
        </w:tabs>
        <w:ind w:left="2160" w:hanging="360"/>
      </w:pPr>
      <w:rPr>
        <w:rFonts w:ascii="Arial" w:hAnsi="Arial" w:cs="Times New Roman" w:hint="default"/>
      </w:rPr>
    </w:lvl>
    <w:lvl w:ilvl="3" w:tplc="1CF44354">
      <w:start w:val="1"/>
      <w:numFmt w:val="bullet"/>
      <w:lvlText w:val="-"/>
      <w:lvlJc w:val="left"/>
      <w:pPr>
        <w:tabs>
          <w:tab w:val="num" w:pos="2880"/>
        </w:tabs>
        <w:ind w:left="2880" w:hanging="360"/>
      </w:pPr>
      <w:rPr>
        <w:rFonts w:ascii="Arial" w:hAnsi="Arial" w:cs="Times New Roman" w:hint="default"/>
      </w:rPr>
    </w:lvl>
    <w:lvl w:ilvl="4" w:tplc="70307754">
      <w:start w:val="1"/>
      <w:numFmt w:val="bullet"/>
      <w:lvlText w:val="-"/>
      <w:lvlJc w:val="left"/>
      <w:pPr>
        <w:tabs>
          <w:tab w:val="num" w:pos="3600"/>
        </w:tabs>
        <w:ind w:left="3600" w:hanging="360"/>
      </w:pPr>
      <w:rPr>
        <w:rFonts w:ascii="Arial" w:hAnsi="Arial" w:cs="Times New Roman" w:hint="default"/>
      </w:rPr>
    </w:lvl>
    <w:lvl w:ilvl="5" w:tplc="35DE0052">
      <w:start w:val="1"/>
      <w:numFmt w:val="bullet"/>
      <w:lvlText w:val="-"/>
      <w:lvlJc w:val="left"/>
      <w:pPr>
        <w:tabs>
          <w:tab w:val="num" w:pos="4320"/>
        </w:tabs>
        <w:ind w:left="4320" w:hanging="360"/>
      </w:pPr>
      <w:rPr>
        <w:rFonts w:ascii="Arial" w:hAnsi="Arial" w:cs="Times New Roman" w:hint="default"/>
      </w:rPr>
    </w:lvl>
    <w:lvl w:ilvl="6" w:tplc="AA50495E">
      <w:start w:val="1"/>
      <w:numFmt w:val="bullet"/>
      <w:lvlText w:val="-"/>
      <w:lvlJc w:val="left"/>
      <w:pPr>
        <w:tabs>
          <w:tab w:val="num" w:pos="5040"/>
        </w:tabs>
        <w:ind w:left="5040" w:hanging="360"/>
      </w:pPr>
      <w:rPr>
        <w:rFonts w:ascii="Arial" w:hAnsi="Arial" w:cs="Times New Roman" w:hint="default"/>
      </w:rPr>
    </w:lvl>
    <w:lvl w:ilvl="7" w:tplc="061CDF54">
      <w:start w:val="1"/>
      <w:numFmt w:val="bullet"/>
      <w:lvlText w:val="-"/>
      <w:lvlJc w:val="left"/>
      <w:pPr>
        <w:tabs>
          <w:tab w:val="num" w:pos="5760"/>
        </w:tabs>
        <w:ind w:left="5760" w:hanging="360"/>
      </w:pPr>
      <w:rPr>
        <w:rFonts w:ascii="Arial" w:hAnsi="Arial" w:cs="Times New Roman" w:hint="default"/>
      </w:rPr>
    </w:lvl>
    <w:lvl w:ilvl="8" w:tplc="56A44488">
      <w:start w:val="1"/>
      <w:numFmt w:val="bullet"/>
      <w:lvlText w:val="-"/>
      <w:lvlJc w:val="left"/>
      <w:pPr>
        <w:tabs>
          <w:tab w:val="num" w:pos="6480"/>
        </w:tabs>
        <w:ind w:left="6480" w:hanging="360"/>
      </w:pPr>
      <w:rPr>
        <w:rFonts w:ascii="Arial" w:hAnsi="Arial" w:cs="Times New Roman" w:hint="default"/>
      </w:rPr>
    </w:lvl>
  </w:abstractNum>
  <w:abstractNum w:abstractNumId="18" w15:restartNumberingAfterBreak="0">
    <w:nsid w:val="5E0D5383"/>
    <w:multiLevelType w:val="hybridMultilevel"/>
    <w:tmpl w:val="0FA6D7E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5F7C665B"/>
    <w:multiLevelType w:val="hybridMultilevel"/>
    <w:tmpl w:val="13587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0A1E68"/>
    <w:multiLevelType w:val="hybridMultilevel"/>
    <w:tmpl w:val="5E88203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1" w15:restartNumberingAfterBreak="0">
    <w:nsid w:val="6C930BBD"/>
    <w:multiLevelType w:val="multilevel"/>
    <w:tmpl w:val="8A08F1D6"/>
    <w:lvl w:ilvl="0">
      <w:start w:val="1"/>
      <w:numFmt w:val="upperRoman"/>
      <w:pStyle w:val="AnnexHeading1"/>
      <w:lvlText w:val="ANNEX %1."/>
      <w:lvlJc w:val="left"/>
      <w:pPr>
        <w:tabs>
          <w:tab w:val="num" w:pos="1800"/>
        </w:tabs>
        <w:ind w:left="0" w:firstLine="0"/>
      </w:pPr>
      <w:rPr>
        <w:rFonts w:ascii="Times New Roman" w:hAnsi="Times New Roman" w:cs="Times New Roman"/>
        <w:b w:val="0"/>
        <w:bCs w:val="0"/>
        <w:i w:val="0"/>
        <w:iC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nnexHeading2"/>
      <w:lvlText w:val="%1-%2."/>
      <w:lvlJc w:val="left"/>
      <w:pPr>
        <w:tabs>
          <w:tab w:val="num" w:pos="720"/>
        </w:tabs>
        <w:ind w:left="0" w:firstLine="0"/>
      </w:pPr>
      <w:rPr>
        <w:rFonts w:hint="default"/>
      </w:rPr>
    </w:lvl>
    <w:lvl w:ilvl="2">
      <w:start w:val="1"/>
      <w:numFmt w:val="decimal"/>
      <w:pStyle w:val="AnnexHeading3"/>
      <w:lvlText w:val="%1-%2.%3."/>
      <w:lvlJc w:val="left"/>
      <w:pPr>
        <w:tabs>
          <w:tab w:val="num" w:pos="720"/>
        </w:tabs>
        <w:ind w:left="0" w:firstLine="0"/>
      </w:pPr>
      <w:rPr>
        <w:rFonts w:hint="default"/>
      </w:rPr>
    </w:lvl>
    <w:lvl w:ilvl="3">
      <w:start w:val="1"/>
      <w:numFmt w:val="decimal"/>
      <w:pStyle w:val="AnnexHeading4"/>
      <w:lvlText w:val="%1-%2.%3.%4."/>
      <w:lvlJc w:val="left"/>
      <w:pPr>
        <w:tabs>
          <w:tab w:val="num" w:pos="1080"/>
        </w:tabs>
        <w:ind w:left="0" w:firstLine="0"/>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22" w15:restartNumberingAfterBreak="0">
    <w:nsid w:val="6EEC1339"/>
    <w:multiLevelType w:val="hybridMultilevel"/>
    <w:tmpl w:val="8EF82E32"/>
    <w:lvl w:ilvl="0" w:tplc="005ACD54">
      <w:start w:val="1"/>
      <w:numFmt w:val="bullet"/>
      <w:lvlText w:val="-"/>
      <w:lvlJc w:val="left"/>
      <w:pPr>
        <w:ind w:left="781" w:hanging="360"/>
      </w:pPr>
      <w:rPr>
        <w:rFonts w:ascii="Calibri" w:hAnsi="Calibri" w:hint="default"/>
      </w:rPr>
    </w:lvl>
    <w:lvl w:ilvl="1" w:tplc="08090003">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23" w15:restartNumberingAfterBreak="0">
    <w:nsid w:val="74610DC1"/>
    <w:multiLevelType w:val="hybridMultilevel"/>
    <w:tmpl w:val="9640BE0E"/>
    <w:lvl w:ilvl="0" w:tplc="AC9C829E">
      <w:start w:val="1"/>
      <w:numFmt w:val="decimal"/>
      <w:lvlText w:val="%1."/>
      <w:lvlJc w:val="left"/>
      <w:pPr>
        <w:ind w:left="720" w:hanging="360"/>
      </w:pPr>
    </w:lvl>
    <w:lvl w:ilvl="1" w:tplc="7A44F654">
      <w:start w:val="1"/>
      <w:numFmt w:val="lowerLetter"/>
      <w:lvlText w:val="%2."/>
      <w:lvlJc w:val="left"/>
      <w:pPr>
        <w:ind w:left="1440" w:hanging="360"/>
      </w:pPr>
    </w:lvl>
    <w:lvl w:ilvl="2" w:tplc="9E7C8AC4">
      <w:start w:val="1"/>
      <w:numFmt w:val="lowerRoman"/>
      <w:lvlText w:val="%3."/>
      <w:lvlJc w:val="right"/>
      <w:pPr>
        <w:ind w:left="2160" w:hanging="180"/>
      </w:pPr>
    </w:lvl>
    <w:lvl w:ilvl="3" w:tplc="F95253AC">
      <w:start w:val="1"/>
      <w:numFmt w:val="decimal"/>
      <w:lvlText w:val="%4."/>
      <w:lvlJc w:val="left"/>
      <w:pPr>
        <w:ind w:left="2880" w:hanging="360"/>
      </w:pPr>
    </w:lvl>
    <w:lvl w:ilvl="4" w:tplc="45BEFEFE">
      <w:start w:val="1"/>
      <w:numFmt w:val="lowerLetter"/>
      <w:lvlText w:val="%5."/>
      <w:lvlJc w:val="left"/>
      <w:pPr>
        <w:ind w:left="3600" w:hanging="360"/>
      </w:pPr>
    </w:lvl>
    <w:lvl w:ilvl="5" w:tplc="F78C381C">
      <w:start w:val="1"/>
      <w:numFmt w:val="lowerRoman"/>
      <w:lvlText w:val="%6."/>
      <w:lvlJc w:val="right"/>
      <w:pPr>
        <w:ind w:left="4320" w:hanging="180"/>
      </w:pPr>
    </w:lvl>
    <w:lvl w:ilvl="6" w:tplc="F5B0147C">
      <w:start w:val="1"/>
      <w:numFmt w:val="decimal"/>
      <w:lvlText w:val="%7."/>
      <w:lvlJc w:val="left"/>
      <w:pPr>
        <w:ind w:left="5040" w:hanging="360"/>
      </w:pPr>
    </w:lvl>
    <w:lvl w:ilvl="7" w:tplc="1B7E190A">
      <w:start w:val="1"/>
      <w:numFmt w:val="lowerLetter"/>
      <w:lvlText w:val="%8."/>
      <w:lvlJc w:val="left"/>
      <w:pPr>
        <w:ind w:left="5760" w:hanging="360"/>
      </w:pPr>
    </w:lvl>
    <w:lvl w:ilvl="8" w:tplc="10AE4362">
      <w:start w:val="1"/>
      <w:numFmt w:val="lowerRoman"/>
      <w:lvlText w:val="%9."/>
      <w:lvlJc w:val="right"/>
      <w:pPr>
        <w:ind w:left="6480" w:hanging="180"/>
      </w:pPr>
    </w:lvl>
  </w:abstractNum>
  <w:abstractNum w:abstractNumId="24" w15:restartNumberingAfterBreak="0">
    <w:nsid w:val="7A7A7910"/>
    <w:multiLevelType w:val="hybridMultilevel"/>
    <w:tmpl w:val="60E81A06"/>
    <w:lvl w:ilvl="0" w:tplc="041B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7D017539"/>
    <w:multiLevelType w:val="hybridMultilevel"/>
    <w:tmpl w:val="E0560720"/>
    <w:lvl w:ilvl="0" w:tplc="771CF76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7EBB24D2"/>
    <w:multiLevelType w:val="hybridMultilevel"/>
    <w:tmpl w:val="68C0FEFA"/>
    <w:lvl w:ilvl="0" w:tplc="71E83872">
      <w:start w:val="1"/>
      <w:numFmt w:val="bullet"/>
      <w:lvlText w:val=""/>
      <w:lvlJc w:val="left"/>
      <w:pPr>
        <w:ind w:left="840" w:hanging="420"/>
      </w:pPr>
      <w:rPr>
        <w:rFonts w:ascii="Symbol" w:hAnsi="Symbol" w:hint="default"/>
        <w:color w:val="auto"/>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6"/>
  </w:num>
  <w:num w:numId="2">
    <w:abstractNumId w:val="23"/>
  </w:num>
  <w:num w:numId="3">
    <w:abstractNumId w:val="15"/>
  </w:num>
  <w:num w:numId="4">
    <w:abstractNumId w:val="0"/>
  </w:num>
  <w:num w:numId="5">
    <w:abstractNumId w:val="21"/>
  </w:num>
  <w:num w:numId="6">
    <w:abstractNumId w:val="7"/>
  </w:num>
  <w:num w:numId="7">
    <w:abstractNumId w:val="2"/>
  </w:num>
  <w:num w:numId="8">
    <w:abstractNumId w:val="22"/>
  </w:num>
  <w:num w:numId="9">
    <w:abstractNumId w:val="17"/>
  </w:num>
  <w:num w:numId="10">
    <w:abstractNumId w:val="26"/>
  </w:num>
  <w:num w:numId="11">
    <w:abstractNumId w:val="3"/>
  </w:num>
  <w:num w:numId="12">
    <w:abstractNumId w:val="8"/>
  </w:num>
  <w:num w:numId="13">
    <w:abstractNumId w:val="19"/>
  </w:num>
  <w:num w:numId="14">
    <w:abstractNumId w:val="12"/>
  </w:num>
  <w:num w:numId="15">
    <w:abstractNumId w:val="14"/>
  </w:num>
  <w:num w:numId="16">
    <w:abstractNumId w:val="20"/>
  </w:num>
  <w:num w:numId="17">
    <w:abstractNumId w:val="1"/>
  </w:num>
  <w:num w:numId="18">
    <w:abstractNumId w:val="13"/>
  </w:num>
  <w:num w:numId="19">
    <w:abstractNumId w:val="9"/>
  </w:num>
  <w:num w:numId="20">
    <w:abstractNumId w:val="10"/>
  </w:num>
  <w:num w:numId="21">
    <w:abstractNumId w:val="16"/>
  </w:num>
  <w:num w:numId="22">
    <w:abstractNumId w:val="4"/>
  </w:num>
  <w:num w:numId="23">
    <w:abstractNumId w:val="11"/>
  </w:num>
  <w:num w:numId="24">
    <w:abstractNumId w:val="5"/>
    <w:lvlOverride w:ilvl="0"/>
    <w:lvlOverride w:ilvl="1"/>
    <w:lvlOverride w:ilvl="2"/>
    <w:lvlOverride w:ilvl="3"/>
    <w:lvlOverride w:ilvl="4"/>
    <w:lvlOverride w:ilvl="5"/>
    <w:lvlOverride w:ilvl="6"/>
    <w:lvlOverride w:ilvl="7"/>
    <w:lvlOverride w:ilvl="8"/>
  </w:num>
  <w:num w:numId="25">
    <w:abstractNumId w:val="25"/>
    <w:lvlOverride w:ilvl="0"/>
    <w:lvlOverride w:ilvl="1"/>
    <w:lvlOverride w:ilvl="2"/>
    <w:lvlOverride w:ilvl="3"/>
    <w:lvlOverride w:ilvl="4"/>
    <w:lvlOverride w:ilvl="5"/>
    <w:lvlOverride w:ilvl="6"/>
    <w:lvlOverride w:ilvl="7"/>
    <w:lvlOverride w:ilvl="8"/>
  </w:num>
  <w:num w:numId="26">
    <w:abstractNumId w:val="24"/>
    <w:lvlOverride w:ilvl="0"/>
    <w:lvlOverride w:ilvl="1"/>
    <w:lvlOverride w:ilvl="2"/>
    <w:lvlOverride w:ilvl="3"/>
    <w:lvlOverride w:ilvl="4"/>
    <w:lvlOverride w:ilvl="5"/>
    <w:lvlOverride w:ilvl="6"/>
    <w:lvlOverride w:ilvl="7"/>
    <w:lvlOverride w:ilvl="8"/>
  </w:num>
  <w:num w:numId="27">
    <w:abstractNumId w:val="18"/>
    <w:lvlOverride w:ilvl="0"/>
    <w:lvlOverride w:ilvl="1"/>
    <w:lvlOverride w:ilvl="2"/>
    <w:lvlOverride w:ilvl="3"/>
    <w:lvlOverride w:ilvl="4"/>
    <w:lvlOverride w:ilvl="5"/>
    <w:lvlOverride w:ilvl="6"/>
    <w:lvlOverride w:ilvl="7"/>
    <w:lvlOverride w:ilv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bordersDoNotSurroundHeader/>
  <w:bordersDoNotSurroundFooter/>
  <w:proofState w:spelling="clean"/>
  <w:attachedTemplate r:id="rId1"/>
  <w:linkStyles/>
  <w:defaultTabStop w:val="720"/>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C71"/>
    <w:rsid w:val="000016B9"/>
    <w:rsid w:val="00002385"/>
    <w:rsid w:val="00003301"/>
    <w:rsid w:val="00003CAD"/>
    <w:rsid w:val="00005CBD"/>
    <w:rsid w:val="000065F3"/>
    <w:rsid w:val="00007EEE"/>
    <w:rsid w:val="00011A3F"/>
    <w:rsid w:val="000129B6"/>
    <w:rsid w:val="00013688"/>
    <w:rsid w:val="0001462F"/>
    <w:rsid w:val="00015367"/>
    <w:rsid w:val="00016FB5"/>
    <w:rsid w:val="00021FA7"/>
    <w:rsid w:val="00022550"/>
    <w:rsid w:val="000225FA"/>
    <w:rsid w:val="00024F26"/>
    <w:rsid w:val="0002634D"/>
    <w:rsid w:val="0002691B"/>
    <w:rsid w:val="0003135A"/>
    <w:rsid w:val="00034DB0"/>
    <w:rsid w:val="0003576D"/>
    <w:rsid w:val="00035DE4"/>
    <w:rsid w:val="0003676B"/>
    <w:rsid w:val="00036F62"/>
    <w:rsid w:val="0004099A"/>
    <w:rsid w:val="0004249E"/>
    <w:rsid w:val="000436E9"/>
    <w:rsid w:val="0004415A"/>
    <w:rsid w:val="00044EEE"/>
    <w:rsid w:val="000468D1"/>
    <w:rsid w:val="00051080"/>
    <w:rsid w:val="00051D6F"/>
    <w:rsid w:val="00051FA4"/>
    <w:rsid w:val="0005219F"/>
    <w:rsid w:val="000534AA"/>
    <w:rsid w:val="00054CEE"/>
    <w:rsid w:val="00056258"/>
    <w:rsid w:val="000562E7"/>
    <w:rsid w:val="000607F2"/>
    <w:rsid w:val="000611C4"/>
    <w:rsid w:val="00062C08"/>
    <w:rsid w:val="00063117"/>
    <w:rsid w:val="00063B88"/>
    <w:rsid w:val="000667B8"/>
    <w:rsid w:val="000671DF"/>
    <w:rsid w:val="00067638"/>
    <w:rsid w:val="00070702"/>
    <w:rsid w:val="00071071"/>
    <w:rsid w:val="0007240A"/>
    <w:rsid w:val="00072AA6"/>
    <w:rsid w:val="0008326E"/>
    <w:rsid w:val="00086A47"/>
    <w:rsid w:val="0009089B"/>
    <w:rsid w:val="000914FB"/>
    <w:rsid w:val="0009249E"/>
    <w:rsid w:val="0009452A"/>
    <w:rsid w:val="000A28BE"/>
    <w:rsid w:val="000A29D7"/>
    <w:rsid w:val="000A2A99"/>
    <w:rsid w:val="000A5090"/>
    <w:rsid w:val="000A6B5C"/>
    <w:rsid w:val="000B058C"/>
    <w:rsid w:val="000B0D6F"/>
    <w:rsid w:val="000B0EC5"/>
    <w:rsid w:val="000B4075"/>
    <w:rsid w:val="000B42C3"/>
    <w:rsid w:val="000B7007"/>
    <w:rsid w:val="000B7EAA"/>
    <w:rsid w:val="000C0211"/>
    <w:rsid w:val="000C1B4F"/>
    <w:rsid w:val="000C21E7"/>
    <w:rsid w:val="000C28B9"/>
    <w:rsid w:val="000C48AA"/>
    <w:rsid w:val="000C6B5A"/>
    <w:rsid w:val="000D05F9"/>
    <w:rsid w:val="000D237C"/>
    <w:rsid w:val="000D3EDC"/>
    <w:rsid w:val="000D3FEC"/>
    <w:rsid w:val="000D4073"/>
    <w:rsid w:val="000D477D"/>
    <w:rsid w:val="000D48D9"/>
    <w:rsid w:val="000D5A7C"/>
    <w:rsid w:val="000E170C"/>
    <w:rsid w:val="000E1E19"/>
    <w:rsid w:val="000E2AF0"/>
    <w:rsid w:val="000E2F7F"/>
    <w:rsid w:val="000E6338"/>
    <w:rsid w:val="000E679D"/>
    <w:rsid w:val="000E688C"/>
    <w:rsid w:val="000E6EC2"/>
    <w:rsid w:val="000E7C9C"/>
    <w:rsid w:val="000F033E"/>
    <w:rsid w:val="000F0E5C"/>
    <w:rsid w:val="000F2B49"/>
    <w:rsid w:val="000F3E18"/>
    <w:rsid w:val="000F4788"/>
    <w:rsid w:val="001044FA"/>
    <w:rsid w:val="0010553C"/>
    <w:rsid w:val="0010598D"/>
    <w:rsid w:val="00106868"/>
    <w:rsid w:val="00106E48"/>
    <w:rsid w:val="001079F2"/>
    <w:rsid w:val="00107A36"/>
    <w:rsid w:val="00111604"/>
    <w:rsid w:val="00117911"/>
    <w:rsid w:val="00120779"/>
    <w:rsid w:val="0012123F"/>
    <w:rsid w:val="00123851"/>
    <w:rsid w:val="001238C9"/>
    <w:rsid w:val="00124477"/>
    <w:rsid w:val="00124624"/>
    <w:rsid w:val="00124D30"/>
    <w:rsid w:val="00126CAB"/>
    <w:rsid w:val="00126D85"/>
    <w:rsid w:val="00130C1B"/>
    <w:rsid w:val="0013511B"/>
    <w:rsid w:val="00135218"/>
    <w:rsid w:val="00135726"/>
    <w:rsid w:val="00136A9A"/>
    <w:rsid w:val="001403D9"/>
    <w:rsid w:val="00140CDC"/>
    <w:rsid w:val="00142662"/>
    <w:rsid w:val="0014665D"/>
    <w:rsid w:val="00146CD9"/>
    <w:rsid w:val="001506B6"/>
    <w:rsid w:val="001521ED"/>
    <w:rsid w:val="001531B8"/>
    <w:rsid w:val="0015646C"/>
    <w:rsid w:val="00157854"/>
    <w:rsid w:val="001606DC"/>
    <w:rsid w:val="0016094D"/>
    <w:rsid w:val="00162727"/>
    <w:rsid w:val="001639B5"/>
    <w:rsid w:val="001674AF"/>
    <w:rsid w:val="00167B22"/>
    <w:rsid w:val="00171A0F"/>
    <w:rsid w:val="00171EA6"/>
    <w:rsid w:val="00173BB2"/>
    <w:rsid w:val="00174BF3"/>
    <w:rsid w:val="00174F4B"/>
    <w:rsid w:val="00175B5F"/>
    <w:rsid w:val="0017789B"/>
    <w:rsid w:val="001805EF"/>
    <w:rsid w:val="00181281"/>
    <w:rsid w:val="0018244F"/>
    <w:rsid w:val="001830D8"/>
    <w:rsid w:val="001839BD"/>
    <w:rsid w:val="00183BB2"/>
    <w:rsid w:val="0018484A"/>
    <w:rsid w:val="001849B6"/>
    <w:rsid w:val="00184EBC"/>
    <w:rsid w:val="00185847"/>
    <w:rsid w:val="0018728E"/>
    <w:rsid w:val="00187359"/>
    <w:rsid w:val="001921CA"/>
    <w:rsid w:val="001938BC"/>
    <w:rsid w:val="001943B9"/>
    <w:rsid w:val="001A3659"/>
    <w:rsid w:val="001A6BE0"/>
    <w:rsid w:val="001B1113"/>
    <w:rsid w:val="001B290B"/>
    <w:rsid w:val="001B2D42"/>
    <w:rsid w:val="001B2E5B"/>
    <w:rsid w:val="001B43B4"/>
    <w:rsid w:val="001B7238"/>
    <w:rsid w:val="001B7885"/>
    <w:rsid w:val="001C080A"/>
    <w:rsid w:val="001C1493"/>
    <w:rsid w:val="001C1F56"/>
    <w:rsid w:val="001C5BA5"/>
    <w:rsid w:val="001C626D"/>
    <w:rsid w:val="001C6B56"/>
    <w:rsid w:val="001C7877"/>
    <w:rsid w:val="001D0EB5"/>
    <w:rsid w:val="001D33B5"/>
    <w:rsid w:val="001D4515"/>
    <w:rsid w:val="001D4CDF"/>
    <w:rsid w:val="001D5C13"/>
    <w:rsid w:val="001D7CED"/>
    <w:rsid w:val="001E2665"/>
    <w:rsid w:val="001E5A21"/>
    <w:rsid w:val="001E7557"/>
    <w:rsid w:val="001E793F"/>
    <w:rsid w:val="001F1056"/>
    <w:rsid w:val="001F1490"/>
    <w:rsid w:val="001F159A"/>
    <w:rsid w:val="001F1616"/>
    <w:rsid w:val="001F2047"/>
    <w:rsid w:val="001F3B65"/>
    <w:rsid w:val="001F4EA1"/>
    <w:rsid w:val="001F6613"/>
    <w:rsid w:val="001F6B83"/>
    <w:rsid w:val="0020044F"/>
    <w:rsid w:val="00202981"/>
    <w:rsid w:val="00202E62"/>
    <w:rsid w:val="0020460D"/>
    <w:rsid w:val="00204B8B"/>
    <w:rsid w:val="00204FF2"/>
    <w:rsid w:val="00205082"/>
    <w:rsid w:val="00205084"/>
    <w:rsid w:val="002069AD"/>
    <w:rsid w:val="00207671"/>
    <w:rsid w:val="002133C6"/>
    <w:rsid w:val="00216214"/>
    <w:rsid w:val="00217F2D"/>
    <w:rsid w:val="00220184"/>
    <w:rsid w:val="002226D9"/>
    <w:rsid w:val="00227E97"/>
    <w:rsid w:val="00231DF6"/>
    <w:rsid w:val="00233AE5"/>
    <w:rsid w:val="00233FD5"/>
    <w:rsid w:val="00240695"/>
    <w:rsid w:val="00244257"/>
    <w:rsid w:val="00245D1C"/>
    <w:rsid w:val="002464EF"/>
    <w:rsid w:val="00246CD9"/>
    <w:rsid w:val="00247EE5"/>
    <w:rsid w:val="002505A8"/>
    <w:rsid w:val="002512F5"/>
    <w:rsid w:val="00252721"/>
    <w:rsid w:val="00254358"/>
    <w:rsid w:val="002544D9"/>
    <w:rsid w:val="0025573E"/>
    <w:rsid w:val="002567D8"/>
    <w:rsid w:val="002606B8"/>
    <w:rsid w:val="0026120D"/>
    <w:rsid w:val="00262DB2"/>
    <w:rsid w:val="002637AF"/>
    <w:rsid w:val="002640B6"/>
    <w:rsid w:val="002666C6"/>
    <w:rsid w:val="00267BE3"/>
    <w:rsid w:val="00267DF5"/>
    <w:rsid w:val="002726B9"/>
    <w:rsid w:val="00272F42"/>
    <w:rsid w:val="00273915"/>
    <w:rsid w:val="00274768"/>
    <w:rsid w:val="00274DC2"/>
    <w:rsid w:val="00276322"/>
    <w:rsid w:val="00276F6C"/>
    <w:rsid w:val="00281F08"/>
    <w:rsid w:val="00282737"/>
    <w:rsid w:val="00282DA6"/>
    <w:rsid w:val="002848E9"/>
    <w:rsid w:val="00285556"/>
    <w:rsid w:val="002865E8"/>
    <w:rsid w:val="002959B7"/>
    <w:rsid w:val="002966BA"/>
    <w:rsid w:val="00296C58"/>
    <w:rsid w:val="00297A08"/>
    <w:rsid w:val="002A0892"/>
    <w:rsid w:val="002A21E6"/>
    <w:rsid w:val="002A6594"/>
    <w:rsid w:val="002A6BBA"/>
    <w:rsid w:val="002B150B"/>
    <w:rsid w:val="002B4397"/>
    <w:rsid w:val="002B73DD"/>
    <w:rsid w:val="002C00DC"/>
    <w:rsid w:val="002C023A"/>
    <w:rsid w:val="002C030B"/>
    <w:rsid w:val="002C0ACF"/>
    <w:rsid w:val="002C1E09"/>
    <w:rsid w:val="002C25D7"/>
    <w:rsid w:val="002C276F"/>
    <w:rsid w:val="002C39D9"/>
    <w:rsid w:val="002C5D8C"/>
    <w:rsid w:val="002C73E5"/>
    <w:rsid w:val="002D3EB7"/>
    <w:rsid w:val="002D45E9"/>
    <w:rsid w:val="002D7630"/>
    <w:rsid w:val="002D778F"/>
    <w:rsid w:val="002E06DC"/>
    <w:rsid w:val="002E0C06"/>
    <w:rsid w:val="002E23A9"/>
    <w:rsid w:val="002E3302"/>
    <w:rsid w:val="002E42FC"/>
    <w:rsid w:val="002E4BDC"/>
    <w:rsid w:val="002E4CC5"/>
    <w:rsid w:val="002E4E75"/>
    <w:rsid w:val="002E569E"/>
    <w:rsid w:val="002E705C"/>
    <w:rsid w:val="002F0BC6"/>
    <w:rsid w:val="002F0E94"/>
    <w:rsid w:val="002F1F99"/>
    <w:rsid w:val="002F4D6D"/>
    <w:rsid w:val="00301822"/>
    <w:rsid w:val="00302D74"/>
    <w:rsid w:val="003042F5"/>
    <w:rsid w:val="00304995"/>
    <w:rsid w:val="00306205"/>
    <w:rsid w:val="00306453"/>
    <w:rsid w:val="0030655F"/>
    <w:rsid w:val="00306C6A"/>
    <w:rsid w:val="00307F34"/>
    <w:rsid w:val="00310202"/>
    <w:rsid w:val="00310BFD"/>
    <w:rsid w:val="00311795"/>
    <w:rsid w:val="00313CB4"/>
    <w:rsid w:val="003149DF"/>
    <w:rsid w:val="00315EB4"/>
    <w:rsid w:val="00317285"/>
    <w:rsid w:val="00320F76"/>
    <w:rsid w:val="003238F5"/>
    <w:rsid w:val="003247DC"/>
    <w:rsid w:val="00326700"/>
    <w:rsid w:val="00327778"/>
    <w:rsid w:val="00327A5E"/>
    <w:rsid w:val="00327DDF"/>
    <w:rsid w:val="00330D5B"/>
    <w:rsid w:val="00330FDC"/>
    <w:rsid w:val="00332F6F"/>
    <w:rsid w:val="00336CB2"/>
    <w:rsid w:val="0033770D"/>
    <w:rsid w:val="00340841"/>
    <w:rsid w:val="00340C12"/>
    <w:rsid w:val="0034146A"/>
    <w:rsid w:val="003433B2"/>
    <w:rsid w:val="00343A3B"/>
    <w:rsid w:val="003452F8"/>
    <w:rsid w:val="00346F18"/>
    <w:rsid w:val="00347791"/>
    <w:rsid w:val="00347DD5"/>
    <w:rsid w:val="00350046"/>
    <w:rsid w:val="00352B4E"/>
    <w:rsid w:val="00352FDA"/>
    <w:rsid w:val="003553CA"/>
    <w:rsid w:val="003560A1"/>
    <w:rsid w:val="00356EDD"/>
    <w:rsid w:val="0035733E"/>
    <w:rsid w:val="003605A6"/>
    <w:rsid w:val="0036091A"/>
    <w:rsid w:val="00360F57"/>
    <w:rsid w:val="00364795"/>
    <w:rsid w:val="00364878"/>
    <w:rsid w:val="003650C3"/>
    <w:rsid w:val="00365351"/>
    <w:rsid w:val="00366BCE"/>
    <w:rsid w:val="00367B14"/>
    <w:rsid w:val="0037125A"/>
    <w:rsid w:val="003713DA"/>
    <w:rsid w:val="003748C4"/>
    <w:rsid w:val="00375B04"/>
    <w:rsid w:val="0037667E"/>
    <w:rsid w:val="00376A03"/>
    <w:rsid w:val="00377B7F"/>
    <w:rsid w:val="00380EC1"/>
    <w:rsid w:val="00381A30"/>
    <w:rsid w:val="00382174"/>
    <w:rsid w:val="00384AB3"/>
    <w:rsid w:val="00385BB1"/>
    <w:rsid w:val="00390CA5"/>
    <w:rsid w:val="00391362"/>
    <w:rsid w:val="00392CED"/>
    <w:rsid w:val="00393141"/>
    <w:rsid w:val="0039613E"/>
    <w:rsid w:val="003A139D"/>
    <w:rsid w:val="003A5927"/>
    <w:rsid w:val="003A6E8B"/>
    <w:rsid w:val="003A7A9E"/>
    <w:rsid w:val="003B0149"/>
    <w:rsid w:val="003B1153"/>
    <w:rsid w:val="003B26AA"/>
    <w:rsid w:val="003B352F"/>
    <w:rsid w:val="003B4ED2"/>
    <w:rsid w:val="003B4FAF"/>
    <w:rsid w:val="003B5D36"/>
    <w:rsid w:val="003B5E23"/>
    <w:rsid w:val="003C1A25"/>
    <w:rsid w:val="003C2C38"/>
    <w:rsid w:val="003C42EF"/>
    <w:rsid w:val="003C54A3"/>
    <w:rsid w:val="003C5865"/>
    <w:rsid w:val="003C5B18"/>
    <w:rsid w:val="003C634F"/>
    <w:rsid w:val="003D0590"/>
    <w:rsid w:val="003D0592"/>
    <w:rsid w:val="003D0E9D"/>
    <w:rsid w:val="003D0F64"/>
    <w:rsid w:val="003D1B46"/>
    <w:rsid w:val="003D2621"/>
    <w:rsid w:val="003D2B19"/>
    <w:rsid w:val="003D2DE7"/>
    <w:rsid w:val="003D3592"/>
    <w:rsid w:val="003D359F"/>
    <w:rsid w:val="003D49D6"/>
    <w:rsid w:val="003D5E0A"/>
    <w:rsid w:val="003D60E7"/>
    <w:rsid w:val="003D661B"/>
    <w:rsid w:val="003E0DB5"/>
    <w:rsid w:val="003E0FF4"/>
    <w:rsid w:val="003E16A3"/>
    <w:rsid w:val="003E3521"/>
    <w:rsid w:val="003E3554"/>
    <w:rsid w:val="003E4321"/>
    <w:rsid w:val="003E6E4F"/>
    <w:rsid w:val="003F016E"/>
    <w:rsid w:val="003F0C4B"/>
    <w:rsid w:val="0040014E"/>
    <w:rsid w:val="004008F9"/>
    <w:rsid w:val="004039AB"/>
    <w:rsid w:val="0040477E"/>
    <w:rsid w:val="00404FA2"/>
    <w:rsid w:val="004063D0"/>
    <w:rsid w:val="00406CC2"/>
    <w:rsid w:val="00407D0B"/>
    <w:rsid w:val="0041007B"/>
    <w:rsid w:val="00414946"/>
    <w:rsid w:val="00414C8C"/>
    <w:rsid w:val="00415564"/>
    <w:rsid w:val="0041794E"/>
    <w:rsid w:val="00417B70"/>
    <w:rsid w:val="00417CA4"/>
    <w:rsid w:val="0042039C"/>
    <w:rsid w:val="00420ADF"/>
    <w:rsid w:val="004213FC"/>
    <w:rsid w:val="004215C7"/>
    <w:rsid w:val="00421C11"/>
    <w:rsid w:val="00423219"/>
    <w:rsid w:val="00423C95"/>
    <w:rsid w:val="00424BE2"/>
    <w:rsid w:val="00426ED4"/>
    <w:rsid w:val="00432471"/>
    <w:rsid w:val="00436277"/>
    <w:rsid w:val="004362B1"/>
    <w:rsid w:val="00436FA0"/>
    <w:rsid w:val="0043707C"/>
    <w:rsid w:val="00437F51"/>
    <w:rsid w:val="00440541"/>
    <w:rsid w:val="00443059"/>
    <w:rsid w:val="004462B9"/>
    <w:rsid w:val="004478D4"/>
    <w:rsid w:val="00450D15"/>
    <w:rsid w:val="00451A89"/>
    <w:rsid w:val="0045418B"/>
    <w:rsid w:val="00460A92"/>
    <w:rsid w:val="00462B28"/>
    <w:rsid w:val="004673C6"/>
    <w:rsid w:val="00467755"/>
    <w:rsid w:val="00471B2C"/>
    <w:rsid w:val="00473DC7"/>
    <w:rsid w:val="0047580B"/>
    <w:rsid w:val="0047757D"/>
    <w:rsid w:val="00480244"/>
    <w:rsid w:val="00481063"/>
    <w:rsid w:val="0048548B"/>
    <w:rsid w:val="00485BCF"/>
    <w:rsid w:val="00486831"/>
    <w:rsid w:val="004901B7"/>
    <w:rsid w:val="0049147D"/>
    <w:rsid w:val="00492B07"/>
    <w:rsid w:val="004938FB"/>
    <w:rsid w:val="00494621"/>
    <w:rsid w:val="004A04A1"/>
    <w:rsid w:val="004A2DC1"/>
    <w:rsid w:val="004A5D21"/>
    <w:rsid w:val="004A5FF2"/>
    <w:rsid w:val="004B055C"/>
    <w:rsid w:val="004B33D9"/>
    <w:rsid w:val="004B50A2"/>
    <w:rsid w:val="004B5D69"/>
    <w:rsid w:val="004B63EA"/>
    <w:rsid w:val="004B7812"/>
    <w:rsid w:val="004C23EC"/>
    <w:rsid w:val="004C2595"/>
    <w:rsid w:val="004C334A"/>
    <w:rsid w:val="004C5FAC"/>
    <w:rsid w:val="004C6425"/>
    <w:rsid w:val="004D0546"/>
    <w:rsid w:val="004D1BD9"/>
    <w:rsid w:val="004D22F5"/>
    <w:rsid w:val="004D75A0"/>
    <w:rsid w:val="004E3CEB"/>
    <w:rsid w:val="004E3FBB"/>
    <w:rsid w:val="004E5741"/>
    <w:rsid w:val="004F0B13"/>
    <w:rsid w:val="004F1A0D"/>
    <w:rsid w:val="004F2630"/>
    <w:rsid w:val="004F3829"/>
    <w:rsid w:val="004F4CE3"/>
    <w:rsid w:val="004F4DB0"/>
    <w:rsid w:val="004F4F8D"/>
    <w:rsid w:val="004F51D3"/>
    <w:rsid w:val="005018A7"/>
    <w:rsid w:val="00506F16"/>
    <w:rsid w:val="00507B4F"/>
    <w:rsid w:val="00510C67"/>
    <w:rsid w:val="00510DCD"/>
    <w:rsid w:val="00511F9D"/>
    <w:rsid w:val="00512E4F"/>
    <w:rsid w:val="0051457D"/>
    <w:rsid w:val="00514F45"/>
    <w:rsid w:val="00515397"/>
    <w:rsid w:val="0051550F"/>
    <w:rsid w:val="00516564"/>
    <w:rsid w:val="00516697"/>
    <w:rsid w:val="005205DB"/>
    <w:rsid w:val="00521E4B"/>
    <w:rsid w:val="00522E54"/>
    <w:rsid w:val="005232FE"/>
    <w:rsid w:val="00523981"/>
    <w:rsid w:val="005249EB"/>
    <w:rsid w:val="00524F11"/>
    <w:rsid w:val="005274DF"/>
    <w:rsid w:val="00531AA8"/>
    <w:rsid w:val="005352F4"/>
    <w:rsid w:val="00535718"/>
    <w:rsid w:val="00541574"/>
    <w:rsid w:val="0054233A"/>
    <w:rsid w:val="0054477B"/>
    <w:rsid w:val="00545F86"/>
    <w:rsid w:val="00550F11"/>
    <w:rsid w:val="00552C82"/>
    <w:rsid w:val="0055384B"/>
    <w:rsid w:val="00561936"/>
    <w:rsid w:val="005627F9"/>
    <w:rsid w:val="00562EDC"/>
    <w:rsid w:val="005633EE"/>
    <w:rsid w:val="00567507"/>
    <w:rsid w:val="00570642"/>
    <w:rsid w:val="005706FD"/>
    <w:rsid w:val="00570A3E"/>
    <w:rsid w:val="005725BE"/>
    <w:rsid w:val="00577146"/>
    <w:rsid w:val="005774C3"/>
    <w:rsid w:val="00577760"/>
    <w:rsid w:val="0058201B"/>
    <w:rsid w:val="00584186"/>
    <w:rsid w:val="00584526"/>
    <w:rsid w:val="00584AF6"/>
    <w:rsid w:val="00584C0B"/>
    <w:rsid w:val="00585355"/>
    <w:rsid w:val="005866C0"/>
    <w:rsid w:val="00587759"/>
    <w:rsid w:val="00592093"/>
    <w:rsid w:val="0059245A"/>
    <w:rsid w:val="005A122E"/>
    <w:rsid w:val="005A2D4A"/>
    <w:rsid w:val="005A5D17"/>
    <w:rsid w:val="005A672A"/>
    <w:rsid w:val="005A7D34"/>
    <w:rsid w:val="005B358D"/>
    <w:rsid w:val="005B3A40"/>
    <w:rsid w:val="005C142A"/>
    <w:rsid w:val="005C3766"/>
    <w:rsid w:val="005C5374"/>
    <w:rsid w:val="005C5825"/>
    <w:rsid w:val="005C729E"/>
    <w:rsid w:val="005D1872"/>
    <w:rsid w:val="005D39F8"/>
    <w:rsid w:val="005D75BB"/>
    <w:rsid w:val="005E0060"/>
    <w:rsid w:val="005E11C0"/>
    <w:rsid w:val="005E2AD8"/>
    <w:rsid w:val="005E2C5A"/>
    <w:rsid w:val="005E6066"/>
    <w:rsid w:val="005E6563"/>
    <w:rsid w:val="005E7E9B"/>
    <w:rsid w:val="005EE823"/>
    <w:rsid w:val="005F0CFC"/>
    <w:rsid w:val="005F2EC1"/>
    <w:rsid w:val="005F4845"/>
    <w:rsid w:val="005F5155"/>
    <w:rsid w:val="005F57B6"/>
    <w:rsid w:val="005F6C5C"/>
    <w:rsid w:val="006032DC"/>
    <w:rsid w:val="00603FB0"/>
    <w:rsid w:val="00604261"/>
    <w:rsid w:val="00604C74"/>
    <w:rsid w:val="0060643E"/>
    <w:rsid w:val="00607C95"/>
    <w:rsid w:val="00607FDF"/>
    <w:rsid w:val="006120B4"/>
    <w:rsid w:val="00614606"/>
    <w:rsid w:val="006155B2"/>
    <w:rsid w:val="00616E7C"/>
    <w:rsid w:val="00616F4D"/>
    <w:rsid w:val="00617C62"/>
    <w:rsid w:val="00621192"/>
    <w:rsid w:val="006225E9"/>
    <w:rsid w:val="00624EC8"/>
    <w:rsid w:val="006257F1"/>
    <w:rsid w:val="0062590B"/>
    <w:rsid w:val="00625DF5"/>
    <w:rsid w:val="006266D5"/>
    <w:rsid w:val="0062692B"/>
    <w:rsid w:val="00626D52"/>
    <w:rsid w:val="006323C2"/>
    <w:rsid w:val="006333A0"/>
    <w:rsid w:val="00633942"/>
    <w:rsid w:val="00633A58"/>
    <w:rsid w:val="00634F88"/>
    <w:rsid w:val="0063579A"/>
    <w:rsid w:val="00635A45"/>
    <w:rsid w:val="00635B40"/>
    <w:rsid w:val="006373C8"/>
    <w:rsid w:val="00637C9C"/>
    <w:rsid w:val="00637EA4"/>
    <w:rsid w:val="0064010E"/>
    <w:rsid w:val="00640590"/>
    <w:rsid w:val="0064175B"/>
    <w:rsid w:val="00642977"/>
    <w:rsid w:val="0064345F"/>
    <w:rsid w:val="00643515"/>
    <w:rsid w:val="00643C88"/>
    <w:rsid w:val="00645530"/>
    <w:rsid w:val="0064585D"/>
    <w:rsid w:val="0064796B"/>
    <w:rsid w:val="00650F09"/>
    <w:rsid w:val="006514F5"/>
    <w:rsid w:val="00656546"/>
    <w:rsid w:val="006570AA"/>
    <w:rsid w:val="00657467"/>
    <w:rsid w:val="006574D5"/>
    <w:rsid w:val="00662C32"/>
    <w:rsid w:val="00665BFC"/>
    <w:rsid w:val="00665E0D"/>
    <w:rsid w:val="00666A4F"/>
    <w:rsid w:val="00666A8C"/>
    <w:rsid w:val="0067085B"/>
    <w:rsid w:val="006720C8"/>
    <w:rsid w:val="006723EC"/>
    <w:rsid w:val="00681F54"/>
    <w:rsid w:val="006825F1"/>
    <w:rsid w:val="00682EDD"/>
    <w:rsid w:val="00684F42"/>
    <w:rsid w:val="00685C3D"/>
    <w:rsid w:val="006868B2"/>
    <w:rsid w:val="0068735A"/>
    <w:rsid w:val="006929AD"/>
    <w:rsid w:val="00692E25"/>
    <w:rsid w:val="006940FC"/>
    <w:rsid w:val="00694B23"/>
    <w:rsid w:val="00697E68"/>
    <w:rsid w:val="006A0659"/>
    <w:rsid w:val="006A0D34"/>
    <w:rsid w:val="006A1DC2"/>
    <w:rsid w:val="006A3722"/>
    <w:rsid w:val="006A555E"/>
    <w:rsid w:val="006A55F2"/>
    <w:rsid w:val="006A60E4"/>
    <w:rsid w:val="006A6386"/>
    <w:rsid w:val="006B06B7"/>
    <w:rsid w:val="006B0A95"/>
    <w:rsid w:val="006B1EB4"/>
    <w:rsid w:val="006B27CD"/>
    <w:rsid w:val="006B4AFE"/>
    <w:rsid w:val="006B59D2"/>
    <w:rsid w:val="006B7A15"/>
    <w:rsid w:val="006B7CAD"/>
    <w:rsid w:val="006B7FDE"/>
    <w:rsid w:val="006C1291"/>
    <w:rsid w:val="006C2C7D"/>
    <w:rsid w:val="006C3106"/>
    <w:rsid w:val="006C52D8"/>
    <w:rsid w:val="006C6BB9"/>
    <w:rsid w:val="006D1B3A"/>
    <w:rsid w:val="006D1F3F"/>
    <w:rsid w:val="006D329F"/>
    <w:rsid w:val="006D473F"/>
    <w:rsid w:val="006D500B"/>
    <w:rsid w:val="006D55A6"/>
    <w:rsid w:val="006D6A33"/>
    <w:rsid w:val="006E1327"/>
    <w:rsid w:val="006E22E7"/>
    <w:rsid w:val="006E5F74"/>
    <w:rsid w:val="006E7A3C"/>
    <w:rsid w:val="006F00A8"/>
    <w:rsid w:val="006F0E6F"/>
    <w:rsid w:val="006F0FBE"/>
    <w:rsid w:val="006F57CC"/>
    <w:rsid w:val="006F70F3"/>
    <w:rsid w:val="00701420"/>
    <w:rsid w:val="007045E3"/>
    <w:rsid w:val="00705AFC"/>
    <w:rsid w:val="007112AC"/>
    <w:rsid w:val="00711E70"/>
    <w:rsid w:val="00712DFE"/>
    <w:rsid w:val="007148DB"/>
    <w:rsid w:val="00717C03"/>
    <w:rsid w:val="00722CA7"/>
    <w:rsid w:val="0072470D"/>
    <w:rsid w:val="00724A7E"/>
    <w:rsid w:val="00725E8A"/>
    <w:rsid w:val="00725F33"/>
    <w:rsid w:val="00726665"/>
    <w:rsid w:val="00730462"/>
    <w:rsid w:val="00731676"/>
    <w:rsid w:val="00732B01"/>
    <w:rsid w:val="00733139"/>
    <w:rsid w:val="007348CE"/>
    <w:rsid w:val="00736275"/>
    <w:rsid w:val="00736E45"/>
    <w:rsid w:val="007402BB"/>
    <w:rsid w:val="00747369"/>
    <w:rsid w:val="00747665"/>
    <w:rsid w:val="00747D3E"/>
    <w:rsid w:val="00747D62"/>
    <w:rsid w:val="00747D9B"/>
    <w:rsid w:val="007576CC"/>
    <w:rsid w:val="00761CE7"/>
    <w:rsid w:val="007620F9"/>
    <w:rsid w:val="00762649"/>
    <w:rsid w:val="0076303C"/>
    <w:rsid w:val="0076348A"/>
    <w:rsid w:val="00764B96"/>
    <w:rsid w:val="00765B4B"/>
    <w:rsid w:val="007718D3"/>
    <w:rsid w:val="00772E14"/>
    <w:rsid w:val="00774F9E"/>
    <w:rsid w:val="007777F3"/>
    <w:rsid w:val="00782E63"/>
    <w:rsid w:val="0078329D"/>
    <w:rsid w:val="00783BAC"/>
    <w:rsid w:val="00785EFD"/>
    <w:rsid w:val="00790177"/>
    <w:rsid w:val="00793AAE"/>
    <w:rsid w:val="007957D4"/>
    <w:rsid w:val="0079680F"/>
    <w:rsid w:val="00796D0B"/>
    <w:rsid w:val="007979A1"/>
    <w:rsid w:val="007A1080"/>
    <w:rsid w:val="007A1621"/>
    <w:rsid w:val="007A223D"/>
    <w:rsid w:val="007A3317"/>
    <w:rsid w:val="007A7283"/>
    <w:rsid w:val="007B1545"/>
    <w:rsid w:val="007B22D8"/>
    <w:rsid w:val="007B55DC"/>
    <w:rsid w:val="007C063C"/>
    <w:rsid w:val="007C0AFB"/>
    <w:rsid w:val="007C0CE5"/>
    <w:rsid w:val="007C1AD1"/>
    <w:rsid w:val="007C1AE3"/>
    <w:rsid w:val="007C2027"/>
    <w:rsid w:val="007C331C"/>
    <w:rsid w:val="007C5B02"/>
    <w:rsid w:val="007C7937"/>
    <w:rsid w:val="007D270A"/>
    <w:rsid w:val="007D2C63"/>
    <w:rsid w:val="007D4CB2"/>
    <w:rsid w:val="007D5467"/>
    <w:rsid w:val="007D54BA"/>
    <w:rsid w:val="007D6CB6"/>
    <w:rsid w:val="007E07A1"/>
    <w:rsid w:val="007E07F8"/>
    <w:rsid w:val="007E1F6B"/>
    <w:rsid w:val="007E29AB"/>
    <w:rsid w:val="007E4502"/>
    <w:rsid w:val="007E478F"/>
    <w:rsid w:val="007E763E"/>
    <w:rsid w:val="007E7895"/>
    <w:rsid w:val="007F1E48"/>
    <w:rsid w:val="007F2D36"/>
    <w:rsid w:val="007F384F"/>
    <w:rsid w:val="007F3B2B"/>
    <w:rsid w:val="007F4C54"/>
    <w:rsid w:val="007F5639"/>
    <w:rsid w:val="007F580F"/>
    <w:rsid w:val="007F58E3"/>
    <w:rsid w:val="007F6568"/>
    <w:rsid w:val="007F6757"/>
    <w:rsid w:val="0080027C"/>
    <w:rsid w:val="008007E9"/>
    <w:rsid w:val="00801791"/>
    <w:rsid w:val="0080284F"/>
    <w:rsid w:val="0080337F"/>
    <w:rsid w:val="00803444"/>
    <w:rsid w:val="00803E65"/>
    <w:rsid w:val="008054C0"/>
    <w:rsid w:val="00812843"/>
    <w:rsid w:val="00814118"/>
    <w:rsid w:val="00814930"/>
    <w:rsid w:val="008166DA"/>
    <w:rsid w:val="008200C5"/>
    <w:rsid w:val="00820658"/>
    <w:rsid w:val="008208A2"/>
    <w:rsid w:val="00823DB6"/>
    <w:rsid w:val="00825611"/>
    <w:rsid w:val="00825E99"/>
    <w:rsid w:val="0082730A"/>
    <w:rsid w:val="00827F54"/>
    <w:rsid w:val="0083003A"/>
    <w:rsid w:val="008301A8"/>
    <w:rsid w:val="0083037B"/>
    <w:rsid w:val="00831A5D"/>
    <w:rsid w:val="00832518"/>
    <w:rsid w:val="00832A75"/>
    <w:rsid w:val="00832F4D"/>
    <w:rsid w:val="008347A8"/>
    <w:rsid w:val="00834CF9"/>
    <w:rsid w:val="0083547D"/>
    <w:rsid w:val="00836E07"/>
    <w:rsid w:val="008378E1"/>
    <w:rsid w:val="00837F0C"/>
    <w:rsid w:val="00839470"/>
    <w:rsid w:val="00841F79"/>
    <w:rsid w:val="0084232E"/>
    <w:rsid w:val="008436A2"/>
    <w:rsid w:val="008438D4"/>
    <w:rsid w:val="00844B5F"/>
    <w:rsid w:val="008462F8"/>
    <w:rsid w:val="00851D5E"/>
    <w:rsid w:val="00852289"/>
    <w:rsid w:val="0085296C"/>
    <w:rsid w:val="008549BA"/>
    <w:rsid w:val="00855C3A"/>
    <w:rsid w:val="00855F95"/>
    <w:rsid w:val="00857591"/>
    <w:rsid w:val="008604C9"/>
    <w:rsid w:val="0086278C"/>
    <w:rsid w:val="008665CD"/>
    <w:rsid w:val="008678B9"/>
    <w:rsid w:val="00867DD7"/>
    <w:rsid w:val="008707A0"/>
    <w:rsid w:val="00870B1A"/>
    <w:rsid w:val="0087249B"/>
    <w:rsid w:val="008724E8"/>
    <w:rsid w:val="00874913"/>
    <w:rsid w:val="0087557D"/>
    <w:rsid w:val="008757F2"/>
    <w:rsid w:val="0087630E"/>
    <w:rsid w:val="00877DF9"/>
    <w:rsid w:val="00880A90"/>
    <w:rsid w:val="00881079"/>
    <w:rsid w:val="008811BD"/>
    <w:rsid w:val="00881F8E"/>
    <w:rsid w:val="0088292C"/>
    <w:rsid w:val="00882E1C"/>
    <w:rsid w:val="00884321"/>
    <w:rsid w:val="00885E5A"/>
    <w:rsid w:val="00885FF2"/>
    <w:rsid w:val="008861A0"/>
    <w:rsid w:val="00886F8B"/>
    <w:rsid w:val="008903A9"/>
    <w:rsid w:val="00890CA4"/>
    <w:rsid w:val="0089690A"/>
    <w:rsid w:val="00897139"/>
    <w:rsid w:val="008972AE"/>
    <w:rsid w:val="008A0967"/>
    <w:rsid w:val="008A0CBC"/>
    <w:rsid w:val="008A10F6"/>
    <w:rsid w:val="008A1340"/>
    <w:rsid w:val="008A5BA6"/>
    <w:rsid w:val="008A5C90"/>
    <w:rsid w:val="008A7509"/>
    <w:rsid w:val="008B03FB"/>
    <w:rsid w:val="008B04BB"/>
    <w:rsid w:val="008B1949"/>
    <w:rsid w:val="008B211E"/>
    <w:rsid w:val="008B224F"/>
    <w:rsid w:val="008B3134"/>
    <w:rsid w:val="008B4BC8"/>
    <w:rsid w:val="008B5C4E"/>
    <w:rsid w:val="008B76B5"/>
    <w:rsid w:val="008C00CA"/>
    <w:rsid w:val="008C0F6F"/>
    <w:rsid w:val="008C0FD2"/>
    <w:rsid w:val="008C3241"/>
    <w:rsid w:val="008C5441"/>
    <w:rsid w:val="008D0041"/>
    <w:rsid w:val="008D1E67"/>
    <w:rsid w:val="008D219B"/>
    <w:rsid w:val="008D6E3E"/>
    <w:rsid w:val="008E029A"/>
    <w:rsid w:val="008E0A56"/>
    <w:rsid w:val="008E1A31"/>
    <w:rsid w:val="008F18E4"/>
    <w:rsid w:val="008F1990"/>
    <w:rsid w:val="008F3276"/>
    <w:rsid w:val="008F37C6"/>
    <w:rsid w:val="008F49BD"/>
    <w:rsid w:val="008F5016"/>
    <w:rsid w:val="008F6074"/>
    <w:rsid w:val="008F625A"/>
    <w:rsid w:val="008F665B"/>
    <w:rsid w:val="008F7291"/>
    <w:rsid w:val="00902A79"/>
    <w:rsid w:val="00910430"/>
    <w:rsid w:val="00910EC9"/>
    <w:rsid w:val="00911E0D"/>
    <w:rsid w:val="009137BC"/>
    <w:rsid w:val="00915BEF"/>
    <w:rsid w:val="00917470"/>
    <w:rsid w:val="00923435"/>
    <w:rsid w:val="00925462"/>
    <w:rsid w:val="00926BA4"/>
    <w:rsid w:val="00927085"/>
    <w:rsid w:val="00927D38"/>
    <w:rsid w:val="00930925"/>
    <w:rsid w:val="009316C8"/>
    <w:rsid w:val="00931E89"/>
    <w:rsid w:val="009339A2"/>
    <w:rsid w:val="00934348"/>
    <w:rsid w:val="00934FF0"/>
    <w:rsid w:val="00935736"/>
    <w:rsid w:val="00936D55"/>
    <w:rsid w:val="00936FF5"/>
    <w:rsid w:val="00941646"/>
    <w:rsid w:val="00943A3C"/>
    <w:rsid w:val="00943C1A"/>
    <w:rsid w:val="009445ED"/>
    <w:rsid w:val="00945FB1"/>
    <w:rsid w:val="00950EF1"/>
    <w:rsid w:val="0095198A"/>
    <w:rsid w:val="00952E8F"/>
    <w:rsid w:val="0095466A"/>
    <w:rsid w:val="00955EDC"/>
    <w:rsid w:val="009560D2"/>
    <w:rsid w:val="00960350"/>
    <w:rsid w:val="00960914"/>
    <w:rsid w:val="00962867"/>
    <w:rsid w:val="00965295"/>
    <w:rsid w:val="00967ABB"/>
    <w:rsid w:val="00971989"/>
    <w:rsid w:val="00971BC6"/>
    <w:rsid w:val="009722E1"/>
    <w:rsid w:val="00972E77"/>
    <w:rsid w:val="0097439D"/>
    <w:rsid w:val="00974D4A"/>
    <w:rsid w:val="009756BC"/>
    <w:rsid w:val="0097641A"/>
    <w:rsid w:val="00977A50"/>
    <w:rsid w:val="00980525"/>
    <w:rsid w:val="009806E1"/>
    <w:rsid w:val="009808FC"/>
    <w:rsid w:val="00981A21"/>
    <w:rsid w:val="00984BEE"/>
    <w:rsid w:val="009855BE"/>
    <w:rsid w:val="00986A83"/>
    <w:rsid w:val="009928F5"/>
    <w:rsid w:val="009929C3"/>
    <w:rsid w:val="009951CB"/>
    <w:rsid w:val="009A4A9D"/>
    <w:rsid w:val="009A4EE0"/>
    <w:rsid w:val="009A752B"/>
    <w:rsid w:val="009B07C9"/>
    <w:rsid w:val="009B0975"/>
    <w:rsid w:val="009B20D1"/>
    <w:rsid w:val="009B4687"/>
    <w:rsid w:val="009B4F12"/>
    <w:rsid w:val="009B75CC"/>
    <w:rsid w:val="009B7873"/>
    <w:rsid w:val="009C0AFB"/>
    <w:rsid w:val="009C300D"/>
    <w:rsid w:val="009C3348"/>
    <w:rsid w:val="009C3996"/>
    <w:rsid w:val="009C4097"/>
    <w:rsid w:val="009C481E"/>
    <w:rsid w:val="009C6335"/>
    <w:rsid w:val="009C65DF"/>
    <w:rsid w:val="009C65FA"/>
    <w:rsid w:val="009D1C56"/>
    <w:rsid w:val="009D3D9A"/>
    <w:rsid w:val="009D40D6"/>
    <w:rsid w:val="009D6472"/>
    <w:rsid w:val="009D7153"/>
    <w:rsid w:val="009E1897"/>
    <w:rsid w:val="009E19B9"/>
    <w:rsid w:val="009E2BCD"/>
    <w:rsid w:val="009E382C"/>
    <w:rsid w:val="009E3EE2"/>
    <w:rsid w:val="009E3FBB"/>
    <w:rsid w:val="009E490C"/>
    <w:rsid w:val="009E505B"/>
    <w:rsid w:val="009E627A"/>
    <w:rsid w:val="009E6857"/>
    <w:rsid w:val="009E7DA2"/>
    <w:rsid w:val="009E7F82"/>
    <w:rsid w:val="009F0F6F"/>
    <w:rsid w:val="009F305F"/>
    <w:rsid w:val="009F4015"/>
    <w:rsid w:val="009F493F"/>
    <w:rsid w:val="009F5156"/>
    <w:rsid w:val="009F53EF"/>
    <w:rsid w:val="009F541F"/>
    <w:rsid w:val="009F66A5"/>
    <w:rsid w:val="009F7838"/>
    <w:rsid w:val="009F79CE"/>
    <w:rsid w:val="00A00B21"/>
    <w:rsid w:val="00A01ADC"/>
    <w:rsid w:val="00A01E51"/>
    <w:rsid w:val="00A03293"/>
    <w:rsid w:val="00A04436"/>
    <w:rsid w:val="00A068EC"/>
    <w:rsid w:val="00A0757D"/>
    <w:rsid w:val="00A108D9"/>
    <w:rsid w:val="00A109E9"/>
    <w:rsid w:val="00A1228A"/>
    <w:rsid w:val="00A13585"/>
    <w:rsid w:val="00A13F19"/>
    <w:rsid w:val="00A1485E"/>
    <w:rsid w:val="00A1545A"/>
    <w:rsid w:val="00A16D35"/>
    <w:rsid w:val="00A170D0"/>
    <w:rsid w:val="00A174EB"/>
    <w:rsid w:val="00A179DA"/>
    <w:rsid w:val="00A2033E"/>
    <w:rsid w:val="00A20B95"/>
    <w:rsid w:val="00A21EED"/>
    <w:rsid w:val="00A23E86"/>
    <w:rsid w:val="00A24CF1"/>
    <w:rsid w:val="00A2649E"/>
    <w:rsid w:val="00A27CE8"/>
    <w:rsid w:val="00A322A9"/>
    <w:rsid w:val="00A32E62"/>
    <w:rsid w:val="00A339F1"/>
    <w:rsid w:val="00A37433"/>
    <w:rsid w:val="00A40193"/>
    <w:rsid w:val="00A404C0"/>
    <w:rsid w:val="00A40FBC"/>
    <w:rsid w:val="00A413C6"/>
    <w:rsid w:val="00A41B57"/>
    <w:rsid w:val="00A437A3"/>
    <w:rsid w:val="00A46B37"/>
    <w:rsid w:val="00A50D4C"/>
    <w:rsid w:val="00A51C20"/>
    <w:rsid w:val="00A55105"/>
    <w:rsid w:val="00A57893"/>
    <w:rsid w:val="00A579E2"/>
    <w:rsid w:val="00A6226D"/>
    <w:rsid w:val="00A644A9"/>
    <w:rsid w:val="00A6584D"/>
    <w:rsid w:val="00A66EED"/>
    <w:rsid w:val="00A6713A"/>
    <w:rsid w:val="00A70951"/>
    <w:rsid w:val="00A70FB9"/>
    <w:rsid w:val="00A7204A"/>
    <w:rsid w:val="00A73F9C"/>
    <w:rsid w:val="00A76B71"/>
    <w:rsid w:val="00A833C7"/>
    <w:rsid w:val="00A83627"/>
    <w:rsid w:val="00A840B5"/>
    <w:rsid w:val="00A85D0B"/>
    <w:rsid w:val="00A91CA7"/>
    <w:rsid w:val="00A92A40"/>
    <w:rsid w:val="00A96F69"/>
    <w:rsid w:val="00AA03CC"/>
    <w:rsid w:val="00AA1A0A"/>
    <w:rsid w:val="00AA2581"/>
    <w:rsid w:val="00AA2E25"/>
    <w:rsid w:val="00AA4A50"/>
    <w:rsid w:val="00AA5030"/>
    <w:rsid w:val="00AA5245"/>
    <w:rsid w:val="00AA556F"/>
    <w:rsid w:val="00AA6DAC"/>
    <w:rsid w:val="00AB2567"/>
    <w:rsid w:val="00AB394E"/>
    <w:rsid w:val="00AB3D68"/>
    <w:rsid w:val="00AB4C37"/>
    <w:rsid w:val="00AB4C77"/>
    <w:rsid w:val="00AB75B7"/>
    <w:rsid w:val="00AB7C1F"/>
    <w:rsid w:val="00AC038B"/>
    <w:rsid w:val="00AC08ED"/>
    <w:rsid w:val="00AC0B0E"/>
    <w:rsid w:val="00AC2BE3"/>
    <w:rsid w:val="00AC4375"/>
    <w:rsid w:val="00AC4C54"/>
    <w:rsid w:val="00AC562E"/>
    <w:rsid w:val="00AC5E8E"/>
    <w:rsid w:val="00AC768F"/>
    <w:rsid w:val="00AD2374"/>
    <w:rsid w:val="00AD2E5E"/>
    <w:rsid w:val="00AD4D90"/>
    <w:rsid w:val="00AD5053"/>
    <w:rsid w:val="00AD5D3A"/>
    <w:rsid w:val="00AD71E5"/>
    <w:rsid w:val="00AE05B4"/>
    <w:rsid w:val="00AE106B"/>
    <w:rsid w:val="00AE1820"/>
    <w:rsid w:val="00AE1D7E"/>
    <w:rsid w:val="00AE3048"/>
    <w:rsid w:val="00AE4D75"/>
    <w:rsid w:val="00AE672F"/>
    <w:rsid w:val="00AE6A2C"/>
    <w:rsid w:val="00AF0D37"/>
    <w:rsid w:val="00AF4B99"/>
    <w:rsid w:val="00B001F7"/>
    <w:rsid w:val="00B04A36"/>
    <w:rsid w:val="00B05378"/>
    <w:rsid w:val="00B10646"/>
    <w:rsid w:val="00B117B5"/>
    <w:rsid w:val="00B11A24"/>
    <w:rsid w:val="00B12F3A"/>
    <w:rsid w:val="00B13C86"/>
    <w:rsid w:val="00B147A6"/>
    <w:rsid w:val="00B21C39"/>
    <w:rsid w:val="00B2339A"/>
    <w:rsid w:val="00B23C71"/>
    <w:rsid w:val="00B25D22"/>
    <w:rsid w:val="00B31242"/>
    <w:rsid w:val="00B31A1C"/>
    <w:rsid w:val="00B3305B"/>
    <w:rsid w:val="00B332C3"/>
    <w:rsid w:val="00B334BA"/>
    <w:rsid w:val="00B3367E"/>
    <w:rsid w:val="00B34E09"/>
    <w:rsid w:val="00B353E0"/>
    <w:rsid w:val="00B35FC9"/>
    <w:rsid w:val="00B362AF"/>
    <w:rsid w:val="00B41846"/>
    <w:rsid w:val="00B4368B"/>
    <w:rsid w:val="00B45949"/>
    <w:rsid w:val="00B5031A"/>
    <w:rsid w:val="00B5060D"/>
    <w:rsid w:val="00B51866"/>
    <w:rsid w:val="00B51C32"/>
    <w:rsid w:val="00B60E8B"/>
    <w:rsid w:val="00B60F2F"/>
    <w:rsid w:val="00B6126C"/>
    <w:rsid w:val="00B61BA8"/>
    <w:rsid w:val="00B6502E"/>
    <w:rsid w:val="00B657F6"/>
    <w:rsid w:val="00B6625F"/>
    <w:rsid w:val="00B66590"/>
    <w:rsid w:val="00B67087"/>
    <w:rsid w:val="00B71B78"/>
    <w:rsid w:val="00B71F07"/>
    <w:rsid w:val="00B73AFB"/>
    <w:rsid w:val="00B74B19"/>
    <w:rsid w:val="00B7511F"/>
    <w:rsid w:val="00B764A3"/>
    <w:rsid w:val="00B85FC4"/>
    <w:rsid w:val="00B863DD"/>
    <w:rsid w:val="00B92920"/>
    <w:rsid w:val="00B97EB4"/>
    <w:rsid w:val="00BA193E"/>
    <w:rsid w:val="00BA27FF"/>
    <w:rsid w:val="00BA3761"/>
    <w:rsid w:val="00BA4438"/>
    <w:rsid w:val="00BA4954"/>
    <w:rsid w:val="00BA5FF2"/>
    <w:rsid w:val="00BA7560"/>
    <w:rsid w:val="00BA7647"/>
    <w:rsid w:val="00BB04A2"/>
    <w:rsid w:val="00BB2A1D"/>
    <w:rsid w:val="00BB32D3"/>
    <w:rsid w:val="00BB4AFF"/>
    <w:rsid w:val="00BB537D"/>
    <w:rsid w:val="00BB54C4"/>
    <w:rsid w:val="00BB5AB9"/>
    <w:rsid w:val="00BB64CE"/>
    <w:rsid w:val="00BB6A66"/>
    <w:rsid w:val="00BB6D51"/>
    <w:rsid w:val="00BB75E7"/>
    <w:rsid w:val="00BB7917"/>
    <w:rsid w:val="00BC16FC"/>
    <w:rsid w:val="00BC2465"/>
    <w:rsid w:val="00BC280C"/>
    <w:rsid w:val="00BC3603"/>
    <w:rsid w:val="00BC3815"/>
    <w:rsid w:val="00BC6322"/>
    <w:rsid w:val="00BC6920"/>
    <w:rsid w:val="00BC6E63"/>
    <w:rsid w:val="00BC7811"/>
    <w:rsid w:val="00BD16DD"/>
    <w:rsid w:val="00BD2901"/>
    <w:rsid w:val="00BE1406"/>
    <w:rsid w:val="00BE1862"/>
    <w:rsid w:val="00BE40D8"/>
    <w:rsid w:val="00BE41C9"/>
    <w:rsid w:val="00BE76E2"/>
    <w:rsid w:val="00BE7858"/>
    <w:rsid w:val="00BF1282"/>
    <w:rsid w:val="00BF21DA"/>
    <w:rsid w:val="00BF7F36"/>
    <w:rsid w:val="00C00F9F"/>
    <w:rsid w:val="00C014CB"/>
    <w:rsid w:val="00C017A3"/>
    <w:rsid w:val="00C018DA"/>
    <w:rsid w:val="00C0213C"/>
    <w:rsid w:val="00C02601"/>
    <w:rsid w:val="00C05F7C"/>
    <w:rsid w:val="00C06D31"/>
    <w:rsid w:val="00C06D7B"/>
    <w:rsid w:val="00C121E3"/>
    <w:rsid w:val="00C1494A"/>
    <w:rsid w:val="00C14C28"/>
    <w:rsid w:val="00C173F3"/>
    <w:rsid w:val="00C2668B"/>
    <w:rsid w:val="00C32825"/>
    <w:rsid w:val="00C33790"/>
    <w:rsid w:val="00C35748"/>
    <w:rsid w:val="00C35E4B"/>
    <w:rsid w:val="00C36228"/>
    <w:rsid w:val="00C36773"/>
    <w:rsid w:val="00C42492"/>
    <w:rsid w:val="00C46E24"/>
    <w:rsid w:val="00C46F69"/>
    <w:rsid w:val="00C471E9"/>
    <w:rsid w:val="00C47811"/>
    <w:rsid w:val="00C47B20"/>
    <w:rsid w:val="00C52A90"/>
    <w:rsid w:val="00C57733"/>
    <w:rsid w:val="00C6218E"/>
    <w:rsid w:val="00C6324A"/>
    <w:rsid w:val="00C658A9"/>
    <w:rsid w:val="00C67C48"/>
    <w:rsid w:val="00C7447E"/>
    <w:rsid w:val="00C7488A"/>
    <w:rsid w:val="00C809B1"/>
    <w:rsid w:val="00C81459"/>
    <w:rsid w:val="00C83099"/>
    <w:rsid w:val="00C85DAA"/>
    <w:rsid w:val="00C868C5"/>
    <w:rsid w:val="00C87AC9"/>
    <w:rsid w:val="00C9026B"/>
    <w:rsid w:val="00C9077D"/>
    <w:rsid w:val="00C91BD1"/>
    <w:rsid w:val="00C91C3B"/>
    <w:rsid w:val="00C9222F"/>
    <w:rsid w:val="00C94CA0"/>
    <w:rsid w:val="00C94D2E"/>
    <w:rsid w:val="00C966E8"/>
    <w:rsid w:val="00C97430"/>
    <w:rsid w:val="00C97F3F"/>
    <w:rsid w:val="00CA01FC"/>
    <w:rsid w:val="00CA15BF"/>
    <w:rsid w:val="00CA1C17"/>
    <w:rsid w:val="00CA204D"/>
    <w:rsid w:val="00CA30FE"/>
    <w:rsid w:val="00CA353B"/>
    <w:rsid w:val="00CA3EA0"/>
    <w:rsid w:val="00CA4182"/>
    <w:rsid w:val="00CA4781"/>
    <w:rsid w:val="00CA5060"/>
    <w:rsid w:val="00CA7041"/>
    <w:rsid w:val="00CA7BF1"/>
    <w:rsid w:val="00CB0813"/>
    <w:rsid w:val="00CB1FEF"/>
    <w:rsid w:val="00CB20DF"/>
    <w:rsid w:val="00CB22E3"/>
    <w:rsid w:val="00CB29BC"/>
    <w:rsid w:val="00CB56C2"/>
    <w:rsid w:val="00CB6BCE"/>
    <w:rsid w:val="00CB754C"/>
    <w:rsid w:val="00CC39A9"/>
    <w:rsid w:val="00CC7219"/>
    <w:rsid w:val="00CD062C"/>
    <w:rsid w:val="00CD0893"/>
    <w:rsid w:val="00CD2126"/>
    <w:rsid w:val="00CD3226"/>
    <w:rsid w:val="00CD4430"/>
    <w:rsid w:val="00CD452C"/>
    <w:rsid w:val="00CE0CEC"/>
    <w:rsid w:val="00CE0F83"/>
    <w:rsid w:val="00CE1C68"/>
    <w:rsid w:val="00CE20F8"/>
    <w:rsid w:val="00CE462C"/>
    <w:rsid w:val="00CE61AF"/>
    <w:rsid w:val="00CE6763"/>
    <w:rsid w:val="00CE6801"/>
    <w:rsid w:val="00CE78D8"/>
    <w:rsid w:val="00CF14C0"/>
    <w:rsid w:val="00CF18B9"/>
    <w:rsid w:val="00CF3086"/>
    <w:rsid w:val="00CF32C0"/>
    <w:rsid w:val="00CF3393"/>
    <w:rsid w:val="00CF6ADB"/>
    <w:rsid w:val="00D0123B"/>
    <w:rsid w:val="00D02353"/>
    <w:rsid w:val="00D04C53"/>
    <w:rsid w:val="00D04C8E"/>
    <w:rsid w:val="00D062E0"/>
    <w:rsid w:val="00D067A7"/>
    <w:rsid w:val="00D13F25"/>
    <w:rsid w:val="00D141A0"/>
    <w:rsid w:val="00D1466E"/>
    <w:rsid w:val="00D1663D"/>
    <w:rsid w:val="00D17146"/>
    <w:rsid w:val="00D17C25"/>
    <w:rsid w:val="00D20E30"/>
    <w:rsid w:val="00D21A1B"/>
    <w:rsid w:val="00D27B97"/>
    <w:rsid w:val="00D31C3B"/>
    <w:rsid w:val="00D35E84"/>
    <w:rsid w:val="00D35E95"/>
    <w:rsid w:val="00D36B4F"/>
    <w:rsid w:val="00D37394"/>
    <w:rsid w:val="00D37CF8"/>
    <w:rsid w:val="00D4053B"/>
    <w:rsid w:val="00D455D4"/>
    <w:rsid w:val="00D46CAD"/>
    <w:rsid w:val="00D50108"/>
    <w:rsid w:val="00D5096B"/>
    <w:rsid w:val="00D527FC"/>
    <w:rsid w:val="00D52C81"/>
    <w:rsid w:val="00D56987"/>
    <w:rsid w:val="00D62445"/>
    <w:rsid w:val="00D627B1"/>
    <w:rsid w:val="00D635AA"/>
    <w:rsid w:val="00D64FC2"/>
    <w:rsid w:val="00D65BB6"/>
    <w:rsid w:val="00D67582"/>
    <w:rsid w:val="00D73AFE"/>
    <w:rsid w:val="00D74922"/>
    <w:rsid w:val="00D74DEA"/>
    <w:rsid w:val="00D74FF5"/>
    <w:rsid w:val="00D80AD2"/>
    <w:rsid w:val="00D8106A"/>
    <w:rsid w:val="00D811F3"/>
    <w:rsid w:val="00D8140F"/>
    <w:rsid w:val="00D8201B"/>
    <w:rsid w:val="00D82F75"/>
    <w:rsid w:val="00D83929"/>
    <w:rsid w:val="00D86CE5"/>
    <w:rsid w:val="00D870AC"/>
    <w:rsid w:val="00D87EA7"/>
    <w:rsid w:val="00D90B8F"/>
    <w:rsid w:val="00D929FC"/>
    <w:rsid w:val="00D93F30"/>
    <w:rsid w:val="00D9570C"/>
    <w:rsid w:val="00D96D1D"/>
    <w:rsid w:val="00D978E3"/>
    <w:rsid w:val="00DA0C9A"/>
    <w:rsid w:val="00DA13FF"/>
    <w:rsid w:val="00DA27D9"/>
    <w:rsid w:val="00DA3A2C"/>
    <w:rsid w:val="00DA4FEB"/>
    <w:rsid w:val="00DA61CB"/>
    <w:rsid w:val="00DA762E"/>
    <w:rsid w:val="00DB0FDE"/>
    <w:rsid w:val="00DB1C7D"/>
    <w:rsid w:val="00DB2DEB"/>
    <w:rsid w:val="00DB325A"/>
    <w:rsid w:val="00DB3BE9"/>
    <w:rsid w:val="00DB5185"/>
    <w:rsid w:val="00DB75DD"/>
    <w:rsid w:val="00DC2AE8"/>
    <w:rsid w:val="00DC40D3"/>
    <w:rsid w:val="00DC437B"/>
    <w:rsid w:val="00DC46AF"/>
    <w:rsid w:val="00DC65A6"/>
    <w:rsid w:val="00DC74B8"/>
    <w:rsid w:val="00DD0061"/>
    <w:rsid w:val="00DD23B9"/>
    <w:rsid w:val="00DD2766"/>
    <w:rsid w:val="00DD39EC"/>
    <w:rsid w:val="00DD4113"/>
    <w:rsid w:val="00DD43F2"/>
    <w:rsid w:val="00DD6F81"/>
    <w:rsid w:val="00DE0F2A"/>
    <w:rsid w:val="00DE151B"/>
    <w:rsid w:val="00DE183B"/>
    <w:rsid w:val="00DE1A22"/>
    <w:rsid w:val="00DE299B"/>
    <w:rsid w:val="00DE43BF"/>
    <w:rsid w:val="00DE5430"/>
    <w:rsid w:val="00DE65C4"/>
    <w:rsid w:val="00DF44E4"/>
    <w:rsid w:val="00DF6546"/>
    <w:rsid w:val="00DF65E1"/>
    <w:rsid w:val="00DF6BD3"/>
    <w:rsid w:val="00E03551"/>
    <w:rsid w:val="00E05B40"/>
    <w:rsid w:val="00E05D6C"/>
    <w:rsid w:val="00E06336"/>
    <w:rsid w:val="00E06F5B"/>
    <w:rsid w:val="00E06FFA"/>
    <w:rsid w:val="00E1186C"/>
    <w:rsid w:val="00E11A71"/>
    <w:rsid w:val="00E1295C"/>
    <w:rsid w:val="00E144C7"/>
    <w:rsid w:val="00E16CBA"/>
    <w:rsid w:val="00E17E9B"/>
    <w:rsid w:val="00E2050E"/>
    <w:rsid w:val="00E206BB"/>
    <w:rsid w:val="00E22392"/>
    <w:rsid w:val="00E22BAC"/>
    <w:rsid w:val="00E24E64"/>
    <w:rsid w:val="00E25A2D"/>
    <w:rsid w:val="00E26F9D"/>
    <w:rsid w:val="00E27D5E"/>
    <w:rsid w:val="00E31819"/>
    <w:rsid w:val="00E335B4"/>
    <w:rsid w:val="00E34174"/>
    <w:rsid w:val="00E400ED"/>
    <w:rsid w:val="00E43DB6"/>
    <w:rsid w:val="00E479AE"/>
    <w:rsid w:val="00E50386"/>
    <w:rsid w:val="00E51A16"/>
    <w:rsid w:val="00E537BF"/>
    <w:rsid w:val="00E53F16"/>
    <w:rsid w:val="00E549C0"/>
    <w:rsid w:val="00E601A7"/>
    <w:rsid w:val="00E60AB0"/>
    <w:rsid w:val="00E60D6D"/>
    <w:rsid w:val="00E6275F"/>
    <w:rsid w:val="00E62D0C"/>
    <w:rsid w:val="00E64273"/>
    <w:rsid w:val="00E6463D"/>
    <w:rsid w:val="00E70427"/>
    <w:rsid w:val="00E70A09"/>
    <w:rsid w:val="00E72F71"/>
    <w:rsid w:val="00E74229"/>
    <w:rsid w:val="00E76EF5"/>
    <w:rsid w:val="00E776C2"/>
    <w:rsid w:val="00E80304"/>
    <w:rsid w:val="00E82A99"/>
    <w:rsid w:val="00E8347F"/>
    <w:rsid w:val="00E842C6"/>
    <w:rsid w:val="00E85FCA"/>
    <w:rsid w:val="00E8779D"/>
    <w:rsid w:val="00E90B62"/>
    <w:rsid w:val="00E9127F"/>
    <w:rsid w:val="00E94077"/>
    <w:rsid w:val="00E953A0"/>
    <w:rsid w:val="00E96437"/>
    <w:rsid w:val="00E96AA1"/>
    <w:rsid w:val="00E97DE4"/>
    <w:rsid w:val="00EA02F0"/>
    <w:rsid w:val="00EA045D"/>
    <w:rsid w:val="00EA19A9"/>
    <w:rsid w:val="00EA59C1"/>
    <w:rsid w:val="00EB42AC"/>
    <w:rsid w:val="00EB5B6D"/>
    <w:rsid w:val="00EC047E"/>
    <w:rsid w:val="00EC0D49"/>
    <w:rsid w:val="00EC18F0"/>
    <w:rsid w:val="00EC1F1A"/>
    <w:rsid w:val="00EC29F4"/>
    <w:rsid w:val="00EC4056"/>
    <w:rsid w:val="00EC5DCE"/>
    <w:rsid w:val="00EC6493"/>
    <w:rsid w:val="00EC755B"/>
    <w:rsid w:val="00ED48DB"/>
    <w:rsid w:val="00ED5A77"/>
    <w:rsid w:val="00ED5ECC"/>
    <w:rsid w:val="00ED6E16"/>
    <w:rsid w:val="00EE0A28"/>
    <w:rsid w:val="00EE0CD7"/>
    <w:rsid w:val="00EE0D0D"/>
    <w:rsid w:val="00EE1F26"/>
    <w:rsid w:val="00EE49F6"/>
    <w:rsid w:val="00EE4C41"/>
    <w:rsid w:val="00EE6ACC"/>
    <w:rsid w:val="00EF053B"/>
    <w:rsid w:val="00EF1245"/>
    <w:rsid w:val="00EF212B"/>
    <w:rsid w:val="00EF32DA"/>
    <w:rsid w:val="00EF3CBC"/>
    <w:rsid w:val="00EF3E86"/>
    <w:rsid w:val="00EF4A0D"/>
    <w:rsid w:val="00EF5208"/>
    <w:rsid w:val="00EF6A91"/>
    <w:rsid w:val="00EF6DE5"/>
    <w:rsid w:val="00F03AD9"/>
    <w:rsid w:val="00F05795"/>
    <w:rsid w:val="00F065DD"/>
    <w:rsid w:val="00F07C04"/>
    <w:rsid w:val="00F11565"/>
    <w:rsid w:val="00F1185C"/>
    <w:rsid w:val="00F12F5C"/>
    <w:rsid w:val="00F13571"/>
    <w:rsid w:val="00F14AD5"/>
    <w:rsid w:val="00F15121"/>
    <w:rsid w:val="00F22813"/>
    <w:rsid w:val="00F230FC"/>
    <w:rsid w:val="00F24238"/>
    <w:rsid w:val="00F24781"/>
    <w:rsid w:val="00F24D5C"/>
    <w:rsid w:val="00F26D38"/>
    <w:rsid w:val="00F277BC"/>
    <w:rsid w:val="00F30633"/>
    <w:rsid w:val="00F31708"/>
    <w:rsid w:val="00F31EE5"/>
    <w:rsid w:val="00F366F7"/>
    <w:rsid w:val="00F368E5"/>
    <w:rsid w:val="00F36F06"/>
    <w:rsid w:val="00F400CC"/>
    <w:rsid w:val="00F40196"/>
    <w:rsid w:val="00F41102"/>
    <w:rsid w:val="00F412A3"/>
    <w:rsid w:val="00F4186C"/>
    <w:rsid w:val="00F41A1E"/>
    <w:rsid w:val="00F41E3F"/>
    <w:rsid w:val="00F41EB3"/>
    <w:rsid w:val="00F46130"/>
    <w:rsid w:val="00F4644E"/>
    <w:rsid w:val="00F5133F"/>
    <w:rsid w:val="00F56322"/>
    <w:rsid w:val="00F57BD9"/>
    <w:rsid w:val="00F608CE"/>
    <w:rsid w:val="00F61BE5"/>
    <w:rsid w:val="00F63A07"/>
    <w:rsid w:val="00F648B1"/>
    <w:rsid w:val="00F64B92"/>
    <w:rsid w:val="00F66085"/>
    <w:rsid w:val="00F7053B"/>
    <w:rsid w:val="00F7793F"/>
    <w:rsid w:val="00F77B51"/>
    <w:rsid w:val="00F77F8E"/>
    <w:rsid w:val="00F8076B"/>
    <w:rsid w:val="00F82DD0"/>
    <w:rsid w:val="00F8620F"/>
    <w:rsid w:val="00F9015C"/>
    <w:rsid w:val="00F9248B"/>
    <w:rsid w:val="00F92B26"/>
    <w:rsid w:val="00F94075"/>
    <w:rsid w:val="00F94C95"/>
    <w:rsid w:val="00F94F08"/>
    <w:rsid w:val="00F94FE4"/>
    <w:rsid w:val="00F95BB5"/>
    <w:rsid w:val="00F969F8"/>
    <w:rsid w:val="00F96D92"/>
    <w:rsid w:val="00FA2E1D"/>
    <w:rsid w:val="00FA32B5"/>
    <w:rsid w:val="00FA3B6B"/>
    <w:rsid w:val="00FA44C2"/>
    <w:rsid w:val="00FA5472"/>
    <w:rsid w:val="00FA62DE"/>
    <w:rsid w:val="00FA77DA"/>
    <w:rsid w:val="00FB2B78"/>
    <w:rsid w:val="00FB2DEC"/>
    <w:rsid w:val="00FB3CD1"/>
    <w:rsid w:val="00FB6265"/>
    <w:rsid w:val="00FB627C"/>
    <w:rsid w:val="00FC03EC"/>
    <w:rsid w:val="00FC1522"/>
    <w:rsid w:val="00FC1D02"/>
    <w:rsid w:val="00FC4698"/>
    <w:rsid w:val="00FC577E"/>
    <w:rsid w:val="00FD5926"/>
    <w:rsid w:val="00FD5E24"/>
    <w:rsid w:val="00FE20E6"/>
    <w:rsid w:val="00FE2BB9"/>
    <w:rsid w:val="00FE3E6E"/>
    <w:rsid w:val="00FE4077"/>
    <w:rsid w:val="00FE47EC"/>
    <w:rsid w:val="00FE6CC9"/>
    <w:rsid w:val="00FF0A3F"/>
    <w:rsid w:val="00FF121E"/>
    <w:rsid w:val="00FF12F8"/>
    <w:rsid w:val="00FF352C"/>
    <w:rsid w:val="00FF3D95"/>
    <w:rsid w:val="00FF6887"/>
    <w:rsid w:val="00FF7F8D"/>
    <w:rsid w:val="0105A64C"/>
    <w:rsid w:val="014A78CC"/>
    <w:rsid w:val="01830B94"/>
    <w:rsid w:val="01E5E740"/>
    <w:rsid w:val="021FF55D"/>
    <w:rsid w:val="0265DE15"/>
    <w:rsid w:val="0276FABF"/>
    <w:rsid w:val="032080BE"/>
    <w:rsid w:val="035E44D6"/>
    <w:rsid w:val="03BBDBE9"/>
    <w:rsid w:val="03F634E3"/>
    <w:rsid w:val="043199F3"/>
    <w:rsid w:val="043D30E1"/>
    <w:rsid w:val="04468CC8"/>
    <w:rsid w:val="045522CD"/>
    <w:rsid w:val="047D4597"/>
    <w:rsid w:val="048521D4"/>
    <w:rsid w:val="04B155EA"/>
    <w:rsid w:val="04DBEA73"/>
    <w:rsid w:val="04DD35D3"/>
    <w:rsid w:val="04E110C2"/>
    <w:rsid w:val="050F6813"/>
    <w:rsid w:val="0515475D"/>
    <w:rsid w:val="0522A1BC"/>
    <w:rsid w:val="052F1E1E"/>
    <w:rsid w:val="057A1544"/>
    <w:rsid w:val="0593F5B4"/>
    <w:rsid w:val="059D048B"/>
    <w:rsid w:val="05AA9E9B"/>
    <w:rsid w:val="05C93E32"/>
    <w:rsid w:val="05E6BFB7"/>
    <w:rsid w:val="05F53DC6"/>
    <w:rsid w:val="060F8DE1"/>
    <w:rsid w:val="0616BFAC"/>
    <w:rsid w:val="062F200D"/>
    <w:rsid w:val="0637B2F4"/>
    <w:rsid w:val="06489926"/>
    <w:rsid w:val="06A561C4"/>
    <w:rsid w:val="0706327B"/>
    <w:rsid w:val="07676053"/>
    <w:rsid w:val="0778F33A"/>
    <w:rsid w:val="078C9CEB"/>
    <w:rsid w:val="079791E8"/>
    <w:rsid w:val="079CA1D2"/>
    <w:rsid w:val="07E5D628"/>
    <w:rsid w:val="080B6337"/>
    <w:rsid w:val="08223C3F"/>
    <w:rsid w:val="08436A42"/>
    <w:rsid w:val="084ACB82"/>
    <w:rsid w:val="085EC32B"/>
    <w:rsid w:val="0865D532"/>
    <w:rsid w:val="08681809"/>
    <w:rsid w:val="08884F6B"/>
    <w:rsid w:val="089870BF"/>
    <w:rsid w:val="08A69289"/>
    <w:rsid w:val="08CA4497"/>
    <w:rsid w:val="08D51F99"/>
    <w:rsid w:val="08DDB9A2"/>
    <w:rsid w:val="08E59E59"/>
    <w:rsid w:val="08EDCDAA"/>
    <w:rsid w:val="08F7F38C"/>
    <w:rsid w:val="08FB9B84"/>
    <w:rsid w:val="08FE47B0"/>
    <w:rsid w:val="0916B9D4"/>
    <w:rsid w:val="0924968F"/>
    <w:rsid w:val="0937D22A"/>
    <w:rsid w:val="095E9B11"/>
    <w:rsid w:val="09848AF8"/>
    <w:rsid w:val="09913BAA"/>
    <w:rsid w:val="0999F31E"/>
    <w:rsid w:val="09BE5814"/>
    <w:rsid w:val="09DE96E5"/>
    <w:rsid w:val="0A0585A5"/>
    <w:rsid w:val="0A36A674"/>
    <w:rsid w:val="0AA55F39"/>
    <w:rsid w:val="0AA93B10"/>
    <w:rsid w:val="0ACF32AA"/>
    <w:rsid w:val="0AE5EBFE"/>
    <w:rsid w:val="0AF7F1B5"/>
    <w:rsid w:val="0B2F88D3"/>
    <w:rsid w:val="0B4146D2"/>
    <w:rsid w:val="0B69817F"/>
    <w:rsid w:val="0B8F56EF"/>
    <w:rsid w:val="0B9FC286"/>
    <w:rsid w:val="0BC61598"/>
    <w:rsid w:val="0BE0A4CD"/>
    <w:rsid w:val="0BE5B73E"/>
    <w:rsid w:val="0BE82919"/>
    <w:rsid w:val="0C11CCFE"/>
    <w:rsid w:val="0C23E8F6"/>
    <w:rsid w:val="0C3B3582"/>
    <w:rsid w:val="0C62E9A5"/>
    <w:rsid w:val="0C66CDF3"/>
    <w:rsid w:val="0C6EAFD0"/>
    <w:rsid w:val="0C7D5610"/>
    <w:rsid w:val="0CB2C5A6"/>
    <w:rsid w:val="0CBE4C42"/>
    <w:rsid w:val="0CCB5934"/>
    <w:rsid w:val="0D1661F6"/>
    <w:rsid w:val="0D28DB65"/>
    <w:rsid w:val="0D2E6775"/>
    <w:rsid w:val="0D36D2B3"/>
    <w:rsid w:val="0D495421"/>
    <w:rsid w:val="0D535860"/>
    <w:rsid w:val="0DA10954"/>
    <w:rsid w:val="0DB72BD9"/>
    <w:rsid w:val="0DC13ECD"/>
    <w:rsid w:val="0E087C0D"/>
    <w:rsid w:val="0E213172"/>
    <w:rsid w:val="0E2D3592"/>
    <w:rsid w:val="0E32CFFC"/>
    <w:rsid w:val="0E55EEBE"/>
    <w:rsid w:val="0E60DC4B"/>
    <w:rsid w:val="0E87A7EE"/>
    <w:rsid w:val="0E905ADC"/>
    <w:rsid w:val="0EC3257E"/>
    <w:rsid w:val="0EDCEBAA"/>
    <w:rsid w:val="0F01ACB7"/>
    <w:rsid w:val="0F0BDE2F"/>
    <w:rsid w:val="0F12AC6D"/>
    <w:rsid w:val="0F22831E"/>
    <w:rsid w:val="0F366E5B"/>
    <w:rsid w:val="0F3F3D1F"/>
    <w:rsid w:val="0FC22DC5"/>
    <w:rsid w:val="1003A408"/>
    <w:rsid w:val="1025F708"/>
    <w:rsid w:val="1037A9C4"/>
    <w:rsid w:val="105C8B9A"/>
    <w:rsid w:val="1098F61D"/>
    <w:rsid w:val="10AE548A"/>
    <w:rsid w:val="10CAF38C"/>
    <w:rsid w:val="10E00DDC"/>
    <w:rsid w:val="10EE6402"/>
    <w:rsid w:val="1106AD23"/>
    <w:rsid w:val="11083F30"/>
    <w:rsid w:val="110E3DCF"/>
    <w:rsid w:val="112172FC"/>
    <w:rsid w:val="11477439"/>
    <w:rsid w:val="11598C47"/>
    <w:rsid w:val="116CC495"/>
    <w:rsid w:val="11A54103"/>
    <w:rsid w:val="11D1242B"/>
    <w:rsid w:val="11E1917E"/>
    <w:rsid w:val="11E1A921"/>
    <w:rsid w:val="1271C1FB"/>
    <w:rsid w:val="12825F65"/>
    <w:rsid w:val="12876EF7"/>
    <w:rsid w:val="12894255"/>
    <w:rsid w:val="12AAD603"/>
    <w:rsid w:val="12DA4C9F"/>
    <w:rsid w:val="1321725B"/>
    <w:rsid w:val="1341C88D"/>
    <w:rsid w:val="136812B2"/>
    <w:rsid w:val="1373AEEC"/>
    <w:rsid w:val="13945ED1"/>
    <w:rsid w:val="13974542"/>
    <w:rsid w:val="13AD9BF2"/>
    <w:rsid w:val="13D1A0C7"/>
    <w:rsid w:val="13D36209"/>
    <w:rsid w:val="13E18672"/>
    <w:rsid w:val="13E40FC4"/>
    <w:rsid w:val="13F8C6DB"/>
    <w:rsid w:val="142E168A"/>
    <w:rsid w:val="143635E6"/>
    <w:rsid w:val="14685657"/>
    <w:rsid w:val="14793C1E"/>
    <w:rsid w:val="14840C1D"/>
    <w:rsid w:val="148B2A19"/>
    <w:rsid w:val="14C53042"/>
    <w:rsid w:val="14C6D532"/>
    <w:rsid w:val="14D63A94"/>
    <w:rsid w:val="15091EFF"/>
    <w:rsid w:val="152B4D83"/>
    <w:rsid w:val="15C05241"/>
    <w:rsid w:val="160C0F0E"/>
    <w:rsid w:val="16150C7F"/>
    <w:rsid w:val="1664CCFB"/>
    <w:rsid w:val="1677C52E"/>
    <w:rsid w:val="16BD19ED"/>
    <w:rsid w:val="16DC166E"/>
    <w:rsid w:val="16FB340E"/>
    <w:rsid w:val="17261699"/>
    <w:rsid w:val="1738ECEF"/>
    <w:rsid w:val="1760FE60"/>
    <w:rsid w:val="176E00B4"/>
    <w:rsid w:val="17739B4B"/>
    <w:rsid w:val="177F298B"/>
    <w:rsid w:val="17AF79B6"/>
    <w:rsid w:val="17CD031F"/>
    <w:rsid w:val="17E4CE9C"/>
    <w:rsid w:val="17FE75F4"/>
    <w:rsid w:val="17FEDE61"/>
    <w:rsid w:val="182B9BC3"/>
    <w:rsid w:val="1852BF79"/>
    <w:rsid w:val="186B90A1"/>
    <w:rsid w:val="1886980F"/>
    <w:rsid w:val="1890AB91"/>
    <w:rsid w:val="18C5C145"/>
    <w:rsid w:val="18D33268"/>
    <w:rsid w:val="18D98E40"/>
    <w:rsid w:val="18E03782"/>
    <w:rsid w:val="18E68BA7"/>
    <w:rsid w:val="18F03F6F"/>
    <w:rsid w:val="18F330E9"/>
    <w:rsid w:val="1919FFF0"/>
    <w:rsid w:val="192CDD9E"/>
    <w:rsid w:val="192E525E"/>
    <w:rsid w:val="19319523"/>
    <w:rsid w:val="193C8FC4"/>
    <w:rsid w:val="194CAD41"/>
    <w:rsid w:val="198634FA"/>
    <w:rsid w:val="1990B3DF"/>
    <w:rsid w:val="19C3D3C6"/>
    <w:rsid w:val="19DC6964"/>
    <w:rsid w:val="19E68887"/>
    <w:rsid w:val="19ED5E69"/>
    <w:rsid w:val="1A18B30B"/>
    <w:rsid w:val="1A34B338"/>
    <w:rsid w:val="1A59539C"/>
    <w:rsid w:val="1A5CD97C"/>
    <w:rsid w:val="1A804020"/>
    <w:rsid w:val="1A83C2FA"/>
    <w:rsid w:val="1A96459E"/>
    <w:rsid w:val="1ACF5545"/>
    <w:rsid w:val="1AE87DA2"/>
    <w:rsid w:val="1B40C98E"/>
    <w:rsid w:val="1B58FC9E"/>
    <w:rsid w:val="1B61801B"/>
    <w:rsid w:val="1B99449E"/>
    <w:rsid w:val="1B9BDF58"/>
    <w:rsid w:val="1C072F8A"/>
    <w:rsid w:val="1C828FC1"/>
    <w:rsid w:val="1CB570D4"/>
    <w:rsid w:val="1CB771D7"/>
    <w:rsid w:val="1CC455F6"/>
    <w:rsid w:val="1CCCAACA"/>
    <w:rsid w:val="1CD38768"/>
    <w:rsid w:val="1CD91FBC"/>
    <w:rsid w:val="1CF323D0"/>
    <w:rsid w:val="1D22430B"/>
    <w:rsid w:val="1D3622FD"/>
    <w:rsid w:val="1D67C076"/>
    <w:rsid w:val="1D6D7412"/>
    <w:rsid w:val="1D85DD51"/>
    <w:rsid w:val="1DA33DF6"/>
    <w:rsid w:val="1DC732DE"/>
    <w:rsid w:val="1DCD0F13"/>
    <w:rsid w:val="1DE7C21B"/>
    <w:rsid w:val="1DF4B327"/>
    <w:rsid w:val="1DFDD9C0"/>
    <w:rsid w:val="1E03901E"/>
    <w:rsid w:val="1E09FF13"/>
    <w:rsid w:val="1E3D3034"/>
    <w:rsid w:val="1E3F20B0"/>
    <w:rsid w:val="1E4B6500"/>
    <w:rsid w:val="1E5F0596"/>
    <w:rsid w:val="1EBEE9CC"/>
    <w:rsid w:val="1EBFC4E2"/>
    <w:rsid w:val="1ECCE9A8"/>
    <w:rsid w:val="1ECD9588"/>
    <w:rsid w:val="1ED9037E"/>
    <w:rsid w:val="1EEAAD13"/>
    <w:rsid w:val="1F0CE869"/>
    <w:rsid w:val="1F38988C"/>
    <w:rsid w:val="1F63526C"/>
    <w:rsid w:val="1FF3E82F"/>
    <w:rsid w:val="200704BF"/>
    <w:rsid w:val="2009F046"/>
    <w:rsid w:val="200B25E0"/>
    <w:rsid w:val="203B02D0"/>
    <w:rsid w:val="204C6E3F"/>
    <w:rsid w:val="208FE215"/>
    <w:rsid w:val="2099A2B7"/>
    <w:rsid w:val="20B7AA89"/>
    <w:rsid w:val="21019A9D"/>
    <w:rsid w:val="2106C42D"/>
    <w:rsid w:val="2109B470"/>
    <w:rsid w:val="2157BF26"/>
    <w:rsid w:val="21592A84"/>
    <w:rsid w:val="216B4F5B"/>
    <w:rsid w:val="216ED198"/>
    <w:rsid w:val="217677AA"/>
    <w:rsid w:val="218A5799"/>
    <w:rsid w:val="219DD321"/>
    <w:rsid w:val="21B2A10B"/>
    <w:rsid w:val="21BA3C6F"/>
    <w:rsid w:val="21BD8C66"/>
    <w:rsid w:val="21F95131"/>
    <w:rsid w:val="220C4C45"/>
    <w:rsid w:val="222F328E"/>
    <w:rsid w:val="22391604"/>
    <w:rsid w:val="22598BCE"/>
    <w:rsid w:val="226615D4"/>
    <w:rsid w:val="2296454E"/>
    <w:rsid w:val="22A2948E"/>
    <w:rsid w:val="22A89567"/>
    <w:rsid w:val="22BDDCAD"/>
    <w:rsid w:val="22C8244A"/>
    <w:rsid w:val="22C98163"/>
    <w:rsid w:val="22FBADC8"/>
    <w:rsid w:val="2305E2D6"/>
    <w:rsid w:val="23071B5C"/>
    <w:rsid w:val="2327B83F"/>
    <w:rsid w:val="23305631"/>
    <w:rsid w:val="23347F0F"/>
    <w:rsid w:val="23385924"/>
    <w:rsid w:val="23760AF4"/>
    <w:rsid w:val="23822D04"/>
    <w:rsid w:val="23863B97"/>
    <w:rsid w:val="2399C6F6"/>
    <w:rsid w:val="239A5B5E"/>
    <w:rsid w:val="23AE5A7A"/>
    <w:rsid w:val="23C1AA0B"/>
    <w:rsid w:val="23DB957E"/>
    <w:rsid w:val="23E54D09"/>
    <w:rsid w:val="2420D1A4"/>
    <w:rsid w:val="2426999A"/>
    <w:rsid w:val="2467AC27"/>
    <w:rsid w:val="2470AD40"/>
    <w:rsid w:val="247143BD"/>
    <w:rsid w:val="2493C852"/>
    <w:rsid w:val="24A076CE"/>
    <w:rsid w:val="24B5750E"/>
    <w:rsid w:val="24B8CC28"/>
    <w:rsid w:val="24CEEF22"/>
    <w:rsid w:val="24D72E30"/>
    <w:rsid w:val="24E9853B"/>
    <w:rsid w:val="24ED61C5"/>
    <w:rsid w:val="251158B9"/>
    <w:rsid w:val="25248678"/>
    <w:rsid w:val="25319CF6"/>
    <w:rsid w:val="256301D2"/>
    <w:rsid w:val="256698F5"/>
    <w:rsid w:val="25993D73"/>
    <w:rsid w:val="25A86547"/>
    <w:rsid w:val="25B35B29"/>
    <w:rsid w:val="25B9102B"/>
    <w:rsid w:val="25D402F1"/>
    <w:rsid w:val="25FB229E"/>
    <w:rsid w:val="2650ADF7"/>
    <w:rsid w:val="26684F36"/>
    <w:rsid w:val="266A177B"/>
    <w:rsid w:val="2677246D"/>
    <w:rsid w:val="267CBEAB"/>
    <w:rsid w:val="26C72032"/>
    <w:rsid w:val="26D92958"/>
    <w:rsid w:val="26E5FB3C"/>
    <w:rsid w:val="2722425B"/>
    <w:rsid w:val="27279EFA"/>
    <w:rsid w:val="27584129"/>
    <w:rsid w:val="278116A8"/>
    <w:rsid w:val="2786A648"/>
    <w:rsid w:val="27A0B93C"/>
    <w:rsid w:val="27BBBA20"/>
    <w:rsid w:val="27BFF4CE"/>
    <w:rsid w:val="27D4C70D"/>
    <w:rsid w:val="28122EB3"/>
    <w:rsid w:val="282C017E"/>
    <w:rsid w:val="2850E5DC"/>
    <w:rsid w:val="2868B26C"/>
    <w:rsid w:val="287839D9"/>
    <w:rsid w:val="28A092DA"/>
    <w:rsid w:val="28A7B61D"/>
    <w:rsid w:val="28A7E49D"/>
    <w:rsid w:val="28C1DE58"/>
    <w:rsid w:val="28CA1C19"/>
    <w:rsid w:val="28ED8F64"/>
    <w:rsid w:val="290A026D"/>
    <w:rsid w:val="29941051"/>
    <w:rsid w:val="2997AA2F"/>
    <w:rsid w:val="29A8359E"/>
    <w:rsid w:val="29ACC028"/>
    <w:rsid w:val="29AEC52F"/>
    <w:rsid w:val="2A1D0178"/>
    <w:rsid w:val="2A28D79E"/>
    <w:rsid w:val="2A3817D2"/>
    <w:rsid w:val="2A5A654C"/>
    <w:rsid w:val="2A7244C5"/>
    <w:rsid w:val="2AB11DF8"/>
    <w:rsid w:val="2AC14AD4"/>
    <w:rsid w:val="2B070D32"/>
    <w:rsid w:val="2B14229B"/>
    <w:rsid w:val="2B1D9DED"/>
    <w:rsid w:val="2B9F79D9"/>
    <w:rsid w:val="2BC91AE6"/>
    <w:rsid w:val="2C273D83"/>
    <w:rsid w:val="2C37C109"/>
    <w:rsid w:val="2C403EF9"/>
    <w:rsid w:val="2C45AD3E"/>
    <w:rsid w:val="2C6E10A1"/>
    <w:rsid w:val="2C844328"/>
    <w:rsid w:val="2CC1B5C5"/>
    <w:rsid w:val="2CE8734E"/>
    <w:rsid w:val="2D0DECB5"/>
    <w:rsid w:val="2D4467A2"/>
    <w:rsid w:val="2D7D0534"/>
    <w:rsid w:val="2D8A3839"/>
    <w:rsid w:val="2D8E4CA4"/>
    <w:rsid w:val="2D98F770"/>
    <w:rsid w:val="2DB4D58E"/>
    <w:rsid w:val="2DD94AF1"/>
    <w:rsid w:val="2DDB1202"/>
    <w:rsid w:val="2DF76188"/>
    <w:rsid w:val="2E23514F"/>
    <w:rsid w:val="2E2F56F5"/>
    <w:rsid w:val="2E769D70"/>
    <w:rsid w:val="2E8443AF"/>
    <w:rsid w:val="2E9906AE"/>
    <w:rsid w:val="2EB24061"/>
    <w:rsid w:val="2ECBE3E0"/>
    <w:rsid w:val="2EF3E20D"/>
    <w:rsid w:val="2EFF96FA"/>
    <w:rsid w:val="2F0ACA3F"/>
    <w:rsid w:val="2F40FD41"/>
    <w:rsid w:val="2F5894E8"/>
    <w:rsid w:val="2F721ABC"/>
    <w:rsid w:val="2F759002"/>
    <w:rsid w:val="2F98D2FA"/>
    <w:rsid w:val="2FBA3195"/>
    <w:rsid w:val="2FF8E2BB"/>
    <w:rsid w:val="300D095C"/>
    <w:rsid w:val="30201410"/>
    <w:rsid w:val="304DE1E4"/>
    <w:rsid w:val="30682DE4"/>
    <w:rsid w:val="30761C67"/>
    <w:rsid w:val="307D94AC"/>
    <w:rsid w:val="30B9D858"/>
    <w:rsid w:val="30BA1886"/>
    <w:rsid w:val="30DC41F1"/>
    <w:rsid w:val="30F99978"/>
    <w:rsid w:val="310A5F48"/>
    <w:rsid w:val="31778DBC"/>
    <w:rsid w:val="31EE86E2"/>
    <w:rsid w:val="32034514"/>
    <w:rsid w:val="32327171"/>
    <w:rsid w:val="32344A06"/>
    <w:rsid w:val="32365C86"/>
    <w:rsid w:val="325DC194"/>
    <w:rsid w:val="32927899"/>
    <w:rsid w:val="3325DEFE"/>
    <w:rsid w:val="332B0101"/>
    <w:rsid w:val="333311E4"/>
    <w:rsid w:val="334C2B7A"/>
    <w:rsid w:val="33564D19"/>
    <w:rsid w:val="33666CA9"/>
    <w:rsid w:val="336FC9F1"/>
    <w:rsid w:val="33712EE6"/>
    <w:rsid w:val="33A1119B"/>
    <w:rsid w:val="33B72B6C"/>
    <w:rsid w:val="33BFAA46"/>
    <w:rsid w:val="33C7447B"/>
    <w:rsid w:val="3419270B"/>
    <w:rsid w:val="3431073F"/>
    <w:rsid w:val="34401F73"/>
    <w:rsid w:val="34614559"/>
    <w:rsid w:val="346C0234"/>
    <w:rsid w:val="348045C8"/>
    <w:rsid w:val="349CE882"/>
    <w:rsid w:val="34C25AEF"/>
    <w:rsid w:val="352627A4"/>
    <w:rsid w:val="3526A1F0"/>
    <w:rsid w:val="353FC369"/>
    <w:rsid w:val="35467B92"/>
    <w:rsid w:val="355D67AF"/>
    <w:rsid w:val="359AB203"/>
    <w:rsid w:val="35AC877C"/>
    <w:rsid w:val="35B2EA0F"/>
    <w:rsid w:val="35C5DF94"/>
    <w:rsid w:val="35C66004"/>
    <w:rsid w:val="35C741C2"/>
    <w:rsid w:val="35E2D65B"/>
    <w:rsid w:val="360CC0C7"/>
    <w:rsid w:val="361B0303"/>
    <w:rsid w:val="3620697A"/>
    <w:rsid w:val="3639ADF7"/>
    <w:rsid w:val="363D2FFA"/>
    <w:rsid w:val="363F5353"/>
    <w:rsid w:val="3656979D"/>
    <w:rsid w:val="366B663E"/>
    <w:rsid w:val="36A8BA5F"/>
    <w:rsid w:val="36AD8809"/>
    <w:rsid w:val="36C1F805"/>
    <w:rsid w:val="36D968D5"/>
    <w:rsid w:val="36DEB320"/>
    <w:rsid w:val="370AC140"/>
    <w:rsid w:val="371C553B"/>
    <w:rsid w:val="37406A39"/>
    <w:rsid w:val="3768CBEB"/>
    <w:rsid w:val="37815222"/>
    <w:rsid w:val="37838D93"/>
    <w:rsid w:val="37E12B77"/>
    <w:rsid w:val="37E996D2"/>
    <w:rsid w:val="37FD2878"/>
    <w:rsid w:val="38149A2C"/>
    <w:rsid w:val="3860384C"/>
    <w:rsid w:val="3866A2CE"/>
    <w:rsid w:val="387F5A65"/>
    <w:rsid w:val="38815B86"/>
    <w:rsid w:val="38D6E368"/>
    <w:rsid w:val="38F485B4"/>
    <w:rsid w:val="391E3B5C"/>
    <w:rsid w:val="3936A52D"/>
    <w:rsid w:val="39499DD3"/>
    <w:rsid w:val="3973AF61"/>
    <w:rsid w:val="3976F127"/>
    <w:rsid w:val="3993FD57"/>
    <w:rsid w:val="3A3C80F4"/>
    <w:rsid w:val="3A56344D"/>
    <w:rsid w:val="3A7C36E8"/>
    <w:rsid w:val="3A88688F"/>
    <w:rsid w:val="3A905615"/>
    <w:rsid w:val="3A9BA46C"/>
    <w:rsid w:val="3AA973EB"/>
    <w:rsid w:val="3AAD9BDC"/>
    <w:rsid w:val="3AD351F8"/>
    <w:rsid w:val="3B0EF8D8"/>
    <w:rsid w:val="3B122CFE"/>
    <w:rsid w:val="3B1295C7"/>
    <w:rsid w:val="3B28DFD4"/>
    <w:rsid w:val="3B5671F3"/>
    <w:rsid w:val="3BC78C7D"/>
    <w:rsid w:val="3BDEE6BC"/>
    <w:rsid w:val="3BE27F54"/>
    <w:rsid w:val="3C1319ED"/>
    <w:rsid w:val="3C313834"/>
    <w:rsid w:val="3C42EED9"/>
    <w:rsid w:val="3C44BEAB"/>
    <w:rsid w:val="3C678824"/>
    <w:rsid w:val="3C6E90EC"/>
    <w:rsid w:val="3C7F3012"/>
    <w:rsid w:val="3C892C1B"/>
    <w:rsid w:val="3CB739CF"/>
    <w:rsid w:val="3CC3C0EE"/>
    <w:rsid w:val="3CCC2CB4"/>
    <w:rsid w:val="3D08A152"/>
    <w:rsid w:val="3D0AD080"/>
    <w:rsid w:val="3D34561F"/>
    <w:rsid w:val="3D96AE88"/>
    <w:rsid w:val="3DC00951"/>
    <w:rsid w:val="3DC631C1"/>
    <w:rsid w:val="3DEA5E40"/>
    <w:rsid w:val="3E035885"/>
    <w:rsid w:val="3E0CC85F"/>
    <w:rsid w:val="3E0EE64A"/>
    <w:rsid w:val="3E35BCBE"/>
    <w:rsid w:val="3E4F71B6"/>
    <w:rsid w:val="3E50B13A"/>
    <w:rsid w:val="3E63E89A"/>
    <w:rsid w:val="3E6BBF10"/>
    <w:rsid w:val="3E7CB316"/>
    <w:rsid w:val="3E959D74"/>
    <w:rsid w:val="3EB14CAB"/>
    <w:rsid w:val="3EC02D66"/>
    <w:rsid w:val="3ECAB3F0"/>
    <w:rsid w:val="3EE8395D"/>
    <w:rsid w:val="3F4D15B4"/>
    <w:rsid w:val="3F5AC373"/>
    <w:rsid w:val="3F650ED2"/>
    <w:rsid w:val="3F6C37D7"/>
    <w:rsid w:val="3F891732"/>
    <w:rsid w:val="3F9AAF6F"/>
    <w:rsid w:val="3FC8B203"/>
    <w:rsid w:val="3FD1B155"/>
    <w:rsid w:val="40019B24"/>
    <w:rsid w:val="400BBCBF"/>
    <w:rsid w:val="401FF1DD"/>
    <w:rsid w:val="4048F803"/>
    <w:rsid w:val="4052CE84"/>
    <w:rsid w:val="407D32F1"/>
    <w:rsid w:val="408C9F26"/>
    <w:rsid w:val="40B8B347"/>
    <w:rsid w:val="40C45CFF"/>
    <w:rsid w:val="40EDAA3E"/>
    <w:rsid w:val="40FF9799"/>
    <w:rsid w:val="41074FA4"/>
    <w:rsid w:val="412125C3"/>
    <w:rsid w:val="413EBDCC"/>
    <w:rsid w:val="416974FC"/>
    <w:rsid w:val="41A64735"/>
    <w:rsid w:val="41B1B315"/>
    <w:rsid w:val="42190352"/>
    <w:rsid w:val="424E14BB"/>
    <w:rsid w:val="42504090"/>
    <w:rsid w:val="4251789D"/>
    <w:rsid w:val="429DC4DF"/>
    <w:rsid w:val="42C20FD4"/>
    <w:rsid w:val="42F4E0A8"/>
    <w:rsid w:val="42F617A5"/>
    <w:rsid w:val="430C631B"/>
    <w:rsid w:val="431D81EA"/>
    <w:rsid w:val="431F077A"/>
    <w:rsid w:val="4375EA1F"/>
    <w:rsid w:val="437CFBE4"/>
    <w:rsid w:val="43863DBC"/>
    <w:rsid w:val="43A07B0D"/>
    <w:rsid w:val="43E4E1EC"/>
    <w:rsid w:val="43EF2B27"/>
    <w:rsid w:val="441FAA99"/>
    <w:rsid w:val="4437385B"/>
    <w:rsid w:val="443958E3"/>
    <w:rsid w:val="44401CB4"/>
    <w:rsid w:val="4456E3E8"/>
    <w:rsid w:val="4496ADE6"/>
    <w:rsid w:val="44D44DED"/>
    <w:rsid w:val="44F06087"/>
    <w:rsid w:val="4535581E"/>
    <w:rsid w:val="454A46F5"/>
    <w:rsid w:val="4562C96D"/>
    <w:rsid w:val="45A18AAB"/>
    <w:rsid w:val="45A3747F"/>
    <w:rsid w:val="45D308BC"/>
    <w:rsid w:val="45E6FB8F"/>
    <w:rsid w:val="461A790C"/>
    <w:rsid w:val="46504289"/>
    <w:rsid w:val="4664BCB3"/>
    <w:rsid w:val="46F1FAE6"/>
    <w:rsid w:val="470ED1B0"/>
    <w:rsid w:val="4731C52D"/>
    <w:rsid w:val="4748017E"/>
    <w:rsid w:val="475D93BF"/>
    <w:rsid w:val="4775DA72"/>
    <w:rsid w:val="47B6F88D"/>
    <w:rsid w:val="47C2B7B4"/>
    <w:rsid w:val="47C8E50A"/>
    <w:rsid w:val="47CBDEC2"/>
    <w:rsid w:val="480439D2"/>
    <w:rsid w:val="48381F04"/>
    <w:rsid w:val="4858A12D"/>
    <w:rsid w:val="485EF99E"/>
    <w:rsid w:val="4872B2A8"/>
    <w:rsid w:val="48D64647"/>
    <w:rsid w:val="48DBF7F9"/>
    <w:rsid w:val="48F06415"/>
    <w:rsid w:val="48F65F38"/>
    <w:rsid w:val="492534AD"/>
    <w:rsid w:val="493C17D3"/>
    <w:rsid w:val="495B770C"/>
    <w:rsid w:val="49953093"/>
    <w:rsid w:val="49C1A5C7"/>
    <w:rsid w:val="49C36218"/>
    <w:rsid w:val="49E96410"/>
    <w:rsid w:val="49F55AAC"/>
    <w:rsid w:val="4A6CACED"/>
    <w:rsid w:val="4AA679DF"/>
    <w:rsid w:val="4AB5A759"/>
    <w:rsid w:val="4B0BDF55"/>
    <w:rsid w:val="4B0E439C"/>
    <w:rsid w:val="4B316D3E"/>
    <w:rsid w:val="4B337756"/>
    <w:rsid w:val="4B4E9CC1"/>
    <w:rsid w:val="4B6E1DEC"/>
    <w:rsid w:val="4B9C5D5A"/>
    <w:rsid w:val="4BA96A4C"/>
    <w:rsid w:val="4BC03BB4"/>
    <w:rsid w:val="4BE362F8"/>
    <w:rsid w:val="4C0AA3ED"/>
    <w:rsid w:val="4C0BB2C4"/>
    <w:rsid w:val="4C12A97F"/>
    <w:rsid w:val="4C4C248A"/>
    <w:rsid w:val="4C533268"/>
    <w:rsid w:val="4C602EFF"/>
    <w:rsid w:val="4CB4C10A"/>
    <w:rsid w:val="4CC83C0F"/>
    <w:rsid w:val="4CD1176A"/>
    <w:rsid w:val="4CE716A8"/>
    <w:rsid w:val="4D0BD7D3"/>
    <w:rsid w:val="4D13D978"/>
    <w:rsid w:val="4D1F9CF2"/>
    <w:rsid w:val="4D319461"/>
    <w:rsid w:val="4D9D8481"/>
    <w:rsid w:val="4DB4CC9B"/>
    <w:rsid w:val="4DE42250"/>
    <w:rsid w:val="4E2B7392"/>
    <w:rsid w:val="4E6712F6"/>
    <w:rsid w:val="4E674CD7"/>
    <w:rsid w:val="4E6CE7CB"/>
    <w:rsid w:val="4E7EAA6C"/>
    <w:rsid w:val="4E863171"/>
    <w:rsid w:val="4E8BE111"/>
    <w:rsid w:val="4EB199A5"/>
    <w:rsid w:val="4EDA6AF9"/>
    <w:rsid w:val="4EDE3D30"/>
    <w:rsid w:val="4EDF0607"/>
    <w:rsid w:val="4EE0C93E"/>
    <w:rsid w:val="4F26F5B3"/>
    <w:rsid w:val="4F6C47EA"/>
    <w:rsid w:val="4F9394CA"/>
    <w:rsid w:val="4FA550FE"/>
    <w:rsid w:val="4FAD2461"/>
    <w:rsid w:val="4FBB04B4"/>
    <w:rsid w:val="4FCA51BA"/>
    <w:rsid w:val="4FD806FE"/>
    <w:rsid w:val="5007596F"/>
    <w:rsid w:val="500C01F2"/>
    <w:rsid w:val="501FD1ED"/>
    <w:rsid w:val="502A2625"/>
    <w:rsid w:val="50464EB5"/>
    <w:rsid w:val="506CF691"/>
    <w:rsid w:val="509D8BB3"/>
    <w:rsid w:val="50AB18CB"/>
    <w:rsid w:val="50B5B3F6"/>
    <w:rsid w:val="50B8B320"/>
    <w:rsid w:val="5104DA9B"/>
    <w:rsid w:val="515DD713"/>
    <w:rsid w:val="51624198"/>
    <w:rsid w:val="516FC750"/>
    <w:rsid w:val="51854841"/>
    <w:rsid w:val="51B38F4F"/>
    <w:rsid w:val="51D557BD"/>
    <w:rsid w:val="51DF181E"/>
    <w:rsid w:val="52088E12"/>
    <w:rsid w:val="5218A4EF"/>
    <w:rsid w:val="524D5B9E"/>
    <w:rsid w:val="5253A9D6"/>
    <w:rsid w:val="525BCCB6"/>
    <w:rsid w:val="525D5CED"/>
    <w:rsid w:val="527E1DFE"/>
    <w:rsid w:val="529540F7"/>
    <w:rsid w:val="52CABDD7"/>
    <w:rsid w:val="5304961C"/>
    <w:rsid w:val="53192DE7"/>
    <w:rsid w:val="533A36A2"/>
    <w:rsid w:val="536329E6"/>
    <w:rsid w:val="53840252"/>
    <w:rsid w:val="539D6131"/>
    <w:rsid w:val="53A5DE4C"/>
    <w:rsid w:val="53EC2694"/>
    <w:rsid w:val="541D97A1"/>
    <w:rsid w:val="544D5C25"/>
    <w:rsid w:val="544F3A32"/>
    <w:rsid w:val="54DDC8ED"/>
    <w:rsid w:val="54F911E4"/>
    <w:rsid w:val="54FA608B"/>
    <w:rsid w:val="5532E5FE"/>
    <w:rsid w:val="554132D5"/>
    <w:rsid w:val="554D2280"/>
    <w:rsid w:val="557CF991"/>
    <w:rsid w:val="55806129"/>
    <w:rsid w:val="558F88A3"/>
    <w:rsid w:val="5595972C"/>
    <w:rsid w:val="559D68F6"/>
    <w:rsid w:val="55BBF425"/>
    <w:rsid w:val="55E13F00"/>
    <w:rsid w:val="560524C1"/>
    <w:rsid w:val="5610BFE4"/>
    <w:rsid w:val="561361FE"/>
    <w:rsid w:val="564ECE9E"/>
    <w:rsid w:val="566F1E55"/>
    <w:rsid w:val="567CBC2F"/>
    <w:rsid w:val="568F6BA5"/>
    <w:rsid w:val="56AC600C"/>
    <w:rsid w:val="56BCFA41"/>
    <w:rsid w:val="56FE27F2"/>
    <w:rsid w:val="5736FB66"/>
    <w:rsid w:val="5745E10C"/>
    <w:rsid w:val="575B73F0"/>
    <w:rsid w:val="577A66CE"/>
    <w:rsid w:val="578B5D4D"/>
    <w:rsid w:val="578F0AF5"/>
    <w:rsid w:val="5834E565"/>
    <w:rsid w:val="583F4AAD"/>
    <w:rsid w:val="585DD267"/>
    <w:rsid w:val="58E9C093"/>
    <w:rsid w:val="5911B2F9"/>
    <w:rsid w:val="59303372"/>
    <w:rsid w:val="59324357"/>
    <w:rsid w:val="59561EFC"/>
    <w:rsid w:val="59984656"/>
    <w:rsid w:val="59B296F6"/>
    <w:rsid w:val="59C13AEB"/>
    <w:rsid w:val="59E670D4"/>
    <w:rsid w:val="59FBDB33"/>
    <w:rsid w:val="5A14A139"/>
    <w:rsid w:val="5A3A757D"/>
    <w:rsid w:val="5A51B262"/>
    <w:rsid w:val="5AA7BD25"/>
    <w:rsid w:val="5AA82BF4"/>
    <w:rsid w:val="5AE0F3EE"/>
    <w:rsid w:val="5AF94BCD"/>
    <w:rsid w:val="5B19A34E"/>
    <w:rsid w:val="5B2CA243"/>
    <w:rsid w:val="5B43035B"/>
    <w:rsid w:val="5B4F2B0B"/>
    <w:rsid w:val="5BAF233B"/>
    <w:rsid w:val="5C125943"/>
    <w:rsid w:val="5C49DB79"/>
    <w:rsid w:val="5C4F7BEB"/>
    <w:rsid w:val="5C4FB888"/>
    <w:rsid w:val="5C7FB9A7"/>
    <w:rsid w:val="5CC09A24"/>
    <w:rsid w:val="5CDE5FD9"/>
    <w:rsid w:val="5CF71AF5"/>
    <w:rsid w:val="5D192FEE"/>
    <w:rsid w:val="5D2BEA3F"/>
    <w:rsid w:val="5D8A5A01"/>
    <w:rsid w:val="5DA1509F"/>
    <w:rsid w:val="5DB4034D"/>
    <w:rsid w:val="5DB8FA6F"/>
    <w:rsid w:val="5DF43E6B"/>
    <w:rsid w:val="5E381BB3"/>
    <w:rsid w:val="5E74576E"/>
    <w:rsid w:val="5EAC925E"/>
    <w:rsid w:val="5EB3E6E8"/>
    <w:rsid w:val="5F21F0C2"/>
    <w:rsid w:val="5F54CAD0"/>
    <w:rsid w:val="5F77C31D"/>
    <w:rsid w:val="5F78899D"/>
    <w:rsid w:val="5F9257D2"/>
    <w:rsid w:val="5FDE2521"/>
    <w:rsid w:val="607AE63A"/>
    <w:rsid w:val="6081C462"/>
    <w:rsid w:val="60973EB9"/>
    <w:rsid w:val="60DCF88D"/>
    <w:rsid w:val="60EA2157"/>
    <w:rsid w:val="6138AEC7"/>
    <w:rsid w:val="61B1D0FC"/>
    <w:rsid w:val="61CB7349"/>
    <w:rsid w:val="61E65F16"/>
    <w:rsid w:val="621EE50D"/>
    <w:rsid w:val="628C7296"/>
    <w:rsid w:val="62BFA789"/>
    <w:rsid w:val="62E4282F"/>
    <w:rsid w:val="6308ACA2"/>
    <w:rsid w:val="632F592C"/>
    <w:rsid w:val="63404E85"/>
    <w:rsid w:val="634A9DC0"/>
    <w:rsid w:val="638E7B71"/>
    <w:rsid w:val="638FA379"/>
    <w:rsid w:val="63BC3EE3"/>
    <w:rsid w:val="63D46B7E"/>
    <w:rsid w:val="6463E16C"/>
    <w:rsid w:val="64D2FD47"/>
    <w:rsid w:val="64E15665"/>
    <w:rsid w:val="64FBF5B4"/>
    <w:rsid w:val="6505F36A"/>
    <w:rsid w:val="651AEAF5"/>
    <w:rsid w:val="656182C6"/>
    <w:rsid w:val="657AF41D"/>
    <w:rsid w:val="658C9496"/>
    <w:rsid w:val="65A2EBB3"/>
    <w:rsid w:val="65B6324E"/>
    <w:rsid w:val="65C4841E"/>
    <w:rsid w:val="65CAB6C4"/>
    <w:rsid w:val="65DA302F"/>
    <w:rsid w:val="65E55B46"/>
    <w:rsid w:val="65F7D45C"/>
    <w:rsid w:val="65F9108D"/>
    <w:rsid w:val="66593B8E"/>
    <w:rsid w:val="665E9214"/>
    <w:rsid w:val="666C19C2"/>
    <w:rsid w:val="667D99BE"/>
    <w:rsid w:val="667EA019"/>
    <w:rsid w:val="669488F6"/>
    <w:rsid w:val="66C7ECBF"/>
    <w:rsid w:val="66D1631D"/>
    <w:rsid w:val="66D9EAE6"/>
    <w:rsid w:val="66EB0871"/>
    <w:rsid w:val="673E8B9A"/>
    <w:rsid w:val="67CEB681"/>
    <w:rsid w:val="67E41C16"/>
    <w:rsid w:val="67E66DC9"/>
    <w:rsid w:val="68352527"/>
    <w:rsid w:val="687552DA"/>
    <w:rsid w:val="688CD647"/>
    <w:rsid w:val="68A4F515"/>
    <w:rsid w:val="68BCFC68"/>
    <w:rsid w:val="68C91635"/>
    <w:rsid w:val="68D90DF9"/>
    <w:rsid w:val="68E7720F"/>
    <w:rsid w:val="690CB98A"/>
    <w:rsid w:val="6938DBD5"/>
    <w:rsid w:val="6974523D"/>
    <w:rsid w:val="697F3D98"/>
    <w:rsid w:val="6982BBE0"/>
    <w:rsid w:val="699E09AA"/>
    <w:rsid w:val="69BCE2E1"/>
    <w:rsid w:val="69D3210D"/>
    <w:rsid w:val="69D5EC67"/>
    <w:rsid w:val="69D8BB19"/>
    <w:rsid w:val="69F55707"/>
    <w:rsid w:val="69FED729"/>
    <w:rsid w:val="6A07F32A"/>
    <w:rsid w:val="6A3011DC"/>
    <w:rsid w:val="6A5568F0"/>
    <w:rsid w:val="6A69B782"/>
    <w:rsid w:val="6A9855DD"/>
    <w:rsid w:val="6AAB901E"/>
    <w:rsid w:val="6AC12BAB"/>
    <w:rsid w:val="6ACB94AA"/>
    <w:rsid w:val="6AE2749D"/>
    <w:rsid w:val="6AE65CDF"/>
    <w:rsid w:val="6B2787EC"/>
    <w:rsid w:val="6B42511C"/>
    <w:rsid w:val="6B48FD61"/>
    <w:rsid w:val="6BAC37CA"/>
    <w:rsid w:val="6BD8DEED"/>
    <w:rsid w:val="6BDA1E40"/>
    <w:rsid w:val="6C0F557C"/>
    <w:rsid w:val="6C1A257B"/>
    <w:rsid w:val="6C6C1226"/>
    <w:rsid w:val="6C6CC2F2"/>
    <w:rsid w:val="6C6D3CB1"/>
    <w:rsid w:val="6CC0CF58"/>
    <w:rsid w:val="6CC3584D"/>
    <w:rsid w:val="6CD318E2"/>
    <w:rsid w:val="6CDBA7EB"/>
    <w:rsid w:val="6CE2FE65"/>
    <w:rsid w:val="6CE4FC44"/>
    <w:rsid w:val="6D03534B"/>
    <w:rsid w:val="6D0B1CE7"/>
    <w:rsid w:val="6D1FED1F"/>
    <w:rsid w:val="6D2CB008"/>
    <w:rsid w:val="6D3478D6"/>
    <w:rsid w:val="6D621CC0"/>
    <w:rsid w:val="6D735341"/>
    <w:rsid w:val="6DA40F69"/>
    <w:rsid w:val="6DAB2C20"/>
    <w:rsid w:val="6DC72284"/>
    <w:rsid w:val="6E32F47A"/>
    <w:rsid w:val="6E94C08E"/>
    <w:rsid w:val="6E98B873"/>
    <w:rsid w:val="6E9DE3FA"/>
    <w:rsid w:val="6E9E6F7A"/>
    <w:rsid w:val="6E9EA755"/>
    <w:rsid w:val="6EAF9A42"/>
    <w:rsid w:val="6EE3D88C"/>
    <w:rsid w:val="6EEC7A3F"/>
    <w:rsid w:val="6EEF4736"/>
    <w:rsid w:val="6EEF57CA"/>
    <w:rsid w:val="6F12B33C"/>
    <w:rsid w:val="6F14A05D"/>
    <w:rsid w:val="6F28DA13"/>
    <w:rsid w:val="6F3756B2"/>
    <w:rsid w:val="6F3BB9C4"/>
    <w:rsid w:val="6F4892DB"/>
    <w:rsid w:val="6F51C63D"/>
    <w:rsid w:val="6F56B67F"/>
    <w:rsid w:val="6F5E7985"/>
    <w:rsid w:val="6F6367F7"/>
    <w:rsid w:val="6F82A7FF"/>
    <w:rsid w:val="6F8B878B"/>
    <w:rsid w:val="6FA86DA4"/>
    <w:rsid w:val="6FB950D2"/>
    <w:rsid w:val="70473096"/>
    <w:rsid w:val="70582E86"/>
    <w:rsid w:val="707E73FB"/>
    <w:rsid w:val="709CC3E4"/>
    <w:rsid w:val="70AAB334"/>
    <w:rsid w:val="70CC97FA"/>
    <w:rsid w:val="70D091D8"/>
    <w:rsid w:val="70D756A2"/>
    <w:rsid w:val="70DDD2D1"/>
    <w:rsid w:val="70E36432"/>
    <w:rsid w:val="70ED650A"/>
    <w:rsid w:val="71326B4E"/>
    <w:rsid w:val="7133F9FF"/>
    <w:rsid w:val="713FAD07"/>
    <w:rsid w:val="7153E2FD"/>
    <w:rsid w:val="7194F969"/>
    <w:rsid w:val="71C8EE2E"/>
    <w:rsid w:val="71CAD5FA"/>
    <w:rsid w:val="71CFFF49"/>
    <w:rsid w:val="71DC90E1"/>
    <w:rsid w:val="71E54190"/>
    <w:rsid w:val="71F60261"/>
    <w:rsid w:val="7206A70F"/>
    <w:rsid w:val="7226E7F8"/>
    <w:rsid w:val="724183CB"/>
    <w:rsid w:val="7282E524"/>
    <w:rsid w:val="728966FF"/>
    <w:rsid w:val="728F969C"/>
    <w:rsid w:val="72B3583D"/>
    <w:rsid w:val="72D0A4AD"/>
    <w:rsid w:val="72D28359"/>
    <w:rsid w:val="72D2A88A"/>
    <w:rsid w:val="72EEFF8E"/>
    <w:rsid w:val="73095A1D"/>
    <w:rsid w:val="734F667F"/>
    <w:rsid w:val="73575A5E"/>
    <w:rsid w:val="735DB838"/>
    <w:rsid w:val="7375DFF0"/>
    <w:rsid w:val="738113D3"/>
    <w:rsid w:val="738D8C3F"/>
    <w:rsid w:val="739A2EA5"/>
    <w:rsid w:val="73DD10C9"/>
    <w:rsid w:val="73E1611C"/>
    <w:rsid w:val="73E848AC"/>
    <w:rsid w:val="73FA2890"/>
    <w:rsid w:val="73FB11AE"/>
    <w:rsid w:val="74527264"/>
    <w:rsid w:val="746326C2"/>
    <w:rsid w:val="746BC20F"/>
    <w:rsid w:val="74A76021"/>
    <w:rsid w:val="74B37CE9"/>
    <w:rsid w:val="74B85C69"/>
    <w:rsid w:val="74D00B05"/>
    <w:rsid w:val="75231D80"/>
    <w:rsid w:val="75309625"/>
    <w:rsid w:val="753F7A9A"/>
    <w:rsid w:val="75543E4F"/>
    <w:rsid w:val="758801DE"/>
    <w:rsid w:val="75B8C7A9"/>
    <w:rsid w:val="75D4FD55"/>
    <w:rsid w:val="7629AF2D"/>
    <w:rsid w:val="763C0158"/>
    <w:rsid w:val="7690F7BE"/>
    <w:rsid w:val="76918BD2"/>
    <w:rsid w:val="76D5E8FE"/>
    <w:rsid w:val="76E44C5A"/>
    <w:rsid w:val="7727C83A"/>
    <w:rsid w:val="7728AB30"/>
    <w:rsid w:val="7733F13D"/>
    <w:rsid w:val="774BDACD"/>
    <w:rsid w:val="7763D43A"/>
    <w:rsid w:val="77C26451"/>
    <w:rsid w:val="77E8B9FB"/>
    <w:rsid w:val="77F0EB4B"/>
    <w:rsid w:val="7825FB73"/>
    <w:rsid w:val="7834DFB4"/>
    <w:rsid w:val="78745DAB"/>
    <w:rsid w:val="788BDF11"/>
    <w:rsid w:val="78C6C8EB"/>
    <w:rsid w:val="78C768DE"/>
    <w:rsid w:val="790DEEBB"/>
    <w:rsid w:val="79393EEE"/>
    <w:rsid w:val="79416870"/>
    <w:rsid w:val="795572F3"/>
    <w:rsid w:val="7961714C"/>
    <w:rsid w:val="796679A7"/>
    <w:rsid w:val="796A862B"/>
    <w:rsid w:val="7970B6D9"/>
    <w:rsid w:val="79B246EB"/>
    <w:rsid w:val="79C3B3C6"/>
    <w:rsid w:val="79D44995"/>
    <w:rsid w:val="79E07F33"/>
    <w:rsid w:val="79FB529E"/>
    <w:rsid w:val="7A14AF85"/>
    <w:rsid w:val="7A160BA8"/>
    <w:rsid w:val="7A189523"/>
    <w:rsid w:val="7A223C48"/>
    <w:rsid w:val="7A24C58D"/>
    <w:rsid w:val="7A25ADBF"/>
    <w:rsid w:val="7A27AF72"/>
    <w:rsid w:val="7A34BC24"/>
    <w:rsid w:val="7A53F60B"/>
    <w:rsid w:val="7A54733B"/>
    <w:rsid w:val="7A7528D5"/>
    <w:rsid w:val="7AAD4901"/>
    <w:rsid w:val="7AB09CE5"/>
    <w:rsid w:val="7ABB3C1D"/>
    <w:rsid w:val="7AC02537"/>
    <w:rsid w:val="7AC05466"/>
    <w:rsid w:val="7B117782"/>
    <w:rsid w:val="7B34A478"/>
    <w:rsid w:val="7B3D397A"/>
    <w:rsid w:val="7B41211D"/>
    <w:rsid w:val="7B457E13"/>
    <w:rsid w:val="7B50C419"/>
    <w:rsid w:val="7BB576DB"/>
    <w:rsid w:val="7BC37FD3"/>
    <w:rsid w:val="7BCD1087"/>
    <w:rsid w:val="7BD27609"/>
    <w:rsid w:val="7C34635B"/>
    <w:rsid w:val="7C3836CB"/>
    <w:rsid w:val="7C3A9AF7"/>
    <w:rsid w:val="7C5402D8"/>
    <w:rsid w:val="7C627B28"/>
    <w:rsid w:val="7C84E530"/>
    <w:rsid w:val="7C95166A"/>
    <w:rsid w:val="7C97D10C"/>
    <w:rsid w:val="7CE0B242"/>
    <w:rsid w:val="7CEC947A"/>
    <w:rsid w:val="7D476B0F"/>
    <w:rsid w:val="7D4A6C0F"/>
    <w:rsid w:val="7D51473C"/>
    <w:rsid w:val="7D5F5034"/>
    <w:rsid w:val="7DE54203"/>
    <w:rsid w:val="7DFDC00C"/>
    <w:rsid w:val="7E06D902"/>
    <w:rsid w:val="7E24B90C"/>
    <w:rsid w:val="7E2A6BAA"/>
    <w:rsid w:val="7E3D3684"/>
    <w:rsid w:val="7E4B25A1"/>
    <w:rsid w:val="7E5105CA"/>
    <w:rsid w:val="7E678116"/>
    <w:rsid w:val="7E87A90D"/>
    <w:rsid w:val="7E953CF7"/>
    <w:rsid w:val="7EF422F0"/>
    <w:rsid w:val="7F4B4C07"/>
    <w:rsid w:val="7F79E492"/>
    <w:rsid w:val="7F9227A8"/>
    <w:rsid w:val="7FC0039E"/>
    <w:rsid w:val="7FCF71C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B6EF06C"/>
  <w15:chartTrackingRefBased/>
  <w15:docId w15:val="{1DEA0181-6721-4FF0-9FEC-7054AF5DD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74922"/>
    <w:pPr>
      <w:overflowPunct w:val="0"/>
      <w:autoSpaceDE w:val="0"/>
      <w:autoSpaceDN w:val="0"/>
      <w:adjustRightInd w:val="0"/>
      <w:spacing w:after="240" w:line="240" w:lineRule="auto"/>
      <w:jc w:val="both"/>
      <w:textAlignment w:val="baseline"/>
    </w:pPr>
    <w:rPr>
      <w:rFonts w:ascii="Times New Roman" w:eastAsia="Times New Roman" w:hAnsi="Times New Roman" w:cs="Times New Roman"/>
      <w:sz w:val="24"/>
      <w:szCs w:val="20"/>
    </w:rPr>
  </w:style>
  <w:style w:type="paragraph" w:styleId="Heading1">
    <w:name w:val="heading 1"/>
    <w:basedOn w:val="BodyText"/>
    <w:next w:val="BodyText"/>
    <w:link w:val="Heading1Char"/>
    <w:uiPriority w:val="1"/>
    <w:qFormat/>
    <w:rsid w:val="00D74922"/>
    <w:pPr>
      <w:keepNext/>
      <w:keepLines/>
      <w:numPr>
        <w:numId w:val="3"/>
      </w:numPr>
      <w:tabs>
        <w:tab w:val="clear" w:pos="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outlineLvl w:val="0"/>
    </w:pPr>
    <w:rPr>
      <w:b/>
      <w:bCs/>
      <w:caps/>
      <w:szCs w:val="32"/>
    </w:rPr>
  </w:style>
  <w:style w:type="paragraph" w:styleId="Heading2">
    <w:name w:val="heading 2"/>
    <w:basedOn w:val="BodyText"/>
    <w:next w:val="BodyText"/>
    <w:link w:val="Heading2Char"/>
    <w:uiPriority w:val="1"/>
    <w:qFormat/>
    <w:rsid w:val="00D74922"/>
    <w:pPr>
      <w:keepNext/>
      <w:keepLines/>
      <w:numPr>
        <w:ilvl w:val="1"/>
        <w:numId w:val="3"/>
      </w:numPr>
      <w:tabs>
        <w:tab w:val="clear" w:pos="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567" w:hanging="567"/>
      <w:jc w:val="left"/>
      <w:outlineLvl w:val="1"/>
    </w:pPr>
    <w:rPr>
      <w:bCs/>
      <w:iCs/>
      <w:caps/>
      <w:szCs w:val="28"/>
    </w:rPr>
  </w:style>
  <w:style w:type="paragraph" w:styleId="Heading3">
    <w:name w:val="heading 3"/>
    <w:basedOn w:val="BodyText"/>
    <w:next w:val="BodyText"/>
    <w:link w:val="Heading3Char"/>
    <w:uiPriority w:val="1"/>
    <w:qFormat/>
    <w:rsid w:val="00D74922"/>
    <w:pPr>
      <w:keepNext/>
      <w:keepLines/>
      <w:numPr>
        <w:ilvl w:val="2"/>
        <w:numId w:val="3"/>
      </w:numPr>
      <w:tabs>
        <w:tab w:val="clear" w:pos="720"/>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851" w:hanging="851"/>
      <w:jc w:val="left"/>
      <w:outlineLvl w:val="2"/>
    </w:pPr>
    <w:rPr>
      <w:b/>
      <w:bCs/>
      <w:szCs w:val="26"/>
    </w:rPr>
  </w:style>
  <w:style w:type="paragraph" w:styleId="Heading4">
    <w:name w:val="heading 4"/>
    <w:basedOn w:val="BodyText"/>
    <w:next w:val="BodyText"/>
    <w:link w:val="Heading4Char"/>
    <w:uiPriority w:val="1"/>
    <w:qFormat/>
    <w:rsid w:val="00D74922"/>
    <w:pPr>
      <w:numPr>
        <w:ilvl w:val="3"/>
        <w:numId w:val="3"/>
      </w:numPr>
      <w:tabs>
        <w:tab w:val="clear" w:pos="720"/>
        <w:tab w:val="left" w:pos="567"/>
        <w:tab w:val="left" w:pos="1134"/>
        <w:tab w:val="left" w:leader="underscore"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1134" w:hanging="1134"/>
      <w:jc w:val="left"/>
      <w:outlineLvl w:val="3"/>
    </w:pPr>
    <w:rPr>
      <w:bCs/>
      <w:i/>
      <w:szCs w:val="28"/>
    </w:rPr>
  </w:style>
  <w:style w:type="paragraph" w:styleId="Heading5">
    <w:name w:val="heading 5"/>
    <w:basedOn w:val="Normal"/>
    <w:next w:val="Normal"/>
    <w:link w:val="Heading5Char"/>
    <w:uiPriority w:val="1"/>
    <w:rsid w:val="00D74922"/>
    <w:pPr>
      <w:spacing w:before="240" w:after="60"/>
      <w:outlineLvl w:val="4"/>
    </w:pPr>
    <w:rPr>
      <w:b/>
      <w:bCs/>
      <w:i/>
      <w:iCs/>
      <w:sz w:val="26"/>
      <w:szCs w:val="26"/>
    </w:rPr>
  </w:style>
  <w:style w:type="paragraph" w:styleId="Heading6">
    <w:name w:val="heading 6"/>
    <w:basedOn w:val="Normal"/>
    <w:next w:val="Normal"/>
    <w:link w:val="Heading6Char"/>
    <w:uiPriority w:val="1"/>
    <w:rsid w:val="00D74922"/>
    <w:pPr>
      <w:spacing w:before="240" w:after="60"/>
      <w:outlineLvl w:val="5"/>
    </w:pPr>
    <w:rPr>
      <w:b/>
      <w:bCs/>
      <w:szCs w:val="22"/>
    </w:rPr>
  </w:style>
  <w:style w:type="paragraph" w:styleId="Heading7">
    <w:name w:val="heading 7"/>
    <w:basedOn w:val="Normal"/>
    <w:next w:val="Normal"/>
    <w:link w:val="Heading7Char"/>
    <w:uiPriority w:val="1"/>
    <w:rsid w:val="00D74922"/>
    <w:pPr>
      <w:spacing w:before="240" w:after="60"/>
      <w:outlineLvl w:val="6"/>
    </w:pPr>
    <w:rPr>
      <w:szCs w:val="24"/>
    </w:rPr>
  </w:style>
  <w:style w:type="paragraph" w:styleId="Heading8">
    <w:name w:val="heading 8"/>
    <w:basedOn w:val="Normal"/>
    <w:next w:val="Normal"/>
    <w:link w:val="Heading8Char"/>
    <w:uiPriority w:val="1"/>
    <w:rsid w:val="00D74922"/>
    <w:pPr>
      <w:spacing w:before="240" w:after="60"/>
      <w:outlineLvl w:val="7"/>
    </w:pPr>
    <w:rPr>
      <w:i/>
      <w:iCs/>
      <w:szCs w:val="24"/>
    </w:rPr>
  </w:style>
  <w:style w:type="paragraph" w:styleId="Heading9">
    <w:name w:val="heading 9"/>
    <w:basedOn w:val="Normal"/>
    <w:next w:val="Normal"/>
    <w:link w:val="Heading9Char"/>
    <w:uiPriority w:val="1"/>
    <w:rsid w:val="00D74922"/>
    <w:pPr>
      <w:spacing w:before="240" w:after="60"/>
      <w:outlineLvl w:val="8"/>
    </w:pPr>
    <w:rPr>
      <w:rFonts w:ascii="Arial" w:hAnsi="Arial"/>
      <w:szCs w:val="22"/>
    </w:rPr>
  </w:style>
  <w:style w:type="character" w:default="1" w:styleId="DefaultParagraphFont">
    <w:name w:val="Default Paragraph Font"/>
    <w:uiPriority w:val="1"/>
    <w:unhideWhenUsed/>
    <w:rsid w:val="00D7492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74922"/>
  </w:style>
  <w:style w:type="character" w:customStyle="1" w:styleId="Heading1Char">
    <w:name w:val="Heading 1 Char"/>
    <w:basedOn w:val="DefaultParagraphFont"/>
    <w:link w:val="Heading1"/>
    <w:uiPriority w:val="1"/>
    <w:rsid w:val="00B23C71"/>
    <w:rPr>
      <w:rFonts w:ascii="Times New Roman" w:eastAsia="Times New Roman" w:hAnsi="Times New Roman" w:cs="Times New Roman"/>
      <w:b/>
      <w:bCs/>
      <w:caps/>
      <w:sz w:val="24"/>
      <w:szCs w:val="32"/>
      <w:lang w:val="en-US"/>
    </w:rPr>
  </w:style>
  <w:style w:type="character" w:customStyle="1" w:styleId="Heading2Char">
    <w:name w:val="Heading 2 Char"/>
    <w:basedOn w:val="DefaultParagraphFont"/>
    <w:link w:val="Heading2"/>
    <w:uiPriority w:val="1"/>
    <w:rsid w:val="00B23C71"/>
    <w:rPr>
      <w:rFonts w:ascii="Times New Roman" w:eastAsia="Times New Roman" w:hAnsi="Times New Roman" w:cs="Times New Roman"/>
      <w:bCs/>
      <w:iCs/>
      <w:caps/>
      <w:sz w:val="24"/>
      <w:szCs w:val="28"/>
      <w:lang w:val="en-US"/>
    </w:rPr>
  </w:style>
  <w:style w:type="character" w:customStyle="1" w:styleId="Heading3Char">
    <w:name w:val="Heading 3 Char"/>
    <w:basedOn w:val="DefaultParagraphFont"/>
    <w:link w:val="Heading3"/>
    <w:uiPriority w:val="1"/>
    <w:rsid w:val="00B23C71"/>
    <w:rPr>
      <w:rFonts w:ascii="Times New Roman" w:eastAsia="Times New Roman" w:hAnsi="Times New Roman" w:cs="Times New Roman"/>
      <w:b/>
      <w:bCs/>
      <w:sz w:val="24"/>
      <w:szCs w:val="26"/>
      <w:lang w:val="en-US"/>
    </w:rPr>
  </w:style>
  <w:style w:type="character" w:customStyle="1" w:styleId="Heading4Char">
    <w:name w:val="Heading 4 Char"/>
    <w:basedOn w:val="DefaultParagraphFont"/>
    <w:link w:val="Heading4"/>
    <w:uiPriority w:val="1"/>
    <w:rsid w:val="00B23C71"/>
    <w:rPr>
      <w:rFonts w:ascii="Times New Roman" w:eastAsia="Times New Roman" w:hAnsi="Times New Roman" w:cs="Times New Roman"/>
      <w:bCs/>
      <w:i/>
      <w:sz w:val="24"/>
      <w:szCs w:val="28"/>
      <w:lang w:val="en-US"/>
    </w:rPr>
  </w:style>
  <w:style w:type="character" w:customStyle="1" w:styleId="Heading5Char">
    <w:name w:val="Heading 5 Char"/>
    <w:basedOn w:val="DefaultParagraphFont"/>
    <w:link w:val="Heading5"/>
    <w:uiPriority w:val="1"/>
    <w:rsid w:val="00B23C71"/>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1"/>
    <w:rsid w:val="00B23C71"/>
    <w:rPr>
      <w:rFonts w:ascii="Times New Roman" w:eastAsia="Times New Roman" w:hAnsi="Times New Roman" w:cs="Times New Roman"/>
      <w:b/>
      <w:bCs/>
      <w:sz w:val="24"/>
    </w:rPr>
  </w:style>
  <w:style w:type="character" w:customStyle="1" w:styleId="Heading7Char">
    <w:name w:val="Heading 7 Char"/>
    <w:basedOn w:val="DefaultParagraphFont"/>
    <w:link w:val="Heading7"/>
    <w:uiPriority w:val="1"/>
    <w:rsid w:val="00B23C71"/>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1"/>
    <w:rsid w:val="00B23C71"/>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1"/>
    <w:rsid w:val="00B23C71"/>
    <w:rPr>
      <w:rFonts w:ascii="Arial" w:eastAsia="Times New Roman" w:hAnsi="Arial" w:cs="Times New Roman"/>
      <w:sz w:val="24"/>
    </w:rPr>
  </w:style>
  <w:style w:type="paragraph" w:styleId="BodyText">
    <w:name w:val="Body Text"/>
    <w:link w:val="BodyTextChar"/>
    <w:qFormat/>
    <w:rsid w:val="00D74922"/>
    <w:pPr>
      <w:spacing w:after="240" w:line="24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B23C71"/>
    <w:rPr>
      <w:rFonts w:ascii="Times New Roman" w:eastAsia="Times New Roman" w:hAnsi="Times New Roman" w:cs="Times New Roman"/>
      <w:sz w:val="24"/>
      <w:szCs w:val="20"/>
      <w:lang w:val="en-US"/>
    </w:rPr>
  </w:style>
  <w:style w:type="paragraph" w:styleId="Footer">
    <w:name w:val="footer"/>
    <w:basedOn w:val="BodyText"/>
    <w:next w:val="BodyText"/>
    <w:link w:val="FooterChar"/>
    <w:rsid w:val="00D74922"/>
    <w:rPr>
      <w:sz w:val="22"/>
    </w:rPr>
  </w:style>
  <w:style w:type="character" w:customStyle="1" w:styleId="FooterChar">
    <w:name w:val="Footer Char"/>
    <w:basedOn w:val="DefaultParagraphFont"/>
    <w:link w:val="Footer"/>
    <w:rsid w:val="00B23C71"/>
    <w:rPr>
      <w:rFonts w:ascii="Times New Roman" w:eastAsia="Times New Roman" w:hAnsi="Times New Roman" w:cs="Times New Roman"/>
      <w:szCs w:val="20"/>
      <w:lang w:val="en-US"/>
    </w:rPr>
  </w:style>
  <w:style w:type="paragraph" w:styleId="Title">
    <w:name w:val="Title"/>
    <w:basedOn w:val="Normal"/>
    <w:next w:val="BodyText"/>
    <w:link w:val="TitleChar"/>
    <w:rsid w:val="00D74922"/>
    <w:pPr>
      <w:spacing w:before="2835" w:after="360"/>
      <w:jc w:val="right"/>
    </w:pPr>
    <w:rPr>
      <w:b/>
      <w:bCs/>
      <w:i/>
      <w:sz w:val="60"/>
      <w:szCs w:val="32"/>
    </w:rPr>
  </w:style>
  <w:style w:type="character" w:customStyle="1" w:styleId="TitleChar">
    <w:name w:val="Title Char"/>
    <w:basedOn w:val="DefaultParagraphFont"/>
    <w:link w:val="Title"/>
    <w:rsid w:val="00B23C71"/>
    <w:rPr>
      <w:rFonts w:ascii="Times New Roman" w:eastAsia="Times New Roman" w:hAnsi="Times New Roman" w:cs="Times New Roman"/>
      <w:b/>
      <w:bCs/>
      <w:i/>
      <w:sz w:val="60"/>
      <w:szCs w:val="32"/>
    </w:rPr>
  </w:style>
  <w:style w:type="paragraph" w:customStyle="1" w:styleId="IAEAEquation">
    <w:name w:val="IAEA Equation"/>
    <w:basedOn w:val="BodyText"/>
    <w:next w:val="BodyText"/>
    <w:rsid w:val="00D74922"/>
    <w:pPr>
      <w:jc w:val="right"/>
    </w:pPr>
    <w:rPr>
      <w:iCs/>
    </w:rPr>
  </w:style>
  <w:style w:type="paragraph" w:customStyle="1" w:styleId="IAEATableFootnote">
    <w:name w:val="IAEA Table Footnote"/>
    <w:basedOn w:val="BodyText"/>
    <w:next w:val="BodyText"/>
    <w:rsid w:val="00D74922"/>
    <w:pPr>
      <w:spacing w:before="60" w:after="0"/>
      <w:jc w:val="left"/>
    </w:pPr>
    <w:rPr>
      <w:sz w:val="22"/>
    </w:rPr>
  </w:style>
  <w:style w:type="paragraph" w:customStyle="1" w:styleId="IAEAFigureCaption">
    <w:name w:val="IAEA Figure Caption"/>
    <w:basedOn w:val="BodyText"/>
    <w:next w:val="BodyText"/>
    <w:rsid w:val="00D74922"/>
    <w:pPr>
      <w:keepNext/>
      <w:keepLines/>
      <w:jc w:val="center"/>
    </w:pPr>
    <w:rPr>
      <w:i/>
      <w:sz w:val="22"/>
    </w:rPr>
  </w:style>
  <w:style w:type="paragraph" w:customStyle="1" w:styleId="IAEAReferenceText">
    <w:name w:val="IAEA Reference Text"/>
    <w:basedOn w:val="BodyText"/>
    <w:next w:val="BodyText"/>
    <w:rsid w:val="00D74922"/>
    <w:pPr>
      <w:spacing w:after="0"/>
    </w:pPr>
  </w:style>
  <w:style w:type="paragraph" w:customStyle="1" w:styleId="AnnexHeading1">
    <w:name w:val="Annex Heading 1"/>
    <w:basedOn w:val="BodyText"/>
    <w:next w:val="BodyText"/>
    <w:qFormat/>
    <w:rsid w:val="00D74922"/>
    <w:pPr>
      <w:keepNext/>
      <w:keepLines/>
      <w:pageBreakBefore/>
      <w:numPr>
        <w:numId w:val="5"/>
      </w:numPr>
      <w:tabs>
        <w:tab w:val="clear" w:pos="180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pPr>
    <w:rPr>
      <w:b/>
      <w:caps/>
    </w:rPr>
  </w:style>
  <w:style w:type="paragraph" w:customStyle="1" w:styleId="AnnexHeading2">
    <w:name w:val="Annex Heading 2"/>
    <w:basedOn w:val="BodyText"/>
    <w:next w:val="BodyText"/>
    <w:uiPriority w:val="3"/>
    <w:qFormat/>
    <w:rsid w:val="00D74922"/>
    <w:pPr>
      <w:keepNext/>
      <w:keepLines/>
      <w:numPr>
        <w:ilvl w:val="1"/>
        <w:numId w:val="5"/>
      </w:numPr>
      <w:tabs>
        <w:tab w:val="clear" w:pos="72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567" w:hanging="567"/>
      <w:jc w:val="left"/>
    </w:pPr>
    <w:rPr>
      <w:caps/>
    </w:rPr>
  </w:style>
  <w:style w:type="paragraph" w:customStyle="1" w:styleId="AnnexHeading3">
    <w:name w:val="Annex Heading 3"/>
    <w:basedOn w:val="BodyText"/>
    <w:next w:val="BodyText"/>
    <w:uiPriority w:val="3"/>
    <w:qFormat/>
    <w:rsid w:val="00D74922"/>
    <w:pPr>
      <w:keepNext/>
      <w:keepLines/>
      <w:numPr>
        <w:ilvl w:val="2"/>
        <w:numId w:val="5"/>
      </w:numPr>
      <w:tabs>
        <w:tab w:val="clear" w:pos="720"/>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851" w:hanging="851"/>
      <w:jc w:val="left"/>
    </w:pPr>
    <w:rPr>
      <w:b/>
    </w:rPr>
  </w:style>
  <w:style w:type="paragraph" w:customStyle="1" w:styleId="AnnexHeading4">
    <w:name w:val="Annex Heading 4"/>
    <w:basedOn w:val="BodyText"/>
    <w:next w:val="BodyText"/>
    <w:uiPriority w:val="3"/>
    <w:qFormat/>
    <w:rsid w:val="00D74922"/>
    <w:pPr>
      <w:numPr>
        <w:ilvl w:val="3"/>
        <w:numId w:val="5"/>
      </w:numPr>
      <w:tabs>
        <w:tab w:val="clear" w:pos="108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1134" w:hanging="1134"/>
      <w:jc w:val="left"/>
    </w:pPr>
    <w:rPr>
      <w:i/>
    </w:rPr>
  </w:style>
  <w:style w:type="paragraph" w:styleId="Subtitle">
    <w:name w:val="Subtitle"/>
    <w:basedOn w:val="Normal"/>
    <w:next w:val="BodyText"/>
    <w:link w:val="SubtitleChar"/>
    <w:rsid w:val="00D74922"/>
    <w:pPr>
      <w:jc w:val="right"/>
    </w:pPr>
    <w:rPr>
      <w:b/>
      <w:i/>
      <w:sz w:val="32"/>
      <w:szCs w:val="24"/>
    </w:rPr>
  </w:style>
  <w:style w:type="character" w:customStyle="1" w:styleId="SubtitleChar">
    <w:name w:val="Subtitle Char"/>
    <w:basedOn w:val="DefaultParagraphFont"/>
    <w:link w:val="Subtitle"/>
    <w:rsid w:val="00B23C71"/>
    <w:rPr>
      <w:rFonts w:ascii="Times New Roman" w:eastAsia="Times New Roman" w:hAnsi="Times New Roman" w:cs="Times New Roman"/>
      <w:b/>
      <w:i/>
      <w:sz w:val="32"/>
      <w:szCs w:val="24"/>
    </w:rPr>
  </w:style>
  <w:style w:type="paragraph" w:customStyle="1" w:styleId="Contents">
    <w:name w:val="Contents"/>
    <w:basedOn w:val="BodyText"/>
    <w:next w:val="BodyText"/>
    <w:rsid w:val="00D74922"/>
    <w:pPr>
      <w:pageBreakBefore/>
      <w:jc w:val="center"/>
    </w:pPr>
    <w:rPr>
      <w:b/>
      <w:caps/>
    </w:rPr>
  </w:style>
  <w:style w:type="paragraph" w:customStyle="1" w:styleId="Heading">
    <w:name w:val="Heading"/>
    <w:basedOn w:val="BodyText"/>
    <w:next w:val="BodyText"/>
    <w:uiPriority w:val="3"/>
    <w:qFormat/>
    <w:rsid w:val="00D74922"/>
    <w:pPr>
      <w:keepNext/>
      <w:keepLines/>
      <w:pageBreakBefore/>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ind w:left="567" w:hanging="567"/>
      <w:jc w:val="center"/>
    </w:pPr>
    <w:rPr>
      <w:b/>
      <w:caps/>
    </w:rPr>
  </w:style>
  <w:style w:type="paragraph" w:customStyle="1" w:styleId="ReferenceHeading">
    <w:name w:val="Reference Heading"/>
    <w:basedOn w:val="BodyText"/>
    <w:next w:val="BodyText"/>
    <w:rsid w:val="00D74922"/>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jc w:val="center"/>
    </w:pPr>
    <w:rPr>
      <w:b/>
      <w:caps/>
    </w:rPr>
  </w:style>
  <w:style w:type="paragraph" w:customStyle="1" w:styleId="Foreword">
    <w:name w:val="Foreword"/>
    <w:basedOn w:val="BodyText"/>
    <w:next w:val="BodyText"/>
    <w:rsid w:val="00D74922"/>
    <w:pPr>
      <w:pageBreakBefore/>
      <w:jc w:val="center"/>
    </w:pPr>
    <w:rPr>
      <w:b/>
      <w:caps/>
    </w:rPr>
  </w:style>
  <w:style w:type="paragraph" w:customStyle="1" w:styleId="IAEATableHeading">
    <w:name w:val="IAEA Table Heading"/>
    <w:basedOn w:val="BodyText"/>
    <w:next w:val="BodyText"/>
    <w:rsid w:val="00D74922"/>
    <w:pPr>
      <w:keepNext/>
      <w:keepLines/>
      <w:spacing w:after="120"/>
      <w:jc w:val="left"/>
    </w:pPr>
  </w:style>
  <w:style w:type="paragraph" w:styleId="TOC1">
    <w:name w:val="toc 1"/>
    <w:basedOn w:val="BodyText"/>
    <w:next w:val="Normal"/>
    <w:uiPriority w:val="39"/>
    <w:rsid w:val="00D74922"/>
    <w:pPr>
      <w:tabs>
        <w:tab w:val="left" w:pos="567"/>
        <w:tab w:val="right" w:leader="dot" w:pos="9072"/>
      </w:tabs>
      <w:overflowPunct w:val="0"/>
      <w:autoSpaceDE w:val="0"/>
      <w:autoSpaceDN w:val="0"/>
      <w:adjustRightInd w:val="0"/>
      <w:spacing w:before="240" w:after="120"/>
      <w:ind w:left="567" w:right="567" w:hanging="567"/>
      <w:jc w:val="left"/>
      <w:textAlignment w:val="baseline"/>
    </w:pPr>
    <w:rPr>
      <w:bCs/>
      <w:iCs/>
      <w:caps/>
      <w:noProof/>
      <w:szCs w:val="28"/>
      <w:lang w:val="en-GB"/>
    </w:rPr>
  </w:style>
  <w:style w:type="paragraph" w:styleId="TOC2">
    <w:name w:val="toc 2"/>
    <w:basedOn w:val="BodyText"/>
    <w:next w:val="BodyText"/>
    <w:uiPriority w:val="39"/>
    <w:rsid w:val="00D74922"/>
    <w:pPr>
      <w:tabs>
        <w:tab w:val="left" w:pos="1418"/>
        <w:tab w:val="right" w:leader="dot" w:pos="9072"/>
      </w:tabs>
      <w:overflowPunct w:val="0"/>
      <w:autoSpaceDE w:val="0"/>
      <w:autoSpaceDN w:val="0"/>
      <w:adjustRightInd w:val="0"/>
      <w:spacing w:after="0"/>
      <w:ind w:left="1418" w:right="567" w:hanging="851"/>
      <w:jc w:val="left"/>
      <w:textAlignment w:val="baseline"/>
    </w:pPr>
    <w:rPr>
      <w:bCs/>
      <w:caps/>
      <w:noProof/>
      <w:szCs w:val="26"/>
      <w:lang w:val="en-GB"/>
    </w:rPr>
  </w:style>
  <w:style w:type="paragraph" w:styleId="TOC3">
    <w:name w:val="toc 3"/>
    <w:basedOn w:val="BodyText"/>
    <w:next w:val="BodyText"/>
    <w:uiPriority w:val="39"/>
    <w:rsid w:val="00D74922"/>
    <w:pPr>
      <w:tabs>
        <w:tab w:val="left" w:pos="2126"/>
        <w:tab w:val="right" w:leader="dot" w:pos="9072"/>
      </w:tabs>
      <w:overflowPunct w:val="0"/>
      <w:autoSpaceDE w:val="0"/>
      <w:autoSpaceDN w:val="0"/>
      <w:adjustRightInd w:val="0"/>
      <w:spacing w:after="0"/>
      <w:ind w:left="2127" w:right="567" w:hanging="709"/>
      <w:jc w:val="left"/>
      <w:textAlignment w:val="baseline"/>
    </w:pPr>
    <w:rPr>
      <w:noProof/>
      <w:szCs w:val="24"/>
      <w:lang w:val="en-GB"/>
    </w:rPr>
  </w:style>
  <w:style w:type="paragraph" w:customStyle="1" w:styleId="BodyTextList">
    <w:name w:val="Body Text List"/>
    <w:basedOn w:val="BodyText"/>
    <w:rsid w:val="00D74922"/>
    <w:pPr>
      <w:overflowPunct w:val="0"/>
      <w:autoSpaceDE w:val="0"/>
      <w:autoSpaceDN w:val="0"/>
      <w:adjustRightInd w:val="0"/>
      <w:spacing w:after="0"/>
      <w:ind w:left="567"/>
      <w:textAlignment w:val="baseline"/>
    </w:pPr>
    <w:rPr>
      <w:noProof/>
      <w:lang w:val="en-GB"/>
    </w:rPr>
  </w:style>
  <w:style w:type="paragraph" w:customStyle="1" w:styleId="AppendixHeading1">
    <w:name w:val="Appendix Heading 1"/>
    <w:basedOn w:val="BodyText"/>
    <w:next w:val="BodyText"/>
    <w:uiPriority w:val="2"/>
    <w:qFormat/>
    <w:rsid w:val="00D74922"/>
    <w:pPr>
      <w:keepNext/>
      <w:keepLines/>
      <w:pageBreakBefore/>
      <w:numPr>
        <w:numId w:val="4"/>
      </w:numPr>
      <w:tabs>
        <w:tab w:val="clear" w:pos="21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pPr>
    <w:rPr>
      <w:b/>
      <w:caps/>
    </w:rPr>
  </w:style>
  <w:style w:type="paragraph" w:customStyle="1" w:styleId="AppendixHeading2">
    <w:name w:val="Appendix Heading 2"/>
    <w:basedOn w:val="BodyText"/>
    <w:next w:val="BodyText"/>
    <w:qFormat/>
    <w:rsid w:val="00D74922"/>
    <w:pPr>
      <w:keepNext/>
      <w:keepLines/>
      <w:numPr>
        <w:ilvl w:val="1"/>
        <w:numId w:val="4"/>
      </w:numPr>
      <w:tabs>
        <w:tab w:val="clear" w:pos="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567" w:hanging="567"/>
      <w:jc w:val="left"/>
    </w:pPr>
    <w:rPr>
      <w:caps/>
    </w:rPr>
  </w:style>
  <w:style w:type="paragraph" w:customStyle="1" w:styleId="AppendixHeading3">
    <w:name w:val="Appendix Heading 3"/>
    <w:basedOn w:val="BodyText"/>
    <w:next w:val="BodyText"/>
    <w:qFormat/>
    <w:rsid w:val="00D74922"/>
    <w:pPr>
      <w:keepNext/>
      <w:keepLines/>
      <w:numPr>
        <w:ilvl w:val="2"/>
        <w:numId w:val="4"/>
      </w:numPr>
      <w:tabs>
        <w:tab w:val="clear" w:pos="720"/>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851" w:hanging="851"/>
      <w:jc w:val="left"/>
    </w:pPr>
    <w:rPr>
      <w:b/>
    </w:rPr>
  </w:style>
  <w:style w:type="paragraph" w:customStyle="1" w:styleId="AppendixHeading4">
    <w:name w:val="Appendix Heading 4"/>
    <w:basedOn w:val="BodyText"/>
    <w:next w:val="BodyText"/>
    <w:qFormat/>
    <w:rsid w:val="00D74922"/>
    <w:pPr>
      <w:numPr>
        <w:ilvl w:val="3"/>
        <w:numId w:val="4"/>
      </w:numPr>
      <w:tabs>
        <w:tab w:val="clear" w:pos="72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1134" w:hanging="1134"/>
      <w:jc w:val="left"/>
    </w:pPr>
    <w:rPr>
      <w:i/>
    </w:rPr>
  </w:style>
  <w:style w:type="paragraph" w:styleId="TOC4">
    <w:name w:val="toc 4"/>
    <w:basedOn w:val="BodyText"/>
    <w:next w:val="BodyText"/>
    <w:semiHidden/>
    <w:rsid w:val="00D74922"/>
    <w:pPr>
      <w:tabs>
        <w:tab w:val="left" w:pos="1418"/>
        <w:tab w:val="right" w:leader="dot" w:pos="9072"/>
      </w:tabs>
      <w:spacing w:before="240" w:after="0"/>
      <w:ind w:left="1418" w:right="567" w:hanging="1418"/>
      <w:jc w:val="left"/>
    </w:pPr>
    <w:rPr>
      <w:caps/>
    </w:rPr>
  </w:style>
  <w:style w:type="paragraph" w:styleId="TOC5">
    <w:name w:val="toc 5"/>
    <w:basedOn w:val="BodyText"/>
    <w:next w:val="BodyText"/>
    <w:semiHidden/>
    <w:rsid w:val="00D74922"/>
    <w:pPr>
      <w:tabs>
        <w:tab w:val="left" w:pos="1559"/>
        <w:tab w:val="right" w:leader="dot" w:pos="9072"/>
      </w:tabs>
      <w:spacing w:before="240" w:after="0"/>
      <w:ind w:left="1559" w:right="567" w:hanging="1559"/>
      <w:jc w:val="left"/>
    </w:pPr>
    <w:rPr>
      <w:caps/>
      <w:noProof/>
      <w:szCs w:val="24"/>
    </w:rPr>
  </w:style>
  <w:style w:type="paragraph" w:styleId="TOC6">
    <w:name w:val="toc 6"/>
    <w:basedOn w:val="Normal"/>
    <w:next w:val="Normal"/>
    <w:autoRedefine/>
    <w:semiHidden/>
    <w:rsid w:val="00D74922"/>
    <w:pPr>
      <w:spacing w:before="240" w:after="0"/>
      <w:ind w:right="567"/>
      <w:jc w:val="left"/>
    </w:pPr>
    <w:rPr>
      <w:caps/>
    </w:rPr>
  </w:style>
  <w:style w:type="paragraph" w:styleId="TOC7">
    <w:name w:val="toc 7"/>
    <w:basedOn w:val="Normal"/>
    <w:next w:val="Normal"/>
    <w:autoRedefine/>
    <w:semiHidden/>
    <w:rsid w:val="00D74922"/>
    <w:pPr>
      <w:ind w:left="1320"/>
    </w:pPr>
  </w:style>
  <w:style w:type="paragraph" w:styleId="TOC8">
    <w:name w:val="toc 8"/>
    <w:basedOn w:val="Normal"/>
    <w:next w:val="Normal"/>
    <w:autoRedefine/>
    <w:semiHidden/>
    <w:rsid w:val="00D74922"/>
    <w:pPr>
      <w:ind w:left="1540"/>
    </w:pPr>
  </w:style>
  <w:style w:type="paragraph" w:styleId="TOC9">
    <w:name w:val="toc 9"/>
    <w:basedOn w:val="Normal"/>
    <w:next w:val="Normal"/>
    <w:autoRedefine/>
    <w:semiHidden/>
    <w:rsid w:val="00D74922"/>
    <w:pPr>
      <w:ind w:left="1760"/>
    </w:pPr>
  </w:style>
  <w:style w:type="character" w:styleId="Hyperlink">
    <w:name w:val="Hyperlink"/>
    <w:basedOn w:val="DefaultParagraphFont"/>
    <w:uiPriority w:val="99"/>
    <w:rsid w:val="00D74922"/>
    <w:rPr>
      <w:color w:val="0000FF"/>
      <w:u w:val="single"/>
    </w:rPr>
  </w:style>
  <w:style w:type="paragraph" w:styleId="DocumentMap">
    <w:name w:val="Document Map"/>
    <w:basedOn w:val="Normal"/>
    <w:link w:val="DocumentMapChar"/>
    <w:semiHidden/>
    <w:rsid w:val="00D74922"/>
    <w:pPr>
      <w:shd w:val="clear" w:color="auto" w:fill="000080"/>
    </w:pPr>
    <w:rPr>
      <w:rFonts w:ascii="Tahoma" w:hAnsi="Tahoma" w:cs="Tahoma"/>
    </w:rPr>
  </w:style>
  <w:style w:type="character" w:customStyle="1" w:styleId="DocumentMapChar">
    <w:name w:val="Document Map Char"/>
    <w:basedOn w:val="DefaultParagraphFont"/>
    <w:link w:val="DocumentMap"/>
    <w:semiHidden/>
    <w:rsid w:val="00B23C71"/>
    <w:rPr>
      <w:rFonts w:ascii="Tahoma" w:eastAsia="Times New Roman" w:hAnsi="Tahoma" w:cs="Tahoma"/>
      <w:sz w:val="24"/>
      <w:szCs w:val="20"/>
      <w:shd w:val="clear" w:color="auto" w:fill="000080"/>
    </w:rPr>
  </w:style>
  <w:style w:type="paragraph" w:customStyle="1" w:styleId="BodyTextIndented">
    <w:name w:val="Body Text Indented"/>
    <w:basedOn w:val="BodyText"/>
    <w:rsid w:val="00D74922"/>
    <w:pPr>
      <w:ind w:firstLine="567"/>
    </w:pPr>
  </w:style>
  <w:style w:type="paragraph" w:customStyle="1" w:styleId="AppendixTitle">
    <w:name w:val="Appendix Title"/>
    <w:basedOn w:val="BodyText"/>
    <w:rsid w:val="00D74922"/>
    <w:pPr>
      <w:jc w:val="center"/>
    </w:pPr>
    <w:rPr>
      <w:b/>
      <w:caps/>
    </w:rPr>
  </w:style>
  <w:style w:type="paragraph" w:customStyle="1" w:styleId="AnnexTitle">
    <w:name w:val="Annex Title"/>
    <w:rsid w:val="00D74922"/>
    <w:pPr>
      <w:spacing w:after="0" w:line="480" w:lineRule="auto"/>
      <w:jc w:val="center"/>
    </w:pPr>
    <w:rPr>
      <w:rFonts w:ascii="Times New Roman" w:eastAsia="Times New Roman" w:hAnsi="Times New Roman" w:cs="Times New Roman"/>
      <w:b/>
      <w:caps/>
      <w:sz w:val="24"/>
      <w:szCs w:val="20"/>
      <w:lang w:val="en-US"/>
    </w:rPr>
  </w:style>
  <w:style w:type="table" w:styleId="TableGrid">
    <w:name w:val="Table Grid"/>
    <w:basedOn w:val="TableNormal"/>
    <w:rsid w:val="00D7492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D74922"/>
    <w:pPr>
      <w:tabs>
        <w:tab w:val="center" w:pos="4513"/>
        <w:tab w:val="right" w:pos="9026"/>
      </w:tabs>
      <w:spacing w:after="0"/>
    </w:pPr>
  </w:style>
  <w:style w:type="character" w:customStyle="1" w:styleId="a">
    <w:name w:val="ヘッダー (文字)"/>
    <w:basedOn w:val="DefaultParagraphFont"/>
    <w:rsid w:val="00332F6F"/>
    <w:rPr>
      <w:rFonts w:ascii="Times New Roman" w:eastAsia="Times New Roman" w:hAnsi="Times New Roman" w:cs="Times New Roman"/>
      <w:sz w:val="24"/>
      <w:szCs w:val="20"/>
    </w:rPr>
  </w:style>
  <w:style w:type="paragraph" w:customStyle="1" w:styleId="zyxP1Footer">
    <w:name w:val="zyxP1_Footer"/>
    <w:basedOn w:val="Normal"/>
    <w:rsid w:val="00D74922"/>
    <w:pPr>
      <w:widowControl w:val="0"/>
      <w:spacing w:after="0" w:line="160" w:lineRule="exact"/>
      <w:ind w:left="108"/>
      <w:jc w:val="left"/>
    </w:pPr>
    <w:rPr>
      <w:sz w:val="14"/>
    </w:rPr>
  </w:style>
  <w:style w:type="paragraph" w:customStyle="1" w:styleId="zyxCopies">
    <w:name w:val="zyxCopies"/>
    <w:basedOn w:val="zyxP1Footer"/>
    <w:rsid w:val="00D74922"/>
    <w:pPr>
      <w:spacing w:line="200" w:lineRule="exact"/>
    </w:pPr>
    <w:rPr>
      <w:sz w:val="18"/>
    </w:rPr>
  </w:style>
  <w:style w:type="paragraph" w:styleId="TOCHeading">
    <w:name w:val="TOC Heading"/>
    <w:basedOn w:val="Heading1"/>
    <w:next w:val="Normal"/>
    <w:uiPriority w:val="39"/>
    <w:unhideWhenUsed/>
    <w:qFormat/>
    <w:rsid w:val="00B23C71"/>
    <w:pPr>
      <w:numPr>
        <w:numId w:val="0"/>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before="240" w:after="0" w:line="259" w:lineRule="auto"/>
      <w:jc w:val="left"/>
      <w:outlineLvl w:val="9"/>
    </w:pPr>
    <w:rPr>
      <w:rFonts w:asciiTheme="majorHAnsi" w:eastAsiaTheme="majorEastAsia" w:hAnsiTheme="majorHAnsi" w:cstheme="majorBidi"/>
      <w:b w:val="0"/>
      <w:bCs w:val="0"/>
      <w:caps w:val="0"/>
      <w:color w:val="2F5496" w:themeColor="accent1" w:themeShade="BF"/>
      <w:sz w:val="32"/>
    </w:rPr>
  </w:style>
  <w:style w:type="paragraph" w:styleId="ListParagraph">
    <w:name w:val="List Paragraph"/>
    <w:basedOn w:val="Normal"/>
    <w:uiPriority w:val="34"/>
    <w:qFormat/>
    <w:rsid w:val="00DD0061"/>
    <w:pPr>
      <w:spacing w:after="160" w:line="259" w:lineRule="auto"/>
      <w:ind w:left="720"/>
      <w:contextualSpacing/>
    </w:pPr>
    <w:rPr>
      <w:rFonts w:asciiTheme="minorHAnsi" w:eastAsiaTheme="minorEastAsia" w:hAnsiTheme="minorHAnsi" w:cstheme="minorBidi"/>
      <w:sz w:val="22"/>
      <w:szCs w:val="22"/>
    </w:rPr>
  </w:style>
  <w:style w:type="character" w:styleId="Emphasis">
    <w:name w:val="Emphasis"/>
    <w:basedOn w:val="DefaultParagraphFont"/>
    <w:uiPriority w:val="20"/>
    <w:qFormat/>
    <w:rsid w:val="00392CED"/>
    <w:rPr>
      <w:i/>
      <w:iCs/>
    </w:rPr>
  </w:style>
  <w:style w:type="character" w:customStyle="1" w:styleId="apple-converted-space">
    <w:name w:val="apple-converted-space"/>
    <w:basedOn w:val="DefaultParagraphFont"/>
    <w:rsid w:val="00392CED"/>
  </w:style>
  <w:style w:type="paragraph" w:customStyle="1" w:styleId="Default">
    <w:name w:val="Default"/>
    <w:rsid w:val="00392CED"/>
    <w:pPr>
      <w:widowControl w:val="0"/>
      <w:autoSpaceDE w:val="0"/>
      <w:autoSpaceDN w:val="0"/>
      <w:adjustRightInd w:val="0"/>
      <w:spacing w:after="0" w:line="240" w:lineRule="auto"/>
    </w:pPr>
    <w:rPr>
      <w:rFonts w:ascii="Code" w:hAnsi="Code" w:cs="Code"/>
      <w:color w:val="000000"/>
      <w:sz w:val="24"/>
      <w:szCs w:val="24"/>
      <w:lang w:val="en-US" w:eastAsia="ja-JP"/>
    </w:rPr>
  </w:style>
  <w:style w:type="character" w:customStyle="1" w:styleId="SC3241719">
    <w:name w:val="SC.3.241719"/>
    <w:uiPriority w:val="99"/>
    <w:rsid w:val="00FE3E6E"/>
    <w:rPr>
      <w:rFonts w:cs="Times"/>
      <w:color w:val="000000"/>
      <w:sz w:val="20"/>
      <w:szCs w:val="20"/>
    </w:rPr>
  </w:style>
  <w:style w:type="character" w:customStyle="1" w:styleId="SC3241714">
    <w:name w:val="SC.3.241714"/>
    <w:uiPriority w:val="99"/>
    <w:rsid w:val="00FE3E6E"/>
    <w:rPr>
      <w:rFonts w:cs="Times"/>
      <w:color w:val="000000"/>
    </w:rPr>
  </w:style>
  <w:style w:type="paragraph" w:styleId="CommentText">
    <w:name w:val="annotation text"/>
    <w:basedOn w:val="Normal"/>
    <w:link w:val="CommentTextChar"/>
    <w:uiPriority w:val="99"/>
    <w:unhideWhenUsed/>
    <w:rPr>
      <w:sz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B43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43B4"/>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0436E9"/>
    <w:rPr>
      <w:b/>
      <w:bCs/>
    </w:rPr>
  </w:style>
  <w:style w:type="character" w:customStyle="1" w:styleId="CommentSubjectChar">
    <w:name w:val="Comment Subject Char"/>
    <w:basedOn w:val="CommentTextChar"/>
    <w:link w:val="CommentSubject"/>
    <w:uiPriority w:val="99"/>
    <w:semiHidden/>
    <w:rsid w:val="000436E9"/>
    <w:rPr>
      <w:rFonts w:ascii="Times New Roman" w:eastAsia="Times New Roman" w:hAnsi="Times New Roman" w:cs="Times New Roman"/>
      <w:b/>
      <w:bCs/>
      <w:sz w:val="20"/>
      <w:szCs w:val="20"/>
    </w:rPr>
  </w:style>
  <w:style w:type="paragraph" w:styleId="Caption">
    <w:name w:val="caption"/>
    <w:basedOn w:val="Normal"/>
    <w:next w:val="Normal"/>
    <w:uiPriority w:val="35"/>
    <w:unhideWhenUsed/>
    <w:qFormat/>
    <w:rsid w:val="00B5031A"/>
    <w:pPr>
      <w:spacing w:after="200"/>
    </w:pPr>
    <w:rPr>
      <w:i/>
      <w:iCs/>
      <w:color w:val="44546A" w:themeColor="text2"/>
      <w:sz w:val="18"/>
      <w:szCs w:val="18"/>
    </w:rPr>
  </w:style>
  <w:style w:type="paragraph" w:styleId="NormalWeb">
    <w:name w:val="Normal (Web)"/>
    <w:basedOn w:val="Normal"/>
    <w:uiPriority w:val="99"/>
    <w:semiHidden/>
    <w:unhideWhenUsed/>
    <w:rsid w:val="009C481E"/>
    <w:pPr>
      <w:spacing w:after="160" w:line="259" w:lineRule="auto"/>
    </w:pPr>
    <w:rPr>
      <w:rFonts w:eastAsiaTheme="minorHAnsi"/>
    </w:rPr>
  </w:style>
  <w:style w:type="character" w:customStyle="1" w:styleId="HeaderChar">
    <w:name w:val="Header Char"/>
    <w:basedOn w:val="DefaultParagraphFont"/>
    <w:link w:val="Header"/>
    <w:rsid w:val="00D74922"/>
    <w:rPr>
      <w:rFonts w:ascii="Times New Roman" w:eastAsia="Times New Roman" w:hAnsi="Times New Roman" w:cs="Times New Roman"/>
      <w:sz w:val="24"/>
      <w:szCs w:val="20"/>
    </w:rPr>
  </w:style>
  <w:style w:type="character" w:customStyle="1" w:styleId="orange">
    <w:name w:val="orange"/>
    <w:basedOn w:val="DefaultParagraphFont"/>
    <w:rsid w:val="00A404C0"/>
  </w:style>
  <w:style w:type="paragraph" w:styleId="FootnoteText">
    <w:name w:val="footnote text"/>
    <w:basedOn w:val="Normal"/>
    <w:link w:val="FootnoteTextChar"/>
    <w:uiPriority w:val="99"/>
    <w:semiHidden/>
    <w:unhideWhenUsed/>
    <w:rsid w:val="008E029A"/>
    <w:pPr>
      <w:overflowPunct/>
      <w:autoSpaceDE/>
      <w:autoSpaceDN/>
      <w:adjustRightInd/>
      <w:snapToGrid w:val="0"/>
      <w:spacing w:after="0"/>
      <w:jc w:val="left"/>
      <w:textAlignment w:val="auto"/>
    </w:pPr>
    <w:rPr>
      <w:rFonts w:ascii="MS PGothic" w:eastAsia="MS PGothic" w:hAnsi="MS PGothic" w:cs="MS PGothic"/>
      <w:szCs w:val="24"/>
      <w:lang w:val="en-US" w:eastAsia="ja-JP"/>
    </w:rPr>
  </w:style>
  <w:style w:type="character" w:customStyle="1" w:styleId="FootnoteTextChar">
    <w:name w:val="Footnote Text Char"/>
    <w:basedOn w:val="DefaultParagraphFont"/>
    <w:link w:val="FootnoteText"/>
    <w:uiPriority w:val="99"/>
    <w:semiHidden/>
    <w:rsid w:val="008E029A"/>
    <w:rPr>
      <w:rFonts w:ascii="MS PGothic" w:eastAsia="MS PGothic" w:hAnsi="MS PGothic" w:cs="MS PGothic"/>
      <w:sz w:val="24"/>
      <w:szCs w:val="24"/>
      <w:lang w:val="en-US" w:eastAsia="ja-JP"/>
    </w:rPr>
  </w:style>
  <w:style w:type="character" w:styleId="FootnoteReference">
    <w:name w:val="footnote reference"/>
    <w:basedOn w:val="DefaultParagraphFont"/>
    <w:uiPriority w:val="99"/>
    <w:semiHidden/>
    <w:unhideWhenUsed/>
    <w:rsid w:val="008E029A"/>
    <w:rPr>
      <w:vertAlign w:val="superscript"/>
    </w:rPr>
  </w:style>
  <w:style w:type="paragraph" w:styleId="EndnoteText">
    <w:name w:val="endnote text"/>
    <w:basedOn w:val="Normal"/>
    <w:link w:val="EndnoteTextChar"/>
    <w:uiPriority w:val="99"/>
    <w:semiHidden/>
    <w:unhideWhenUsed/>
    <w:rsid w:val="00E76EF5"/>
    <w:pPr>
      <w:spacing w:after="0"/>
    </w:pPr>
    <w:rPr>
      <w:sz w:val="20"/>
    </w:rPr>
  </w:style>
  <w:style w:type="character" w:customStyle="1" w:styleId="EndnoteTextChar">
    <w:name w:val="Endnote Text Char"/>
    <w:basedOn w:val="DefaultParagraphFont"/>
    <w:link w:val="EndnoteText"/>
    <w:uiPriority w:val="99"/>
    <w:semiHidden/>
    <w:rsid w:val="00E76EF5"/>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E76EF5"/>
    <w:rPr>
      <w:vertAlign w:val="superscript"/>
    </w:rPr>
  </w:style>
  <w:style w:type="paragraph" w:styleId="Revision">
    <w:name w:val="Revision"/>
    <w:hidden/>
    <w:uiPriority w:val="99"/>
    <w:semiHidden/>
    <w:rsid w:val="009C0AFB"/>
    <w:pPr>
      <w:spacing w:after="0" w:line="240" w:lineRule="auto"/>
    </w:pPr>
    <w:rPr>
      <w:rFonts w:ascii="Times New Roman" w:eastAsia="Times New Roman" w:hAnsi="Times New Roman" w:cs="Times New Roman"/>
      <w:sz w:val="24"/>
      <w:szCs w:val="20"/>
    </w:rPr>
  </w:style>
  <w:style w:type="paragraph" w:customStyle="1" w:styleId="xmsonormal">
    <w:name w:val="x_msonormal"/>
    <w:basedOn w:val="Normal"/>
    <w:rsid w:val="00FC1D02"/>
    <w:pPr>
      <w:overflowPunct/>
      <w:autoSpaceDE/>
      <w:autoSpaceDN/>
      <w:adjustRightInd/>
      <w:spacing w:before="100" w:beforeAutospacing="1" w:after="100" w:afterAutospacing="1"/>
      <w:jc w:val="left"/>
      <w:textAlignment w:val="auto"/>
    </w:pPr>
    <w:rPr>
      <w:rFonts w:ascii="Calibri" w:eastAsiaTheme="minorEastAsia" w:hAnsi="Calibri" w:cs="Calibri"/>
      <w:sz w:val="22"/>
      <w:szCs w:val="22"/>
      <w:lang w:eastAsia="ja-JP"/>
    </w:rPr>
  </w:style>
  <w:style w:type="paragraph" w:styleId="Bibliography">
    <w:name w:val="Bibliography"/>
    <w:basedOn w:val="Normal"/>
    <w:next w:val="Normal"/>
    <w:uiPriority w:val="37"/>
    <w:unhideWhenUsed/>
    <w:rsid w:val="0049147D"/>
  </w:style>
  <w:style w:type="character" w:customStyle="1" w:styleId="s8">
    <w:name w:val="s8"/>
    <w:basedOn w:val="DefaultParagraphFont"/>
    <w:rsid w:val="00E96AA1"/>
  </w:style>
  <w:style w:type="character" w:styleId="FollowedHyperlink">
    <w:name w:val="FollowedHyperlink"/>
    <w:basedOn w:val="DefaultParagraphFont"/>
    <w:uiPriority w:val="99"/>
    <w:semiHidden/>
    <w:unhideWhenUsed/>
    <w:rsid w:val="00E70A0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903428">
      <w:bodyDiv w:val="1"/>
      <w:marLeft w:val="0"/>
      <w:marRight w:val="0"/>
      <w:marTop w:val="0"/>
      <w:marBottom w:val="0"/>
      <w:divBdr>
        <w:top w:val="none" w:sz="0" w:space="0" w:color="auto"/>
        <w:left w:val="none" w:sz="0" w:space="0" w:color="auto"/>
        <w:bottom w:val="none" w:sz="0" w:space="0" w:color="auto"/>
        <w:right w:val="none" w:sz="0" w:space="0" w:color="auto"/>
      </w:divBdr>
    </w:div>
    <w:div w:id="123929157">
      <w:bodyDiv w:val="1"/>
      <w:marLeft w:val="0"/>
      <w:marRight w:val="0"/>
      <w:marTop w:val="0"/>
      <w:marBottom w:val="0"/>
      <w:divBdr>
        <w:top w:val="none" w:sz="0" w:space="0" w:color="auto"/>
        <w:left w:val="none" w:sz="0" w:space="0" w:color="auto"/>
        <w:bottom w:val="none" w:sz="0" w:space="0" w:color="auto"/>
        <w:right w:val="none" w:sz="0" w:space="0" w:color="auto"/>
      </w:divBdr>
    </w:div>
    <w:div w:id="157811611">
      <w:bodyDiv w:val="1"/>
      <w:marLeft w:val="0"/>
      <w:marRight w:val="0"/>
      <w:marTop w:val="0"/>
      <w:marBottom w:val="0"/>
      <w:divBdr>
        <w:top w:val="none" w:sz="0" w:space="0" w:color="auto"/>
        <w:left w:val="none" w:sz="0" w:space="0" w:color="auto"/>
        <w:bottom w:val="none" w:sz="0" w:space="0" w:color="auto"/>
        <w:right w:val="none" w:sz="0" w:space="0" w:color="auto"/>
      </w:divBdr>
      <w:divsChild>
        <w:div w:id="424426867">
          <w:marLeft w:val="0"/>
          <w:marRight w:val="0"/>
          <w:marTop w:val="0"/>
          <w:marBottom w:val="0"/>
          <w:divBdr>
            <w:top w:val="none" w:sz="0" w:space="0" w:color="auto"/>
            <w:left w:val="none" w:sz="0" w:space="0" w:color="auto"/>
            <w:bottom w:val="none" w:sz="0" w:space="0" w:color="auto"/>
            <w:right w:val="none" w:sz="0" w:space="0" w:color="auto"/>
          </w:divBdr>
        </w:div>
        <w:div w:id="1295065514">
          <w:marLeft w:val="0"/>
          <w:marRight w:val="0"/>
          <w:marTop w:val="0"/>
          <w:marBottom w:val="0"/>
          <w:divBdr>
            <w:top w:val="none" w:sz="0" w:space="0" w:color="auto"/>
            <w:left w:val="none" w:sz="0" w:space="0" w:color="auto"/>
            <w:bottom w:val="none" w:sz="0" w:space="0" w:color="auto"/>
            <w:right w:val="none" w:sz="0" w:space="0" w:color="auto"/>
          </w:divBdr>
        </w:div>
      </w:divsChild>
    </w:div>
    <w:div w:id="195579904">
      <w:bodyDiv w:val="1"/>
      <w:marLeft w:val="0"/>
      <w:marRight w:val="0"/>
      <w:marTop w:val="0"/>
      <w:marBottom w:val="0"/>
      <w:divBdr>
        <w:top w:val="none" w:sz="0" w:space="0" w:color="auto"/>
        <w:left w:val="none" w:sz="0" w:space="0" w:color="auto"/>
        <w:bottom w:val="none" w:sz="0" w:space="0" w:color="auto"/>
        <w:right w:val="none" w:sz="0" w:space="0" w:color="auto"/>
      </w:divBdr>
    </w:div>
    <w:div w:id="214782941">
      <w:bodyDiv w:val="1"/>
      <w:marLeft w:val="0"/>
      <w:marRight w:val="0"/>
      <w:marTop w:val="0"/>
      <w:marBottom w:val="0"/>
      <w:divBdr>
        <w:top w:val="none" w:sz="0" w:space="0" w:color="auto"/>
        <w:left w:val="none" w:sz="0" w:space="0" w:color="auto"/>
        <w:bottom w:val="none" w:sz="0" w:space="0" w:color="auto"/>
        <w:right w:val="none" w:sz="0" w:space="0" w:color="auto"/>
      </w:divBdr>
    </w:div>
    <w:div w:id="218591196">
      <w:bodyDiv w:val="1"/>
      <w:marLeft w:val="0"/>
      <w:marRight w:val="0"/>
      <w:marTop w:val="0"/>
      <w:marBottom w:val="0"/>
      <w:divBdr>
        <w:top w:val="none" w:sz="0" w:space="0" w:color="auto"/>
        <w:left w:val="none" w:sz="0" w:space="0" w:color="auto"/>
        <w:bottom w:val="none" w:sz="0" w:space="0" w:color="auto"/>
        <w:right w:val="none" w:sz="0" w:space="0" w:color="auto"/>
      </w:divBdr>
    </w:div>
    <w:div w:id="227963699">
      <w:bodyDiv w:val="1"/>
      <w:marLeft w:val="0"/>
      <w:marRight w:val="0"/>
      <w:marTop w:val="0"/>
      <w:marBottom w:val="0"/>
      <w:divBdr>
        <w:top w:val="none" w:sz="0" w:space="0" w:color="auto"/>
        <w:left w:val="none" w:sz="0" w:space="0" w:color="auto"/>
        <w:bottom w:val="none" w:sz="0" w:space="0" w:color="auto"/>
        <w:right w:val="none" w:sz="0" w:space="0" w:color="auto"/>
      </w:divBdr>
    </w:div>
    <w:div w:id="249314402">
      <w:bodyDiv w:val="1"/>
      <w:marLeft w:val="0"/>
      <w:marRight w:val="0"/>
      <w:marTop w:val="0"/>
      <w:marBottom w:val="0"/>
      <w:divBdr>
        <w:top w:val="none" w:sz="0" w:space="0" w:color="auto"/>
        <w:left w:val="none" w:sz="0" w:space="0" w:color="auto"/>
        <w:bottom w:val="none" w:sz="0" w:space="0" w:color="auto"/>
        <w:right w:val="none" w:sz="0" w:space="0" w:color="auto"/>
      </w:divBdr>
    </w:div>
    <w:div w:id="253100866">
      <w:bodyDiv w:val="1"/>
      <w:marLeft w:val="0"/>
      <w:marRight w:val="0"/>
      <w:marTop w:val="0"/>
      <w:marBottom w:val="0"/>
      <w:divBdr>
        <w:top w:val="none" w:sz="0" w:space="0" w:color="auto"/>
        <w:left w:val="none" w:sz="0" w:space="0" w:color="auto"/>
        <w:bottom w:val="none" w:sz="0" w:space="0" w:color="auto"/>
        <w:right w:val="none" w:sz="0" w:space="0" w:color="auto"/>
      </w:divBdr>
      <w:divsChild>
        <w:div w:id="70543416">
          <w:marLeft w:val="0"/>
          <w:marRight w:val="0"/>
          <w:marTop w:val="0"/>
          <w:marBottom w:val="0"/>
          <w:divBdr>
            <w:top w:val="none" w:sz="0" w:space="0" w:color="auto"/>
            <w:left w:val="none" w:sz="0" w:space="0" w:color="auto"/>
            <w:bottom w:val="none" w:sz="0" w:space="0" w:color="auto"/>
            <w:right w:val="none" w:sz="0" w:space="0" w:color="auto"/>
          </w:divBdr>
        </w:div>
        <w:div w:id="511190799">
          <w:marLeft w:val="0"/>
          <w:marRight w:val="0"/>
          <w:marTop w:val="0"/>
          <w:marBottom w:val="0"/>
          <w:divBdr>
            <w:top w:val="none" w:sz="0" w:space="0" w:color="auto"/>
            <w:left w:val="none" w:sz="0" w:space="0" w:color="auto"/>
            <w:bottom w:val="none" w:sz="0" w:space="0" w:color="auto"/>
            <w:right w:val="none" w:sz="0" w:space="0" w:color="auto"/>
          </w:divBdr>
        </w:div>
        <w:div w:id="1299917828">
          <w:marLeft w:val="0"/>
          <w:marRight w:val="0"/>
          <w:marTop w:val="0"/>
          <w:marBottom w:val="0"/>
          <w:divBdr>
            <w:top w:val="none" w:sz="0" w:space="0" w:color="auto"/>
            <w:left w:val="none" w:sz="0" w:space="0" w:color="auto"/>
            <w:bottom w:val="none" w:sz="0" w:space="0" w:color="auto"/>
            <w:right w:val="none" w:sz="0" w:space="0" w:color="auto"/>
          </w:divBdr>
        </w:div>
      </w:divsChild>
    </w:div>
    <w:div w:id="300114688">
      <w:bodyDiv w:val="1"/>
      <w:marLeft w:val="0"/>
      <w:marRight w:val="0"/>
      <w:marTop w:val="0"/>
      <w:marBottom w:val="0"/>
      <w:divBdr>
        <w:top w:val="none" w:sz="0" w:space="0" w:color="auto"/>
        <w:left w:val="none" w:sz="0" w:space="0" w:color="auto"/>
        <w:bottom w:val="none" w:sz="0" w:space="0" w:color="auto"/>
        <w:right w:val="none" w:sz="0" w:space="0" w:color="auto"/>
      </w:divBdr>
    </w:div>
    <w:div w:id="422146794">
      <w:bodyDiv w:val="1"/>
      <w:marLeft w:val="0"/>
      <w:marRight w:val="0"/>
      <w:marTop w:val="0"/>
      <w:marBottom w:val="0"/>
      <w:divBdr>
        <w:top w:val="none" w:sz="0" w:space="0" w:color="auto"/>
        <w:left w:val="none" w:sz="0" w:space="0" w:color="auto"/>
        <w:bottom w:val="none" w:sz="0" w:space="0" w:color="auto"/>
        <w:right w:val="none" w:sz="0" w:space="0" w:color="auto"/>
      </w:divBdr>
    </w:div>
    <w:div w:id="446435906">
      <w:bodyDiv w:val="1"/>
      <w:marLeft w:val="0"/>
      <w:marRight w:val="0"/>
      <w:marTop w:val="0"/>
      <w:marBottom w:val="0"/>
      <w:divBdr>
        <w:top w:val="none" w:sz="0" w:space="0" w:color="auto"/>
        <w:left w:val="none" w:sz="0" w:space="0" w:color="auto"/>
        <w:bottom w:val="none" w:sz="0" w:space="0" w:color="auto"/>
        <w:right w:val="none" w:sz="0" w:space="0" w:color="auto"/>
      </w:divBdr>
    </w:div>
    <w:div w:id="450906951">
      <w:bodyDiv w:val="1"/>
      <w:marLeft w:val="0"/>
      <w:marRight w:val="0"/>
      <w:marTop w:val="0"/>
      <w:marBottom w:val="0"/>
      <w:divBdr>
        <w:top w:val="none" w:sz="0" w:space="0" w:color="auto"/>
        <w:left w:val="none" w:sz="0" w:space="0" w:color="auto"/>
        <w:bottom w:val="none" w:sz="0" w:space="0" w:color="auto"/>
        <w:right w:val="none" w:sz="0" w:space="0" w:color="auto"/>
      </w:divBdr>
    </w:div>
    <w:div w:id="489565321">
      <w:bodyDiv w:val="1"/>
      <w:marLeft w:val="0"/>
      <w:marRight w:val="0"/>
      <w:marTop w:val="0"/>
      <w:marBottom w:val="0"/>
      <w:divBdr>
        <w:top w:val="none" w:sz="0" w:space="0" w:color="auto"/>
        <w:left w:val="none" w:sz="0" w:space="0" w:color="auto"/>
        <w:bottom w:val="none" w:sz="0" w:space="0" w:color="auto"/>
        <w:right w:val="none" w:sz="0" w:space="0" w:color="auto"/>
      </w:divBdr>
    </w:div>
    <w:div w:id="496729304">
      <w:bodyDiv w:val="1"/>
      <w:marLeft w:val="0"/>
      <w:marRight w:val="0"/>
      <w:marTop w:val="0"/>
      <w:marBottom w:val="0"/>
      <w:divBdr>
        <w:top w:val="none" w:sz="0" w:space="0" w:color="auto"/>
        <w:left w:val="none" w:sz="0" w:space="0" w:color="auto"/>
        <w:bottom w:val="none" w:sz="0" w:space="0" w:color="auto"/>
        <w:right w:val="none" w:sz="0" w:space="0" w:color="auto"/>
      </w:divBdr>
    </w:div>
    <w:div w:id="498471845">
      <w:bodyDiv w:val="1"/>
      <w:marLeft w:val="0"/>
      <w:marRight w:val="0"/>
      <w:marTop w:val="0"/>
      <w:marBottom w:val="0"/>
      <w:divBdr>
        <w:top w:val="none" w:sz="0" w:space="0" w:color="auto"/>
        <w:left w:val="none" w:sz="0" w:space="0" w:color="auto"/>
        <w:bottom w:val="none" w:sz="0" w:space="0" w:color="auto"/>
        <w:right w:val="none" w:sz="0" w:space="0" w:color="auto"/>
      </w:divBdr>
    </w:div>
    <w:div w:id="557782333">
      <w:bodyDiv w:val="1"/>
      <w:marLeft w:val="0"/>
      <w:marRight w:val="0"/>
      <w:marTop w:val="0"/>
      <w:marBottom w:val="0"/>
      <w:divBdr>
        <w:top w:val="none" w:sz="0" w:space="0" w:color="auto"/>
        <w:left w:val="none" w:sz="0" w:space="0" w:color="auto"/>
        <w:bottom w:val="none" w:sz="0" w:space="0" w:color="auto"/>
        <w:right w:val="none" w:sz="0" w:space="0" w:color="auto"/>
      </w:divBdr>
    </w:div>
    <w:div w:id="558325239">
      <w:bodyDiv w:val="1"/>
      <w:marLeft w:val="0"/>
      <w:marRight w:val="0"/>
      <w:marTop w:val="0"/>
      <w:marBottom w:val="0"/>
      <w:divBdr>
        <w:top w:val="none" w:sz="0" w:space="0" w:color="auto"/>
        <w:left w:val="none" w:sz="0" w:space="0" w:color="auto"/>
        <w:bottom w:val="none" w:sz="0" w:space="0" w:color="auto"/>
        <w:right w:val="none" w:sz="0" w:space="0" w:color="auto"/>
      </w:divBdr>
    </w:div>
    <w:div w:id="674915776">
      <w:bodyDiv w:val="1"/>
      <w:marLeft w:val="0"/>
      <w:marRight w:val="0"/>
      <w:marTop w:val="0"/>
      <w:marBottom w:val="0"/>
      <w:divBdr>
        <w:top w:val="none" w:sz="0" w:space="0" w:color="auto"/>
        <w:left w:val="none" w:sz="0" w:space="0" w:color="auto"/>
        <w:bottom w:val="none" w:sz="0" w:space="0" w:color="auto"/>
        <w:right w:val="none" w:sz="0" w:space="0" w:color="auto"/>
      </w:divBdr>
    </w:div>
    <w:div w:id="699818615">
      <w:bodyDiv w:val="1"/>
      <w:marLeft w:val="0"/>
      <w:marRight w:val="0"/>
      <w:marTop w:val="0"/>
      <w:marBottom w:val="0"/>
      <w:divBdr>
        <w:top w:val="none" w:sz="0" w:space="0" w:color="auto"/>
        <w:left w:val="none" w:sz="0" w:space="0" w:color="auto"/>
        <w:bottom w:val="none" w:sz="0" w:space="0" w:color="auto"/>
        <w:right w:val="none" w:sz="0" w:space="0" w:color="auto"/>
      </w:divBdr>
    </w:div>
    <w:div w:id="748575477">
      <w:bodyDiv w:val="1"/>
      <w:marLeft w:val="0"/>
      <w:marRight w:val="0"/>
      <w:marTop w:val="0"/>
      <w:marBottom w:val="0"/>
      <w:divBdr>
        <w:top w:val="none" w:sz="0" w:space="0" w:color="auto"/>
        <w:left w:val="none" w:sz="0" w:space="0" w:color="auto"/>
        <w:bottom w:val="none" w:sz="0" w:space="0" w:color="auto"/>
        <w:right w:val="none" w:sz="0" w:space="0" w:color="auto"/>
      </w:divBdr>
    </w:div>
    <w:div w:id="796605573">
      <w:bodyDiv w:val="1"/>
      <w:marLeft w:val="0"/>
      <w:marRight w:val="0"/>
      <w:marTop w:val="0"/>
      <w:marBottom w:val="0"/>
      <w:divBdr>
        <w:top w:val="none" w:sz="0" w:space="0" w:color="auto"/>
        <w:left w:val="none" w:sz="0" w:space="0" w:color="auto"/>
        <w:bottom w:val="none" w:sz="0" w:space="0" w:color="auto"/>
        <w:right w:val="none" w:sz="0" w:space="0" w:color="auto"/>
      </w:divBdr>
    </w:div>
    <w:div w:id="860633221">
      <w:bodyDiv w:val="1"/>
      <w:marLeft w:val="0"/>
      <w:marRight w:val="0"/>
      <w:marTop w:val="0"/>
      <w:marBottom w:val="0"/>
      <w:divBdr>
        <w:top w:val="none" w:sz="0" w:space="0" w:color="auto"/>
        <w:left w:val="none" w:sz="0" w:space="0" w:color="auto"/>
        <w:bottom w:val="none" w:sz="0" w:space="0" w:color="auto"/>
        <w:right w:val="none" w:sz="0" w:space="0" w:color="auto"/>
      </w:divBdr>
    </w:div>
    <w:div w:id="870991774">
      <w:bodyDiv w:val="1"/>
      <w:marLeft w:val="0"/>
      <w:marRight w:val="0"/>
      <w:marTop w:val="0"/>
      <w:marBottom w:val="0"/>
      <w:divBdr>
        <w:top w:val="none" w:sz="0" w:space="0" w:color="auto"/>
        <w:left w:val="none" w:sz="0" w:space="0" w:color="auto"/>
        <w:bottom w:val="none" w:sz="0" w:space="0" w:color="auto"/>
        <w:right w:val="none" w:sz="0" w:space="0" w:color="auto"/>
      </w:divBdr>
    </w:div>
    <w:div w:id="911046610">
      <w:bodyDiv w:val="1"/>
      <w:marLeft w:val="0"/>
      <w:marRight w:val="0"/>
      <w:marTop w:val="0"/>
      <w:marBottom w:val="0"/>
      <w:divBdr>
        <w:top w:val="none" w:sz="0" w:space="0" w:color="auto"/>
        <w:left w:val="none" w:sz="0" w:space="0" w:color="auto"/>
        <w:bottom w:val="none" w:sz="0" w:space="0" w:color="auto"/>
        <w:right w:val="none" w:sz="0" w:space="0" w:color="auto"/>
      </w:divBdr>
    </w:div>
    <w:div w:id="925576812">
      <w:bodyDiv w:val="1"/>
      <w:marLeft w:val="0"/>
      <w:marRight w:val="0"/>
      <w:marTop w:val="0"/>
      <w:marBottom w:val="0"/>
      <w:divBdr>
        <w:top w:val="none" w:sz="0" w:space="0" w:color="auto"/>
        <w:left w:val="none" w:sz="0" w:space="0" w:color="auto"/>
        <w:bottom w:val="none" w:sz="0" w:space="0" w:color="auto"/>
        <w:right w:val="none" w:sz="0" w:space="0" w:color="auto"/>
      </w:divBdr>
    </w:div>
    <w:div w:id="974945775">
      <w:bodyDiv w:val="1"/>
      <w:marLeft w:val="0"/>
      <w:marRight w:val="0"/>
      <w:marTop w:val="0"/>
      <w:marBottom w:val="0"/>
      <w:divBdr>
        <w:top w:val="none" w:sz="0" w:space="0" w:color="auto"/>
        <w:left w:val="none" w:sz="0" w:space="0" w:color="auto"/>
        <w:bottom w:val="none" w:sz="0" w:space="0" w:color="auto"/>
        <w:right w:val="none" w:sz="0" w:space="0" w:color="auto"/>
      </w:divBdr>
    </w:div>
    <w:div w:id="1017583658">
      <w:bodyDiv w:val="1"/>
      <w:marLeft w:val="0"/>
      <w:marRight w:val="0"/>
      <w:marTop w:val="0"/>
      <w:marBottom w:val="0"/>
      <w:divBdr>
        <w:top w:val="none" w:sz="0" w:space="0" w:color="auto"/>
        <w:left w:val="none" w:sz="0" w:space="0" w:color="auto"/>
        <w:bottom w:val="none" w:sz="0" w:space="0" w:color="auto"/>
        <w:right w:val="none" w:sz="0" w:space="0" w:color="auto"/>
      </w:divBdr>
    </w:div>
    <w:div w:id="1030957330">
      <w:bodyDiv w:val="1"/>
      <w:marLeft w:val="0"/>
      <w:marRight w:val="0"/>
      <w:marTop w:val="0"/>
      <w:marBottom w:val="0"/>
      <w:divBdr>
        <w:top w:val="none" w:sz="0" w:space="0" w:color="auto"/>
        <w:left w:val="none" w:sz="0" w:space="0" w:color="auto"/>
        <w:bottom w:val="none" w:sz="0" w:space="0" w:color="auto"/>
        <w:right w:val="none" w:sz="0" w:space="0" w:color="auto"/>
      </w:divBdr>
    </w:div>
    <w:div w:id="1037313196">
      <w:bodyDiv w:val="1"/>
      <w:marLeft w:val="0"/>
      <w:marRight w:val="0"/>
      <w:marTop w:val="0"/>
      <w:marBottom w:val="0"/>
      <w:divBdr>
        <w:top w:val="none" w:sz="0" w:space="0" w:color="auto"/>
        <w:left w:val="none" w:sz="0" w:space="0" w:color="auto"/>
        <w:bottom w:val="none" w:sz="0" w:space="0" w:color="auto"/>
        <w:right w:val="none" w:sz="0" w:space="0" w:color="auto"/>
      </w:divBdr>
    </w:div>
    <w:div w:id="1046953069">
      <w:bodyDiv w:val="1"/>
      <w:marLeft w:val="0"/>
      <w:marRight w:val="0"/>
      <w:marTop w:val="0"/>
      <w:marBottom w:val="0"/>
      <w:divBdr>
        <w:top w:val="none" w:sz="0" w:space="0" w:color="auto"/>
        <w:left w:val="none" w:sz="0" w:space="0" w:color="auto"/>
        <w:bottom w:val="none" w:sz="0" w:space="0" w:color="auto"/>
        <w:right w:val="none" w:sz="0" w:space="0" w:color="auto"/>
      </w:divBdr>
    </w:div>
    <w:div w:id="1052002261">
      <w:bodyDiv w:val="1"/>
      <w:marLeft w:val="0"/>
      <w:marRight w:val="0"/>
      <w:marTop w:val="0"/>
      <w:marBottom w:val="0"/>
      <w:divBdr>
        <w:top w:val="none" w:sz="0" w:space="0" w:color="auto"/>
        <w:left w:val="none" w:sz="0" w:space="0" w:color="auto"/>
        <w:bottom w:val="none" w:sz="0" w:space="0" w:color="auto"/>
        <w:right w:val="none" w:sz="0" w:space="0" w:color="auto"/>
      </w:divBdr>
    </w:div>
    <w:div w:id="1074545697">
      <w:bodyDiv w:val="1"/>
      <w:marLeft w:val="0"/>
      <w:marRight w:val="0"/>
      <w:marTop w:val="0"/>
      <w:marBottom w:val="0"/>
      <w:divBdr>
        <w:top w:val="none" w:sz="0" w:space="0" w:color="auto"/>
        <w:left w:val="none" w:sz="0" w:space="0" w:color="auto"/>
        <w:bottom w:val="none" w:sz="0" w:space="0" w:color="auto"/>
        <w:right w:val="none" w:sz="0" w:space="0" w:color="auto"/>
      </w:divBdr>
    </w:div>
    <w:div w:id="1125124987">
      <w:bodyDiv w:val="1"/>
      <w:marLeft w:val="0"/>
      <w:marRight w:val="0"/>
      <w:marTop w:val="0"/>
      <w:marBottom w:val="0"/>
      <w:divBdr>
        <w:top w:val="none" w:sz="0" w:space="0" w:color="auto"/>
        <w:left w:val="none" w:sz="0" w:space="0" w:color="auto"/>
        <w:bottom w:val="none" w:sz="0" w:space="0" w:color="auto"/>
        <w:right w:val="none" w:sz="0" w:space="0" w:color="auto"/>
      </w:divBdr>
      <w:divsChild>
        <w:div w:id="726563744">
          <w:marLeft w:val="0"/>
          <w:marRight w:val="0"/>
          <w:marTop w:val="0"/>
          <w:marBottom w:val="0"/>
          <w:divBdr>
            <w:top w:val="none" w:sz="0" w:space="0" w:color="auto"/>
            <w:left w:val="none" w:sz="0" w:space="0" w:color="auto"/>
            <w:bottom w:val="none" w:sz="0" w:space="0" w:color="auto"/>
            <w:right w:val="none" w:sz="0" w:space="0" w:color="auto"/>
          </w:divBdr>
        </w:div>
        <w:div w:id="833453626">
          <w:marLeft w:val="0"/>
          <w:marRight w:val="0"/>
          <w:marTop w:val="0"/>
          <w:marBottom w:val="0"/>
          <w:divBdr>
            <w:top w:val="none" w:sz="0" w:space="0" w:color="auto"/>
            <w:left w:val="none" w:sz="0" w:space="0" w:color="auto"/>
            <w:bottom w:val="none" w:sz="0" w:space="0" w:color="auto"/>
            <w:right w:val="none" w:sz="0" w:space="0" w:color="auto"/>
          </w:divBdr>
        </w:div>
      </w:divsChild>
    </w:div>
    <w:div w:id="1174611965">
      <w:bodyDiv w:val="1"/>
      <w:marLeft w:val="0"/>
      <w:marRight w:val="0"/>
      <w:marTop w:val="0"/>
      <w:marBottom w:val="0"/>
      <w:divBdr>
        <w:top w:val="none" w:sz="0" w:space="0" w:color="auto"/>
        <w:left w:val="none" w:sz="0" w:space="0" w:color="auto"/>
        <w:bottom w:val="none" w:sz="0" w:space="0" w:color="auto"/>
        <w:right w:val="none" w:sz="0" w:space="0" w:color="auto"/>
      </w:divBdr>
      <w:divsChild>
        <w:div w:id="793138442">
          <w:marLeft w:val="0"/>
          <w:marRight w:val="0"/>
          <w:marTop w:val="0"/>
          <w:marBottom w:val="0"/>
          <w:divBdr>
            <w:top w:val="none" w:sz="0" w:space="0" w:color="auto"/>
            <w:left w:val="none" w:sz="0" w:space="0" w:color="auto"/>
            <w:bottom w:val="none" w:sz="0" w:space="0" w:color="auto"/>
            <w:right w:val="none" w:sz="0" w:space="0" w:color="auto"/>
          </w:divBdr>
        </w:div>
        <w:div w:id="1738284993">
          <w:marLeft w:val="0"/>
          <w:marRight w:val="0"/>
          <w:marTop w:val="0"/>
          <w:marBottom w:val="0"/>
          <w:divBdr>
            <w:top w:val="none" w:sz="0" w:space="0" w:color="auto"/>
            <w:left w:val="none" w:sz="0" w:space="0" w:color="auto"/>
            <w:bottom w:val="none" w:sz="0" w:space="0" w:color="auto"/>
            <w:right w:val="none" w:sz="0" w:space="0" w:color="auto"/>
          </w:divBdr>
          <w:divsChild>
            <w:div w:id="27054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234605">
      <w:bodyDiv w:val="1"/>
      <w:marLeft w:val="0"/>
      <w:marRight w:val="0"/>
      <w:marTop w:val="0"/>
      <w:marBottom w:val="0"/>
      <w:divBdr>
        <w:top w:val="none" w:sz="0" w:space="0" w:color="auto"/>
        <w:left w:val="none" w:sz="0" w:space="0" w:color="auto"/>
        <w:bottom w:val="none" w:sz="0" w:space="0" w:color="auto"/>
        <w:right w:val="none" w:sz="0" w:space="0" w:color="auto"/>
      </w:divBdr>
    </w:div>
    <w:div w:id="1383596892">
      <w:bodyDiv w:val="1"/>
      <w:marLeft w:val="0"/>
      <w:marRight w:val="0"/>
      <w:marTop w:val="0"/>
      <w:marBottom w:val="0"/>
      <w:divBdr>
        <w:top w:val="none" w:sz="0" w:space="0" w:color="auto"/>
        <w:left w:val="none" w:sz="0" w:space="0" w:color="auto"/>
        <w:bottom w:val="none" w:sz="0" w:space="0" w:color="auto"/>
        <w:right w:val="none" w:sz="0" w:space="0" w:color="auto"/>
      </w:divBdr>
    </w:div>
    <w:div w:id="1414544185">
      <w:bodyDiv w:val="1"/>
      <w:marLeft w:val="0"/>
      <w:marRight w:val="0"/>
      <w:marTop w:val="0"/>
      <w:marBottom w:val="0"/>
      <w:divBdr>
        <w:top w:val="none" w:sz="0" w:space="0" w:color="auto"/>
        <w:left w:val="none" w:sz="0" w:space="0" w:color="auto"/>
        <w:bottom w:val="none" w:sz="0" w:space="0" w:color="auto"/>
        <w:right w:val="none" w:sz="0" w:space="0" w:color="auto"/>
      </w:divBdr>
    </w:div>
    <w:div w:id="1451440844">
      <w:bodyDiv w:val="1"/>
      <w:marLeft w:val="0"/>
      <w:marRight w:val="0"/>
      <w:marTop w:val="0"/>
      <w:marBottom w:val="0"/>
      <w:divBdr>
        <w:top w:val="none" w:sz="0" w:space="0" w:color="auto"/>
        <w:left w:val="none" w:sz="0" w:space="0" w:color="auto"/>
        <w:bottom w:val="none" w:sz="0" w:space="0" w:color="auto"/>
        <w:right w:val="none" w:sz="0" w:space="0" w:color="auto"/>
      </w:divBdr>
    </w:div>
    <w:div w:id="1466855678">
      <w:bodyDiv w:val="1"/>
      <w:marLeft w:val="0"/>
      <w:marRight w:val="0"/>
      <w:marTop w:val="0"/>
      <w:marBottom w:val="0"/>
      <w:divBdr>
        <w:top w:val="none" w:sz="0" w:space="0" w:color="auto"/>
        <w:left w:val="none" w:sz="0" w:space="0" w:color="auto"/>
        <w:bottom w:val="none" w:sz="0" w:space="0" w:color="auto"/>
        <w:right w:val="none" w:sz="0" w:space="0" w:color="auto"/>
      </w:divBdr>
    </w:div>
    <w:div w:id="1505851455">
      <w:bodyDiv w:val="1"/>
      <w:marLeft w:val="0"/>
      <w:marRight w:val="0"/>
      <w:marTop w:val="0"/>
      <w:marBottom w:val="0"/>
      <w:divBdr>
        <w:top w:val="none" w:sz="0" w:space="0" w:color="auto"/>
        <w:left w:val="none" w:sz="0" w:space="0" w:color="auto"/>
        <w:bottom w:val="none" w:sz="0" w:space="0" w:color="auto"/>
        <w:right w:val="none" w:sz="0" w:space="0" w:color="auto"/>
      </w:divBdr>
    </w:div>
    <w:div w:id="1529368013">
      <w:bodyDiv w:val="1"/>
      <w:marLeft w:val="0"/>
      <w:marRight w:val="0"/>
      <w:marTop w:val="0"/>
      <w:marBottom w:val="0"/>
      <w:divBdr>
        <w:top w:val="none" w:sz="0" w:space="0" w:color="auto"/>
        <w:left w:val="none" w:sz="0" w:space="0" w:color="auto"/>
        <w:bottom w:val="none" w:sz="0" w:space="0" w:color="auto"/>
        <w:right w:val="none" w:sz="0" w:space="0" w:color="auto"/>
      </w:divBdr>
    </w:div>
    <w:div w:id="1663510826">
      <w:bodyDiv w:val="1"/>
      <w:marLeft w:val="0"/>
      <w:marRight w:val="0"/>
      <w:marTop w:val="0"/>
      <w:marBottom w:val="0"/>
      <w:divBdr>
        <w:top w:val="none" w:sz="0" w:space="0" w:color="auto"/>
        <w:left w:val="none" w:sz="0" w:space="0" w:color="auto"/>
        <w:bottom w:val="none" w:sz="0" w:space="0" w:color="auto"/>
        <w:right w:val="none" w:sz="0" w:space="0" w:color="auto"/>
      </w:divBdr>
    </w:div>
    <w:div w:id="1677541290">
      <w:bodyDiv w:val="1"/>
      <w:marLeft w:val="0"/>
      <w:marRight w:val="0"/>
      <w:marTop w:val="0"/>
      <w:marBottom w:val="0"/>
      <w:divBdr>
        <w:top w:val="none" w:sz="0" w:space="0" w:color="auto"/>
        <w:left w:val="none" w:sz="0" w:space="0" w:color="auto"/>
        <w:bottom w:val="none" w:sz="0" w:space="0" w:color="auto"/>
        <w:right w:val="none" w:sz="0" w:space="0" w:color="auto"/>
      </w:divBdr>
    </w:div>
    <w:div w:id="1687244910">
      <w:bodyDiv w:val="1"/>
      <w:marLeft w:val="0"/>
      <w:marRight w:val="0"/>
      <w:marTop w:val="0"/>
      <w:marBottom w:val="0"/>
      <w:divBdr>
        <w:top w:val="none" w:sz="0" w:space="0" w:color="auto"/>
        <w:left w:val="none" w:sz="0" w:space="0" w:color="auto"/>
        <w:bottom w:val="none" w:sz="0" w:space="0" w:color="auto"/>
        <w:right w:val="none" w:sz="0" w:space="0" w:color="auto"/>
      </w:divBdr>
    </w:div>
    <w:div w:id="1711952723">
      <w:bodyDiv w:val="1"/>
      <w:marLeft w:val="0"/>
      <w:marRight w:val="0"/>
      <w:marTop w:val="0"/>
      <w:marBottom w:val="0"/>
      <w:divBdr>
        <w:top w:val="none" w:sz="0" w:space="0" w:color="auto"/>
        <w:left w:val="none" w:sz="0" w:space="0" w:color="auto"/>
        <w:bottom w:val="none" w:sz="0" w:space="0" w:color="auto"/>
        <w:right w:val="none" w:sz="0" w:space="0" w:color="auto"/>
      </w:divBdr>
    </w:div>
    <w:div w:id="1752963405">
      <w:bodyDiv w:val="1"/>
      <w:marLeft w:val="0"/>
      <w:marRight w:val="0"/>
      <w:marTop w:val="0"/>
      <w:marBottom w:val="0"/>
      <w:divBdr>
        <w:top w:val="none" w:sz="0" w:space="0" w:color="auto"/>
        <w:left w:val="none" w:sz="0" w:space="0" w:color="auto"/>
        <w:bottom w:val="none" w:sz="0" w:space="0" w:color="auto"/>
        <w:right w:val="none" w:sz="0" w:space="0" w:color="auto"/>
      </w:divBdr>
      <w:divsChild>
        <w:div w:id="1599949602">
          <w:marLeft w:val="0"/>
          <w:marRight w:val="0"/>
          <w:marTop w:val="0"/>
          <w:marBottom w:val="0"/>
          <w:divBdr>
            <w:top w:val="none" w:sz="0" w:space="0" w:color="auto"/>
            <w:left w:val="none" w:sz="0" w:space="0" w:color="auto"/>
            <w:bottom w:val="none" w:sz="0" w:space="0" w:color="auto"/>
            <w:right w:val="none" w:sz="0" w:space="0" w:color="auto"/>
          </w:divBdr>
        </w:div>
      </w:divsChild>
    </w:div>
    <w:div w:id="1811899797">
      <w:bodyDiv w:val="1"/>
      <w:marLeft w:val="0"/>
      <w:marRight w:val="0"/>
      <w:marTop w:val="0"/>
      <w:marBottom w:val="0"/>
      <w:divBdr>
        <w:top w:val="none" w:sz="0" w:space="0" w:color="auto"/>
        <w:left w:val="none" w:sz="0" w:space="0" w:color="auto"/>
        <w:bottom w:val="none" w:sz="0" w:space="0" w:color="auto"/>
        <w:right w:val="none" w:sz="0" w:space="0" w:color="auto"/>
      </w:divBdr>
    </w:div>
    <w:div w:id="1861704751">
      <w:bodyDiv w:val="1"/>
      <w:marLeft w:val="0"/>
      <w:marRight w:val="0"/>
      <w:marTop w:val="0"/>
      <w:marBottom w:val="0"/>
      <w:divBdr>
        <w:top w:val="none" w:sz="0" w:space="0" w:color="auto"/>
        <w:left w:val="none" w:sz="0" w:space="0" w:color="auto"/>
        <w:bottom w:val="none" w:sz="0" w:space="0" w:color="auto"/>
        <w:right w:val="none" w:sz="0" w:space="0" w:color="auto"/>
      </w:divBdr>
    </w:div>
    <w:div w:id="1942491124">
      <w:bodyDiv w:val="1"/>
      <w:marLeft w:val="0"/>
      <w:marRight w:val="0"/>
      <w:marTop w:val="0"/>
      <w:marBottom w:val="0"/>
      <w:divBdr>
        <w:top w:val="none" w:sz="0" w:space="0" w:color="auto"/>
        <w:left w:val="none" w:sz="0" w:space="0" w:color="auto"/>
        <w:bottom w:val="none" w:sz="0" w:space="0" w:color="auto"/>
        <w:right w:val="none" w:sz="0" w:space="0" w:color="auto"/>
      </w:divBdr>
    </w:div>
    <w:div w:id="1971202495">
      <w:bodyDiv w:val="1"/>
      <w:marLeft w:val="0"/>
      <w:marRight w:val="0"/>
      <w:marTop w:val="0"/>
      <w:marBottom w:val="0"/>
      <w:divBdr>
        <w:top w:val="none" w:sz="0" w:space="0" w:color="auto"/>
        <w:left w:val="none" w:sz="0" w:space="0" w:color="auto"/>
        <w:bottom w:val="none" w:sz="0" w:space="0" w:color="auto"/>
        <w:right w:val="none" w:sz="0" w:space="0" w:color="auto"/>
      </w:divBdr>
    </w:div>
    <w:div w:id="2070885800">
      <w:bodyDiv w:val="1"/>
      <w:marLeft w:val="0"/>
      <w:marRight w:val="0"/>
      <w:marTop w:val="0"/>
      <w:marBottom w:val="0"/>
      <w:divBdr>
        <w:top w:val="none" w:sz="0" w:space="0" w:color="auto"/>
        <w:left w:val="none" w:sz="0" w:space="0" w:color="auto"/>
        <w:bottom w:val="none" w:sz="0" w:space="0" w:color="auto"/>
        <w:right w:val="none" w:sz="0" w:space="0" w:color="auto"/>
      </w:divBdr>
    </w:div>
    <w:div w:id="2072263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emf"/><Relationship Id="rId25" Type="http://schemas.openxmlformats.org/officeDocument/2006/relationships/image" Target="media/image13.tif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tiff"/><Relationship Id="rId5" Type="http://schemas.openxmlformats.org/officeDocument/2006/relationships/webSettings" Target="webSettings.xml"/><Relationship Id="rId15" Type="http://schemas.openxmlformats.org/officeDocument/2006/relationships/image" Target="media/image8.emf"/><Relationship Id="rId23" Type="http://schemas.microsoft.com/office/2007/relationships/diagramDrawing" Target="diagrams/drawing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diagramColors" Target="diagrams/colors1.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www.standard.no/en/sectors/energi-og-klima/petroleum/norsok-standard-categories/s-safety-she/" TargetMode="External"/><Relationship Id="rId1" Type="http://schemas.openxmlformats.org/officeDocument/2006/relationships/hyperlink" Target="https://www.cast-safety.org/apex/f?p=102:1:14493125834281::NO::P1_X:histor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MTCD\Template%20for%20preparation%20of%20TECDOC%20publication.dotm"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E315C1-E7C3-4020-B911-B1134ECF1F97}" type="doc">
      <dgm:prSet loTypeId="urn:microsoft.com/office/officeart/2005/8/layout/cycle4" loCatId="cycle" qsTypeId="urn:microsoft.com/office/officeart/2005/8/quickstyle/simple1" qsCatId="simple" csTypeId="urn:microsoft.com/office/officeart/2005/8/colors/colorful1" csCatId="colorful" phldr="1"/>
      <dgm:spPr/>
      <dgm:t>
        <a:bodyPr/>
        <a:lstStyle/>
        <a:p>
          <a:endParaRPr lang="sk-SK"/>
        </a:p>
      </dgm:t>
    </dgm:pt>
    <dgm:pt modelId="{35F81507-133D-4420-AEFC-C50854D7A650}">
      <dgm:prSet phldrT="[Text]"/>
      <dgm:spPr/>
      <dgm:t>
        <a:bodyPr/>
        <a:lstStyle/>
        <a:p>
          <a:r>
            <a:rPr lang="sk-SK" b="1" dirty="0"/>
            <a:t>AWARENESS</a:t>
          </a:r>
        </a:p>
      </dgm:t>
    </dgm:pt>
    <dgm:pt modelId="{604E4A9F-A661-4575-A6A0-F4608486E2B5}" type="parTrans" cxnId="{7B36B885-C98E-448C-9325-AC2970ACEF03}">
      <dgm:prSet/>
      <dgm:spPr/>
      <dgm:t>
        <a:bodyPr/>
        <a:lstStyle/>
        <a:p>
          <a:endParaRPr lang="sk-SK"/>
        </a:p>
      </dgm:t>
    </dgm:pt>
    <dgm:pt modelId="{1BAC5FA6-23AA-471E-AEC2-D6A24DD6B69D}" type="sibTrans" cxnId="{7B36B885-C98E-448C-9325-AC2970ACEF03}">
      <dgm:prSet/>
      <dgm:spPr/>
      <dgm:t>
        <a:bodyPr/>
        <a:lstStyle/>
        <a:p>
          <a:endParaRPr lang="sk-SK"/>
        </a:p>
      </dgm:t>
    </dgm:pt>
    <dgm:pt modelId="{B400B5C9-7B89-4540-86AD-7C3DB1C59C14}">
      <dgm:prSet phldrT="[Text]" custT="1"/>
      <dgm:spPr/>
      <dgm:t>
        <a:bodyPr/>
        <a:lstStyle/>
        <a:p>
          <a:r>
            <a:rPr lang="sk-SK" sz="900" b="0" dirty="0">
              <a:solidFill>
                <a:schemeClr val="accent1"/>
              </a:solidFill>
            </a:rPr>
            <a:t>Which channel public get news</a:t>
          </a:r>
        </a:p>
      </dgm:t>
    </dgm:pt>
    <dgm:pt modelId="{B8C7C25D-15C4-431D-A2F6-4E15F1F45080}" type="parTrans" cxnId="{22E0C2F2-F196-4E68-B338-B2009F99AE69}">
      <dgm:prSet/>
      <dgm:spPr/>
      <dgm:t>
        <a:bodyPr/>
        <a:lstStyle/>
        <a:p>
          <a:endParaRPr lang="sk-SK"/>
        </a:p>
      </dgm:t>
    </dgm:pt>
    <dgm:pt modelId="{9EEA0E08-F368-4D80-9A66-04D9D95C92E1}" type="sibTrans" cxnId="{22E0C2F2-F196-4E68-B338-B2009F99AE69}">
      <dgm:prSet/>
      <dgm:spPr/>
      <dgm:t>
        <a:bodyPr/>
        <a:lstStyle/>
        <a:p>
          <a:endParaRPr lang="sk-SK"/>
        </a:p>
      </dgm:t>
    </dgm:pt>
    <dgm:pt modelId="{767F50D1-01F3-410A-8926-422CFB013502}">
      <dgm:prSet phldrT="[Text]"/>
      <dgm:spPr/>
      <dgm:t>
        <a:bodyPr/>
        <a:lstStyle/>
        <a:p>
          <a:r>
            <a:rPr lang="sk-SK" b="1" dirty="0"/>
            <a:t>KNOWLEDGE</a:t>
          </a:r>
        </a:p>
      </dgm:t>
    </dgm:pt>
    <dgm:pt modelId="{29D222CC-10D6-4545-822D-474B8123B649}" type="parTrans" cxnId="{3C3AC42A-7681-43FC-A4D6-40387937A75C}">
      <dgm:prSet/>
      <dgm:spPr/>
      <dgm:t>
        <a:bodyPr/>
        <a:lstStyle/>
        <a:p>
          <a:endParaRPr lang="sk-SK"/>
        </a:p>
      </dgm:t>
    </dgm:pt>
    <dgm:pt modelId="{B39AC0A0-EB63-406F-83BD-038E53DF415C}" type="sibTrans" cxnId="{3C3AC42A-7681-43FC-A4D6-40387937A75C}">
      <dgm:prSet/>
      <dgm:spPr/>
      <dgm:t>
        <a:bodyPr/>
        <a:lstStyle/>
        <a:p>
          <a:endParaRPr lang="sk-SK"/>
        </a:p>
      </dgm:t>
    </dgm:pt>
    <dgm:pt modelId="{DDBF0967-7FE8-4EF0-9B90-681B0B27560D}">
      <dgm:prSet phldrT="[Text]" custT="1"/>
      <dgm:spPr/>
      <dgm:t>
        <a:bodyPr/>
        <a:lstStyle/>
        <a:p>
          <a:r>
            <a:rPr lang="sk-SK" sz="900" b="0" dirty="0" err="1">
              <a:solidFill>
                <a:schemeClr val="accent1"/>
              </a:solidFill>
            </a:rPr>
            <a:t>Level of knowledge about nuclear </a:t>
          </a:r>
          <a:endParaRPr lang="sk-SK" sz="900" b="0" dirty="0">
            <a:solidFill>
              <a:schemeClr val="accent1"/>
            </a:solidFill>
          </a:endParaRPr>
        </a:p>
      </dgm:t>
    </dgm:pt>
    <dgm:pt modelId="{8280C7D3-E655-49B4-86F6-F139B342ACC7}" type="parTrans" cxnId="{26DD8CE1-EDE9-47D5-BBDA-6A1A2D5DE0FB}">
      <dgm:prSet/>
      <dgm:spPr/>
      <dgm:t>
        <a:bodyPr/>
        <a:lstStyle/>
        <a:p>
          <a:endParaRPr lang="sk-SK"/>
        </a:p>
      </dgm:t>
    </dgm:pt>
    <dgm:pt modelId="{65C9E6E5-81DC-4EB9-8C28-AD973BBCB11D}" type="sibTrans" cxnId="{26DD8CE1-EDE9-47D5-BBDA-6A1A2D5DE0FB}">
      <dgm:prSet/>
      <dgm:spPr/>
      <dgm:t>
        <a:bodyPr/>
        <a:lstStyle/>
        <a:p>
          <a:endParaRPr lang="sk-SK"/>
        </a:p>
      </dgm:t>
    </dgm:pt>
    <dgm:pt modelId="{2A0635AC-778D-424B-A2C0-BDEF5470197A}">
      <dgm:prSet phldrT="[Text]"/>
      <dgm:spPr/>
      <dgm:t>
        <a:bodyPr/>
        <a:lstStyle/>
        <a:p>
          <a:r>
            <a:rPr lang="sk-SK" b="1" dirty="0"/>
            <a:t>PERCEPTION</a:t>
          </a:r>
        </a:p>
      </dgm:t>
    </dgm:pt>
    <dgm:pt modelId="{96E85458-8F36-482C-A80A-F25C892896E9}" type="parTrans" cxnId="{57883860-A44C-4783-B23C-372C2AFD062C}">
      <dgm:prSet/>
      <dgm:spPr/>
      <dgm:t>
        <a:bodyPr/>
        <a:lstStyle/>
        <a:p>
          <a:endParaRPr lang="sk-SK"/>
        </a:p>
      </dgm:t>
    </dgm:pt>
    <dgm:pt modelId="{AEC2CCCD-90BE-4865-9EB5-9E968F12BD02}" type="sibTrans" cxnId="{57883860-A44C-4783-B23C-372C2AFD062C}">
      <dgm:prSet/>
      <dgm:spPr/>
      <dgm:t>
        <a:bodyPr/>
        <a:lstStyle/>
        <a:p>
          <a:endParaRPr lang="sk-SK"/>
        </a:p>
      </dgm:t>
    </dgm:pt>
    <dgm:pt modelId="{47226C37-40A0-4644-B270-8C9278E67D37}">
      <dgm:prSet phldrT="[Text]" custT="1"/>
      <dgm:spPr/>
      <dgm:t>
        <a:bodyPr/>
        <a:lstStyle/>
        <a:p>
          <a:pPr marL="0" indent="0"/>
          <a:r>
            <a:rPr lang="sk-SK" sz="900" b="1" dirty="0" err="1">
              <a:solidFill>
                <a:schemeClr val="accent1"/>
              </a:solidFill>
            </a:rPr>
            <a:t>Trust to organization</a:t>
          </a:r>
          <a:endParaRPr lang="sk-SK" sz="900" b="1" dirty="0">
            <a:solidFill>
              <a:schemeClr val="accent1"/>
            </a:solidFill>
          </a:endParaRPr>
        </a:p>
      </dgm:t>
    </dgm:pt>
    <dgm:pt modelId="{C2D6F458-8952-405B-BEDD-79C82965DB67}" type="parTrans" cxnId="{417D6359-D3DE-4895-9333-A48547A93A7D}">
      <dgm:prSet/>
      <dgm:spPr/>
      <dgm:t>
        <a:bodyPr/>
        <a:lstStyle/>
        <a:p>
          <a:endParaRPr lang="sk-SK"/>
        </a:p>
      </dgm:t>
    </dgm:pt>
    <dgm:pt modelId="{07E00902-48D3-4D9E-BBAF-D26E60CDACEC}" type="sibTrans" cxnId="{417D6359-D3DE-4895-9333-A48547A93A7D}">
      <dgm:prSet/>
      <dgm:spPr/>
      <dgm:t>
        <a:bodyPr/>
        <a:lstStyle/>
        <a:p>
          <a:endParaRPr lang="sk-SK"/>
        </a:p>
      </dgm:t>
    </dgm:pt>
    <dgm:pt modelId="{9B93CCEF-68D3-440E-B3CF-1D2E8EDFF11D}">
      <dgm:prSet phldrT="[Text]"/>
      <dgm:spPr/>
      <dgm:t>
        <a:bodyPr/>
        <a:lstStyle/>
        <a:p>
          <a:r>
            <a:rPr lang="sk-SK" b="1" dirty="0"/>
            <a:t>POINT </a:t>
          </a:r>
          <a:br>
            <a:rPr lang="sk-SK" b="1" dirty="0"/>
          </a:br>
          <a:r>
            <a:rPr lang="sk-SK" b="1" dirty="0"/>
            <a:t>OF VIEW</a:t>
          </a:r>
        </a:p>
      </dgm:t>
    </dgm:pt>
    <dgm:pt modelId="{A2550C7C-11AE-4409-89B3-76772C893D68}" type="parTrans" cxnId="{9343026F-4BE5-4C52-84A4-1A2084A5A0A1}">
      <dgm:prSet/>
      <dgm:spPr/>
      <dgm:t>
        <a:bodyPr/>
        <a:lstStyle/>
        <a:p>
          <a:endParaRPr lang="sk-SK"/>
        </a:p>
      </dgm:t>
    </dgm:pt>
    <dgm:pt modelId="{EBD5E162-4EAE-4296-BDC4-854B7796E2BD}" type="sibTrans" cxnId="{9343026F-4BE5-4C52-84A4-1A2084A5A0A1}">
      <dgm:prSet/>
      <dgm:spPr/>
      <dgm:t>
        <a:bodyPr/>
        <a:lstStyle/>
        <a:p>
          <a:endParaRPr lang="sk-SK"/>
        </a:p>
      </dgm:t>
    </dgm:pt>
    <dgm:pt modelId="{EF4575BD-F3AC-4666-946B-7BD89DAFFA53}">
      <dgm:prSet phldrT="[Text]" custT="1"/>
      <dgm:spPr/>
      <dgm:t>
        <a:bodyPr/>
        <a:lstStyle/>
        <a:p>
          <a:r>
            <a:rPr lang="sk-SK" sz="900" b="0" dirty="0">
              <a:solidFill>
                <a:schemeClr val="accent1"/>
              </a:solidFill>
            </a:rPr>
            <a:t>How support nuclear</a:t>
          </a:r>
        </a:p>
      </dgm:t>
    </dgm:pt>
    <dgm:pt modelId="{FE199B7A-1647-4733-8D10-9B3E5F26ADB6}" type="parTrans" cxnId="{AFEBDC35-401A-40A8-8022-68D8CD81C01C}">
      <dgm:prSet/>
      <dgm:spPr/>
      <dgm:t>
        <a:bodyPr/>
        <a:lstStyle/>
        <a:p>
          <a:endParaRPr lang="sk-SK"/>
        </a:p>
      </dgm:t>
    </dgm:pt>
    <dgm:pt modelId="{6AE80AEB-E302-4EC0-B34A-51A3A7D2ECFD}" type="sibTrans" cxnId="{AFEBDC35-401A-40A8-8022-68D8CD81C01C}">
      <dgm:prSet/>
      <dgm:spPr/>
      <dgm:t>
        <a:bodyPr/>
        <a:lstStyle/>
        <a:p>
          <a:endParaRPr lang="sk-SK"/>
        </a:p>
      </dgm:t>
    </dgm:pt>
    <dgm:pt modelId="{83B26939-0DD8-47B4-8858-C8F1BB991D8A}" type="pres">
      <dgm:prSet presAssocID="{82E315C1-E7C3-4020-B911-B1134ECF1F97}" presName="cycleMatrixDiagram" presStyleCnt="0">
        <dgm:presLayoutVars>
          <dgm:chMax val="1"/>
          <dgm:dir/>
          <dgm:animLvl val="lvl"/>
          <dgm:resizeHandles val="exact"/>
        </dgm:presLayoutVars>
      </dgm:prSet>
      <dgm:spPr/>
    </dgm:pt>
    <dgm:pt modelId="{D1FEAA0D-6E03-4BE9-B1F1-B13AC65B3CBB}" type="pres">
      <dgm:prSet presAssocID="{82E315C1-E7C3-4020-B911-B1134ECF1F97}" presName="children" presStyleCnt="0"/>
      <dgm:spPr/>
    </dgm:pt>
    <dgm:pt modelId="{446417B6-D6D1-4515-80F2-02ABD95E1CA7}" type="pres">
      <dgm:prSet presAssocID="{82E315C1-E7C3-4020-B911-B1134ECF1F97}" presName="child1group" presStyleCnt="0"/>
      <dgm:spPr/>
    </dgm:pt>
    <dgm:pt modelId="{2EAD67AF-56C2-499E-9894-686E90CA717D}" type="pres">
      <dgm:prSet presAssocID="{82E315C1-E7C3-4020-B911-B1134ECF1F97}" presName="child1" presStyleLbl="bgAcc1" presStyleIdx="0" presStyleCnt="4" custScaleX="71572" custScaleY="80442" custLinFactNeighborX="-35053" custLinFactNeighborY="8369"/>
      <dgm:spPr/>
    </dgm:pt>
    <dgm:pt modelId="{89536493-0CB3-47AE-84DF-D718BB455151}" type="pres">
      <dgm:prSet presAssocID="{82E315C1-E7C3-4020-B911-B1134ECF1F97}" presName="child1Text" presStyleLbl="bgAcc1" presStyleIdx="0" presStyleCnt="4">
        <dgm:presLayoutVars>
          <dgm:bulletEnabled val="1"/>
        </dgm:presLayoutVars>
      </dgm:prSet>
      <dgm:spPr/>
    </dgm:pt>
    <dgm:pt modelId="{833D1053-7360-4A54-8E5D-97422BDD1B9B}" type="pres">
      <dgm:prSet presAssocID="{82E315C1-E7C3-4020-B911-B1134ECF1F97}" presName="child2group" presStyleCnt="0"/>
      <dgm:spPr/>
    </dgm:pt>
    <dgm:pt modelId="{1D5C8144-29AE-437F-B984-18F3E3AD17C2}" type="pres">
      <dgm:prSet presAssocID="{82E315C1-E7C3-4020-B911-B1134ECF1F97}" presName="child2" presStyleLbl="bgAcc1" presStyleIdx="1" presStyleCnt="4" custScaleX="74454" custScaleY="71925" custLinFactNeighborX="42741" custLinFactNeighborY="12851"/>
      <dgm:spPr/>
    </dgm:pt>
    <dgm:pt modelId="{38630FB9-82A8-4E30-9579-1BC7F7CE0BC9}" type="pres">
      <dgm:prSet presAssocID="{82E315C1-E7C3-4020-B911-B1134ECF1F97}" presName="child2Text" presStyleLbl="bgAcc1" presStyleIdx="1" presStyleCnt="4">
        <dgm:presLayoutVars>
          <dgm:bulletEnabled val="1"/>
        </dgm:presLayoutVars>
      </dgm:prSet>
      <dgm:spPr/>
    </dgm:pt>
    <dgm:pt modelId="{BD0B13EA-5827-4A9D-848A-4F1EF708B7A9}" type="pres">
      <dgm:prSet presAssocID="{82E315C1-E7C3-4020-B911-B1134ECF1F97}" presName="child3group" presStyleCnt="0"/>
      <dgm:spPr/>
    </dgm:pt>
    <dgm:pt modelId="{1D38BDD7-AA79-40B6-A2F9-0143385D2528}" type="pres">
      <dgm:prSet presAssocID="{82E315C1-E7C3-4020-B911-B1134ECF1F97}" presName="child3" presStyleLbl="bgAcc1" presStyleIdx="2" presStyleCnt="4" custScaleX="74718" custScaleY="61179" custLinFactNeighborX="36803" custLinFactNeighborY="-6722"/>
      <dgm:spPr/>
    </dgm:pt>
    <dgm:pt modelId="{88357B77-D90E-4ECE-9223-4CA748DD6130}" type="pres">
      <dgm:prSet presAssocID="{82E315C1-E7C3-4020-B911-B1134ECF1F97}" presName="child3Text" presStyleLbl="bgAcc1" presStyleIdx="2" presStyleCnt="4">
        <dgm:presLayoutVars>
          <dgm:bulletEnabled val="1"/>
        </dgm:presLayoutVars>
      </dgm:prSet>
      <dgm:spPr/>
    </dgm:pt>
    <dgm:pt modelId="{44ED1601-B5C7-4BD0-9AA1-CBF6557C07F9}" type="pres">
      <dgm:prSet presAssocID="{82E315C1-E7C3-4020-B911-B1134ECF1F97}" presName="child4group" presStyleCnt="0"/>
      <dgm:spPr/>
    </dgm:pt>
    <dgm:pt modelId="{970B591B-25EF-4F16-AC28-CDE1DFDBF445}" type="pres">
      <dgm:prSet presAssocID="{82E315C1-E7C3-4020-B911-B1134ECF1F97}" presName="child4" presStyleLbl="bgAcc1" presStyleIdx="3" presStyleCnt="4" custScaleX="70804" custScaleY="71460" custLinFactNeighborX="-36846" custLinFactNeighborY="-9424"/>
      <dgm:spPr/>
    </dgm:pt>
    <dgm:pt modelId="{3C7A5A70-C99A-47F7-B536-FA1FA29C841F}" type="pres">
      <dgm:prSet presAssocID="{82E315C1-E7C3-4020-B911-B1134ECF1F97}" presName="child4Text" presStyleLbl="bgAcc1" presStyleIdx="3" presStyleCnt="4">
        <dgm:presLayoutVars>
          <dgm:bulletEnabled val="1"/>
        </dgm:presLayoutVars>
      </dgm:prSet>
      <dgm:spPr/>
    </dgm:pt>
    <dgm:pt modelId="{EBC8F706-49B2-4531-8182-97FF92EAC4D3}" type="pres">
      <dgm:prSet presAssocID="{82E315C1-E7C3-4020-B911-B1134ECF1F97}" presName="childPlaceholder" presStyleCnt="0"/>
      <dgm:spPr/>
    </dgm:pt>
    <dgm:pt modelId="{7C945289-9082-4DD0-8DBA-A7C059AB3445}" type="pres">
      <dgm:prSet presAssocID="{82E315C1-E7C3-4020-B911-B1134ECF1F97}" presName="circle" presStyleCnt="0"/>
      <dgm:spPr/>
    </dgm:pt>
    <dgm:pt modelId="{478F8D0D-7397-4661-B015-93B27BA15DA6}" type="pres">
      <dgm:prSet presAssocID="{82E315C1-E7C3-4020-B911-B1134ECF1F97}" presName="quadrant1" presStyleLbl="node1" presStyleIdx="0" presStyleCnt="4">
        <dgm:presLayoutVars>
          <dgm:chMax val="1"/>
          <dgm:bulletEnabled val="1"/>
        </dgm:presLayoutVars>
      </dgm:prSet>
      <dgm:spPr/>
    </dgm:pt>
    <dgm:pt modelId="{1E19CA1C-16C9-4E51-9F66-12D50F4693F3}" type="pres">
      <dgm:prSet presAssocID="{82E315C1-E7C3-4020-B911-B1134ECF1F97}" presName="quadrant2" presStyleLbl="node1" presStyleIdx="1" presStyleCnt="4">
        <dgm:presLayoutVars>
          <dgm:chMax val="1"/>
          <dgm:bulletEnabled val="1"/>
        </dgm:presLayoutVars>
      </dgm:prSet>
      <dgm:spPr/>
    </dgm:pt>
    <dgm:pt modelId="{B5F3EBBA-995F-42F1-8B1B-E02B72D71FD5}" type="pres">
      <dgm:prSet presAssocID="{82E315C1-E7C3-4020-B911-B1134ECF1F97}" presName="quadrant3" presStyleLbl="node1" presStyleIdx="2" presStyleCnt="4">
        <dgm:presLayoutVars>
          <dgm:chMax val="1"/>
          <dgm:bulletEnabled val="1"/>
        </dgm:presLayoutVars>
      </dgm:prSet>
      <dgm:spPr/>
    </dgm:pt>
    <dgm:pt modelId="{6E206A50-1362-49AD-ADA2-1AFF64C329B4}" type="pres">
      <dgm:prSet presAssocID="{82E315C1-E7C3-4020-B911-B1134ECF1F97}" presName="quadrant4" presStyleLbl="node1" presStyleIdx="3" presStyleCnt="4">
        <dgm:presLayoutVars>
          <dgm:chMax val="1"/>
          <dgm:bulletEnabled val="1"/>
        </dgm:presLayoutVars>
      </dgm:prSet>
      <dgm:spPr/>
    </dgm:pt>
    <dgm:pt modelId="{88125BC5-1DF8-4ED9-9781-757C238982B2}" type="pres">
      <dgm:prSet presAssocID="{82E315C1-E7C3-4020-B911-B1134ECF1F97}" presName="quadrantPlaceholder" presStyleCnt="0"/>
      <dgm:spPr/>
    </dgm:pt>
    <dgm:pt modelId="{EE32CAEA-4B51-4DC6-875D-B460A4E4396D}" type="pres">
      <dgm:prSet presAssocID="{82E315C1-E7C3-4020-B911-B1134ECF1F97}" presName="center1" presStyleLbl="fgShp" presStyleIdx="0" presStyleCnt="2"/>
      <dgm:spPr/>
    </dgm:pt>
    <dgm:pt modelId="{ACCFD003-BD12-4D62-B2E2-967B41A8A0B4}" type="pres">
      <dgm:prSet presAssocID="{82E315C1-E7C3-4020-B911-B1134ECF1F97}" presName="center2" presStyleLbl="fgShp" presStyleIdx="1" presStyleCnt="2"/>
      <dgm:spPr/>
    </dgm:pt>
  </dgm:ptLst>
  <dgm:cxnLst>
    <dgm:cxn modelId="{8BA5650E-5201-46F8-B028-43108B5933DB}" type="presOf" srcId="{767F50D1-01F3-410A-8926-422CFB013502}" destId="{1E19CA1C-16C9-4E51-9F66-12D50F4693F3}" srcOrd="0" destOrd="0" presId="urn:microsoft.com/office/officeart/2005/8/layout/cycle4"/>
    <dgm:cxn modelId="{3C3AC42A-7681-43FC-A4D6-40387937A75C}" srcId="{82E315C1-E7C3-4020-B911-B1134ECF1F97}" destId="{767F50D1-01F3-410A-8926-422CFB013502}" srcOrd="1" destOrd="0" parTransId="{29D222CC-10D6-4545-822D-474B8123B649}" sibTransId="{B39AC0A0-EB63-406F-83BD-038E53DF415C}"/>
    <dgm:cxn modelId="{9BB0822C-10AB-48B9-928C-54A002EAA921}" type="presOf" srcId="{EF4575BD-F3AC-4666-946B-7BD89DAFFA53}" destId="{970B591B-25EF-4F16-AC28-CDE1DFDBF445}" srcOrd="0" destOrd="0" presId="urn:microsoft.com/office/officeart/2005/8/layout/cycle4"/>
    <dgm:cxn modelId="{73EC1F2F-D3FD-4B65-A43C-A7AA627A3F21}" type="presOf" srcId="{B400B5C9-7B89-4540-86AD-7C3DB1C59C14}" destId="{89536493-0CB3-47AE-84DF-D718BB455151}" srcOrd="1" destOrd="0" presId="urn:microsoft.com/office/officeart/2005/8/layout/cycle4"/>
    <dgm:cxn modelId="{AFEBDC35-401A-40A8-8022-68D8CD81C01C}" srcId="{9B93CCEF-68D3-440E-B3CF-1D2E8EDFF11D}" destId="{EF4575BD-F3AC-4666-946B-7BD89DAFFA53}" srcOrd="0" destOrd="0" parTransId="{FE199B7A-1647-4733-8D10-9B3E5F26ADB6}" sibTransId="{6AE80AEB-E302-4EC0-B34A-51A3A7D2ECFD}"/>
    <dgm:cxn modelId="{4691395C-CD75-45CC-A05D-9769A8907836}" type="presOf" srcId="{35F81507-133D-4420-AEFC-C50854D7A650}" destId="{478F8D0D-7397-4661-B015-93B27BA15DA6}" srcOrd="0" destOrd="0" presId="urn:microsoft.com/office/officeart/2005/8/layout/cycle4"/>
    <dgm:cxn modelId="{57883860-A44C-4783-B23C-372C2AFD062C}" srcId="{82E315C1-E7C3-4020-B911-B1134ECF1F97}" destId="{2A0635AC-778D-424B-A2C0-BDEF5470197A}" srcOrd="2" destOrd="0" parTransId="{96E85458-8F36-482C-A80A-F25C892896E9}" sibTransId="{AEC2CCCD-90BE-4865-9EB5-9E968F12BD02}"/>
    <dgm:cxn modelId="{4DE1BB45-8BE4-4E46-8DB6-140748238BFB}" type="presOf" srcId="{DDBF0967-7FE8-4EF0-9B90-681B0B27560D}" destId="{1D5C8144-29AE-437F-B984-18F3E3AD17C2}" srcOrd="0" destOrd="0" presId="urn:microsoft.com/office/officeart/2005/8/layout/cycle4"/>
    <dgm:cxn modelId="{C7AEE06A-6FDE-4A29-BCE6-1D9D113021F8}" type="presOf" srcId="{47226C37-40A0-4644-B270-8C9278E67D37}" destId="{88357B77-D90E-4ECE-9223-4CA748DD6130}" srcOrd="1" destOrd="0" presId="urn:microsoft.com/office/officeart/2005/8/layout/cycle4"/>
    <dgm:cxn modelId="{6655774D-A673-41A3-9B87-8A6CF6382144}" type="presOf" srcId="{2A0635AC-778D-424B-A2C0-BDEF5470197A}" destId="{B5F3EBBA-995F-42F1-8B1B-E02B72D71FD5}" srcOrd="0" destOrd="0" presId="urn:microsoft.com/office/officeart/2005/8/layout/cycle4"/>
    <dgm:cxn modelId="{9343026F-4BE5-4C52-84A4-1A2084A5A0A1}" srcId="{82E315C1-E7C3-4020-B911-B1134ECF1F97}" destId="{9B93CCEF-68D3-440E-B3CF-1D2E8EDFF11D}" srcOrd="3" destOrd="0" parTransId="{A2550C7C-11AE-4409-89B3-76772C893D68}" sibTransId="{EBD5E162-4EAE-4296-BDC4-854B7796E2BD}"/>
    <dgm:cxn modelId="{2AAA1F79-F81E-4664-BAD0-B92F2037653C}" type="presOf" srcId="{9B93CCEF-68D3-440E-B3CF-1D2E8EDFF11D}" destId="{6E206A50-1362-49AD-ADA2-1AFF64C329B4}" srcOrd="0" destOrd="0" presId="urn:microsoft.com/office/officeart/2005/8/layout/cycle4"/>
    <dgm:cxn modelId="{417D6359-D3DE-4895-9333-A48547A93A7D}" srcId="{2A0635AC-778D-424B-A2C0-BDEF5470197A}" destId="{47226C37-40A0-4644-B270-8C9278E67D37}" srcOrd="0" destOrd="0" parTransId="{C2D6F458-8952-405B-BEDD-79C82965DB67}" sibTransId="{07E00902-48D3-4D9E-BBAF-D26E60CDACEC}"/>
    <dgm:cxn modelId="{7B36B885-C98E-448C-9325-AC2970ACEF03}" srcId="{82E315C1-E7C3-4020-B911-B1134ECF1F97}" destId="{35F81507-133D-4420-AEFC-C50854D7A650}" srcOrd="0" destOrd="0" parTransId="{604E4A9F-A661-4575-A6A0-F4608486E2B5}" sibTransId="{1BAC5FA6-23AA-471E-AEC2-D6A24DD6B69D}"/>
    <dgm:cxn modelId="{7EBE6A89-73CC-47EF-8AB0-51DE2064EA8A}" type="presOf" srcId="{EF4575BD-F3AC-4666-946B-7BD89DAFFA53}" destId="{3C7A5A70-C99A-47F7-B536-FA1FA29C841F}" srcOrd="1" destOrd="0" presId="urn:microsoft.com/office/officeart/2005/8/layout/cycle4"/>
    <dgm:cxn modelId="{F149E6A0-CA1A-4815-A316-58C99A356AF6}" type="presOf" srcId="{B400B5C9-7B89-4540-86AD-7C3DB1C59C14}" destId="{2EAD67AF-56C2-499E-9894-686E90CA717D}" srcOrd="0" destOrd="0" presId="urn:microsoft.com/office/officeart/2005/8/layout/cycle4"/>
    <dgm:cxn modelId="{5485D3A2-B225-45A9-A82F-B488F47363AC}" type="presOf" srcId="{47226C37-40A0-4644-B270-8C9278E67D37}" destId="{1D38BDD7-AA79-40B6-A2F9-0143385D2528}" srcOrd="0" destOrd="0" presId="urn:microsoft.com/office/officeart/2005/8/layout/cycle4"/>
    <dgm:cxn modelId="{EBED49BC-B8F7-460F-8650-FDD3B1E3AC84}" type="presOf" srcId="{82E315C1-E7C3-4020-B911-B1134ECF1F97}" destId="{83B26939-0DD8-47B4-8858-C8F1BB991D8A}" srcOrd="0" destOrd="0" presId="urn:microsoft.com/office/officeart/2005/8/layout/cycle4"/>
    <dgm:cxn modelId="{26DD8CE1-EDE9-47D5-BBDA-6A1A2D5DE0FB}" srcId="{767F50D1-01F3-410A-8926-422CFB013502}" destId="{DDBF0967-7FE8-4EF0-9B90-681B0B27560D}" srcOrd="0" destOrd="0" parTransId="{8280C7D3-E655-49B4-86F6-F139B342ACC7}" sibTransId="{65C9E6E5-81DC-4EB9-8C28-AD973BBCB11D}"/>
    <dgm:cxn modelId="{338C4DF2-BB00-48F7-BDF9-A44AC3FB6F46}" type="presOf" srcId="{DDBF0967-7FE8-4EF0-9B90-681B0B27560D}" destId="{38630FB9-82A8-4E30-9579-1BC7F7CE0BC9}" srcOrd="1" destOrd="0" presId="urn:microsoft.com/office/officeart/2005/8/layout/cycle4"/>
    <dgm:cxn modelId="{22E0C2F2-F196-4E68-B338-B2009F99AE69}" srcId="{35F81507-133D-4420-AEFC-C50854D7A650}" destId="{B400B5C9-7B89-4540-86AD-7C3DB1C59C14}" srcOrd="0" destOrd="0" parTransId="{B8C7C25D-15C4-431D-A2F6-4E15F1F45080}" sibTransId="{9EEA0E08-F368-4D80-9A66-04D9D95C92E1}"/>
    <dgm:cxn modelId="{984EDEC1-5262-4109-9886-034370918CD3}" type="presParOf" srcId="{83B26939-0DD8-47B4-8858-C8F1BB991D8A}" destId="{D1FEAA0D-6E03-4BE9-B1F1-B13AC65B3CBB}" srcOrd="0" destOrd="0" presId="urn:microsoft.com/office/officeart/2005/8/layout/cycle4"/>
    <dgm:cxn modelId="{655B2C43-9DEF-4CE1-AC7B-BCF024A482FC}" type="presParOf" srcId="{D1FEAA0D-6E03-4BE9-B1F1-B13AC65B3CBB}" destId="{446417B6-D6D1-4515-80F2-02ABD95E1CA7}" srcOrd="0" destOrd="0" presId="urn:microsoft.com/office/officeart/2005/8/layout/cycle4"/>
    <dgm:cxn modelId="{20167805-094A-4C8E-A9B9-5F8BEAF80B0F}" type="presParOf" srcId="{446417B6-D6D1-4515-80F2-02ABD95E1CA7}" destId="{2EAD67AF-56C2-499E-9894-686E90CA717D}" srcOrd="0" destOrd="0" presId="urn:microsoft.com/office/officeart/2005/8/layout/cycle4"/>
    <dgm:cxn modelId="{C09E2329-8AA6-4AB6-8F6E-7458E8E6BF15}" type="presParOf" srcId="{446417B6-D6D1-4515-80F2-02ABD95E1CA7}" destId="{89536493-0CB3-47AE-84DF-D718BB455151}" srcOrd="1" destOrd="0" presId="urn:microsoft.com/office/officeart/2005/8/layout/cycle4"/>
    <dgm:cxn modelId="{72175B4A-14A8-46FB-9901-52F1DA4FAC5B}" type="presParOf" srcId="{D1FEAA0D-6E03-4BE9-B1F1-B13AC65B3CBB}" destId="{833D1053-7360-4A54-8E5D-97422BDD1B9B}" srcOrd="1" destOrd="0" presId="urn:microsoft.com/office/officeart/2005/8/layout/cycle4"/>
    <dgm:cxn modelId="{3D8E3FDD-37FB-41E1-888C-D10F92A66939}" type="presParOf" srcId="{833D1053-7360-4A54-8E5D-97422BDD1B9B}" destId="{1D5C8144-29AE-437F-B984-18F3E3AD17C2}" srcOrd="0" destOrd="0" presId="urn:microsoft.com/office/officeart/2005/8/layout/cycle4"/>
    <dgm:cxn modelId="{97FD9DB8-C9C6-4AD6-9928-2D82E105A353}" type="presParOf" srcId="{833D1053-7360-4A54-8E5D-97422BDD1B9B}" destId="{38630FB9-82A8-4E30-9579-1BC7F7CE0BC9}" srcOrd="1" destOrd="0" presId="urn:microsoft.com/office/officeart/2005/8/layout/cycle4"/>
    <dgm:cxn modelId="{B5D3CFCC-3EE5-456B-B1CA-20682233E3DA}" type="presParOf" srcId="{D1FEAA0D-6E03-4BE9-B1F1-B13AC65B3CBB}" destId="{BD0B13EA-5827-4A9D-848A-4F1EF708B7A9}" srcOrd="2" destOrd="0" presId="urn:microsoft.com/office/officeart/2005/8/layout/cycle4"/>
    <dgm:cxn modelId="{C9AF052B-AF57-4877-B60F-F6E2321A44AC}" type="presParOf" srcId="{BD0B13EA-5827-4A9D-848A-4F1EF708B7A9}" destId="{1D38BDD7-AA79-40B6-A2F9-0143385D2528}" srcOrd="0" destOrd="0" presId="urn:microsoft.com/office/officeart/2005/8/layout/cycle4"/>
    <dgm:cxn modelId="{0CBFE873-9F46-42D3-9DF2-E66901A9D737}" type="presParOf" srcId="{BD0B13EA-5827-4A9D-848A-4F1EF708B7A9}" destId="{88357B77-D90E-4ECE-9223-4CA748DD6130}" srcOrd="1" destOrd="0" presId="urn:microsoft.com/office/officeart/2005/8/layout/cycle4"/>
    <dgm:cxn modelId="{583DE1CA-C5F3-4678-8C69-6E13CBCD03EB}" type="presParOf" srcId="{D1FEAA0D-6E03-4BE9-B1F1-B13AC65B3CBB}" destId="{44ED1601-B5C7-4BD0-9AA1-CBF6557C07F9}" srcOrd="3" destOrd="0" presId="urn:microsoft.com/office/officeart/2005/8/layout/cycle4"/>
    <dgm:cxn modelId="{4CF4F76A-0CDA-4E33-9DEB-B57F4D2E9EFA}" type="presParOf" srcId="{44ED1601-B5C7-4BD0-9AA1-CBF6557C07F9}" destId="{970B591B-25EF-4F16-AC28-CDE1DFDBF445}" srcOrd="0" destOrd="0" presId="urn:microsoft.com/office/officeart/2005/8/layout/cycle4"/>
    <dgm:cxn modelId="{C4FC16C4-E5D4-4EFA-9372-E41B0941A82F}" type="presParOf" srcId="{44ED1601-B5C7-4BD0-9AA1-CBF6557C07F9}" destId="{3C7A5A70-C99A-47F7-B536-FA1FA29C841F}" srcOrd="1" destOrd="0" presId="urn:microsoft.com/office/officeart/2005/8/layout/cycle4"/>
    <dgm:cxn modelId="{7008C9B1-132E-423A-BC5B-677971252273}" type="presParOf" srcId="{D1FEAA0D-6E03-4BE9-B1F1-B13AC65B3CBB}" destId="{EBC8F706-49B2-4531-8182-97FF92EAC4D3}" srcOrd="4" destOrd="0" presId="urn:microsoft.com/office/officeart/2005/8/layout/cycle4"/>
    <dgm:cxn modelId="{8FDFE278-9CBB-440B-80C4-215281663358}" type="presParOf" srcId="{83B26939-0DD8-47B4-8858-C8F1BB991D8A}" destId="{7C945289-9082-4DD0-8DBA-A7C059AB3445}" srcOrd="1" destOrd="0" presId="urn:microsoft.com/office/officeart/2005/8/layout/cycle4"/>
    <dgm:cxn modelId="{F91A3D95-1091-43AF-B8DE-9F0A674F1ADF}" type="presParOf" srcId="{7C945289-9082-4DD0-8DBA-A7C059AB3445}" destId="{478F8D0D-7397-4661-B015-93B27BA15DA6}" srcOrd="0" destOrd="0" presId="urn:microsoft.com/office/officeart/2005/8/layout/cycle4"/>
    <dgm:cxn modelId="{FD241379-C0F0-4AF0-8EE7-37226B47C130}" type="presParOf" srcId="{7C945289-9082-4DD0-8DBA-A7C059AB3445}" destId="{1E19CA1C-16C9-4E51-9F66-12D50F4693F3}" srcOrd="1" destOrd="0" presId="urn:microsoft.com/office/officeart/2005/8/layout/cycle4"/>
    <dgm:cxn modelId="{556169C9-8AF1-4E05-B417-F17478D02756}" type="presParOf" srcId="{7C945289-9082-4DD0-8DBA-A7C059AB3445}" destId="{B5F3EBBA-995F-42F1-8B1B-E02B72D71FD5}" srcOrd="2" destOrd="0" presId="urn:microsoft.com/office/officeart/2005/8/layout/cycle4"/>
    <dgm:cxn modelId="{42C158AC-0F7C-4131-87FD-F07A933DDCEA}" type="presParOf" srcId="{7C945289-9082-4DD0-8DBA-A7C059AB3445}" destId="{6E206A50-1362-49AD-ADA2-1AFF64C329B4}" srcOrd="3" destOrd="0" presId="urn:microsoft.com/office/officeart/2005/8/layout/cycle4"/>
    <dgm:cxn modelId="{ED807929-4BD6-4CF2-9945-BE2704F570DD}" type="presParOf" srcId="{7C945289-9082-4DD0-8DBA-A7C059AB3445}" destId="{88125BC5-1DF8-4ED9-9781-757C238982B2}" srcOrd="4" destOrd="0" presId="urn:microsoft.com/office/officeart/2005/8/layout/cycle4"/>
    <dgm:cxn modelId="{263E9888-47E3-4DD1-B2A6-9623896C3AC4}" type="presParOf" srcId="{83B26939-0DD8-47B4-8858-C8F1BB991D8A}" destId="{EE32CAEA-4B51-4DC6-875D-B460A4E4396D}" srcOrd="2" destOrd="0" presId="urn:microsoft.com/office/officeart/2005/8/layout/cycle4"/>
    <dgm:cxn modelId="{142FEC6F-37D4-4B78-950F-3297C2CF84C2}" type="presParOf" srcId="{83B26939-0DD8-47B4-8858-C8F1BB991D8A}" destId="{ACCFD003-BD12-4D62-B2E2-967B41A8A0B4}" srcOrd="3" destOrd="0" presId="urn:microsoft.com/office/officeart/2005/8/layout/cycle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38BDD7-AA79-40B6-A2F9-0143385D2528}">
      <dsp:nvSpPr>
        <dsp:cNvPr id="0" name=""/>
        <dsp:cNvSpPr/>
      </dsp:nvSpPr>
      <dsp:spPr>
        <a:xfrm>
          <a:off x="3315119" y="1914527"/>
          <a:ext cx="980658" cy="520137"/>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1" indent="0" algn="l" defTabSz="400050">
            <a:lnSpc>
              <a:spcPct val="90000"/>
            </a:lnSpc>
            <a:spcBef>
              <a:spcPct val="0"/>
            </a:spcBef>
            <a:spcAft>
              <a:spcPct val="15000"/>
            </a:spcAft>
            <a:buChar char="•"/>
          </a:pPr>
          <a:r>
            <a:rPr lang="sk-SK" sz="900" b="1" kern="1200" dirty="0" err="1">
              <a:solidFill>
                <a:schemeClr val="accent1"/>
              </a:solidFill>
            </a:rPr>
            <a:t>Trust to organization</a:t>
          </a:r>
          <a:endParaRPr lang="sk-SK" sz="900" b="1" kern="1200" dirty="0">
            <a:solidFill>
              <a:schemeClr val="accent1"/>
            </a:solidFill>
          </a:endParaRPr>
        </a:p>
      </dsp:txBody>
      <dsp:txXfrm>
        <a:off x="3620742" y="2055987"/>
        <a:ext cx="663608" cy="367250"/>
      </dsp:txXfrm>
    </dsp:sp>
    <dsp:sp modelId="{970B591B-25EF-4F16-AC28-CDE1DFDBF445}">
      <dsp:nvSpPr>
        <dsp:cNvPr id="0" name=""/>
        <dsp:cNvSpPr/>
      </dsp:nvSpPr>
      <dsp:spPr>
        <a:xfrm>
          <a:off x="232763" y="1847851"/>
          <a:ext cx="929287" cy="607544"/>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sk-SK" sz="900" b="0" kern="1200" dirty="0">
              <a:solidFill>
                <a:schemeClr val="accent1"/>
              </a:solidFill>
            </a:rPr>
            <a:t>How support nuclear</a:t>
          </a:r>
        </a:p>
      </dsp:txBody>
      <dsp:txXfrm>
        <a:off x="246109" y="2013083"/>
        <a:ext cx="623809" cy="428966"/>
      </dsp:txXfrm>
    </dsp:sp>
    <dsp:sp modelId="{1D5C8144-29AE-437F-B984-18F3E3AD17C2}">
      <dsp:nvSpPr>
        <dsp:cNvPr id="0" name=""/>
        <dsp:cNvSpPr/>
      </dsp:nvSpPr>
      <dsp:spPr>
        <a:xfrm>
          <a:off x="3394786" y="228603"/>
          <a:ext cx="977193" cy="611498"/>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sk-SK" sz="900" b="0" kern="1200" dirty="0" err="1">
              <a:solidFill>
                <a:schemeClr val="accent1"/>
              </a:solidFill>
            </a:rPr>
            <a:t>Level of knowledge about nuclear </a:t>
          </a:r>
          <a:endParaRPr lang="sk-SK" sz="900" b="0" kern="1200" dirty="0">
            <a:solidFill>
              <a:schemeClr val="accent1"/>
            </a:solidFill>
          </a:endParaRPr>
        </a:p>
      </dsp:txBody>
      <dsp:txXfrm>
        <a:off x="3701377" y="242036"/>
        <a:ext cx="657169" cy="431757"/>
      </dsp:txXfrm>
    </dsp:sp>
    <dsp:sp modelId="{2EAD67AF-56C2-499E-9894-686E90CA717D}">
      <dsp:nvSpPr>
        <dsp:cNvPr id="0" name=""/>
        <dsp:cNvSpPr/>
      </dsp:nvSpPr>
      <dsp:spPr>
        <a:xfrm>
          <a:off x="251256" y="154292"/>
          <a:ext cx="939367" cy="683908"/>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sk-SK" sz="900" b="0" kern="1200" dirty="0">
              <a:solidFill>
                <a:schemeClr val="accent1"/>
              </a:solidFill>
            </a:rPr>
            <a:t>Which channel public get news</a:t>
          </a:r>
        </a:p>
      </dsp:txBody>
      <dsp:txXfrm>
        <a:off x="266279" y="169315"/>
        <a:ext cx="627511" cy="482885"/>
      </dsp:txXfrm>
    </dsp:sp>
    <dsp:sp modelId="{478F8D0D-7397-4661-B015-93B27BA15DA6}">
      <dsp:nvSpPr>
        <dsp:cNvPr id="0" name=""/>
        <dsp:cNvSpPr/>
      </dsp:nvSpPr>
      <dsp:spPr>
        <a:xfrm>
          <a:off x="1074729" y="151439"/>
          <a:ext cx="1150411" cy="1150411"/>
        </a:xfrm>
        <a:prstGeom prst="pieWedg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sk-SK" sz="900" b="1" kern="1200" dirty="0"/>
            <a:t>AWARENESS</a:t>
          </a:r>
        </a:p>
      </dsp:txBody>
      <dsp:txXfrm>
        <a:off x="1411677" y="488387"/>
        <a:ext cx="813463" cy="813463"/>
      </dsp:txXfrm>
    </dsp:sp>
    <dsp:sp modelId="{1E19CA1C-16C9-4E51-9F66-12D50F4693F3}">
      <dsp:nvSpPr>
        <dsp:cNvPr id="0" name=""/>
        <dsp:cNvSpPr/>
      </dsp:nvSpPr>
      <dsp:spPr>
        <a:xfrm rot="5400000">
          <a:off x="2278278" y="151439"/>
          <a:ext cx="1150411" cy="1150411"/>
        </a:xfrm>
        <a:prstGeom prst="pieWedg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sk-SK" sz="900" b="1" kern="1200" dirty="0"/>
            <a:t>KNOWLEDGE</a:t>
          </a:r>
        </a:p>
      </dsp:txBody>
      <dsp:txXfrm rot="-5400000">
        <a:off x="2278278" y="488387"/>
        <a:ext cx="813463" cy="813463"/>
      </dsp:txXfrm>
    </dsp:sp>
    <dsp:sp modelId="{B5F3EBBA-995F-42F1-8B1B-E02B72D71FD5}">
      <dsp:nvSpPr>
        <dsp:cNvPr id="0" name=""/>
        <dsp:cNvSpPr/>
      </dsp:nvSpPr>
      <dsp:spPr>
        <a:xfrm rot="10800000">
          <a:off x="2278278" y="1354988"/>
          <a:ext cx="1150411" cy="1150411"/>
        </a:xfrm>
        <a:prstGeom prst="pieWedg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sk-SK" sz="900" b="1" kern="1200" dirty="0"/>
            <a:t>PERCEPTION</a:t>
          </a:r>
        </a:p>
      </dsp:txBody>
      <dsp:txXfrm rot="10800000">
        <a:off x="2278278" y="1354988"/>
        <a:ext cx="813463" cy="813463"/>
      </dsp:txXfrm>
    </dsp:sp>
    <dsp:sp modelId="{6E206A50-1362-49AD-ADA2-1AFF64C329B4}">
      <dsp:nvSpPr>
        <dsp:cNvPr id="0" name=""/>
        <dsp:cNvSpPr/>
      </dsp:nvSpPr>
      <dsp:spPr>
        <a:xfrm rot="16200000">
          <a:off x="1074729" y="1354988"/>
          <a:ext cx="1150411" cy="1150411"/>
        </a:xfrm>
        <a:prstGeom prst="pieWedg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sk-SK" sz="900" b="1" kern="1200" dirty="0"/>
            <a:t>POINT </a:t>
          </a:r>
          <a:br>
            <a:rPr lang="sk-SK" sz="900" b="1" kern="1200" dirty="0"/>
          </a:br>
          <a:r>
            <a:rPr lang="sk-SK" sz="900" b="1" kern="1200" dirty="0"/>
            <a:t>OF VIEW</a:t>
          </a:r>
        </a:p>
      </dsp:txBody>
      <dsp:txXfrm rot="5400000">
        <a:off x="1411677" y="1354988"/>
        <a:ext cx="813463" cy="813463"/>
      </dsp:txXfrm>
    </dsp:sp>
    <dsp:sp modelId="{EE32CAEA-4B51-4DC6-875D-B460A4E4396D}">
      <dsp:nvSpPr>
        <dsp:cNvPr id="0" name=""/>
        <dsp:cNvSpPr/>
      </dsp:nvSpPr>
      <dsp:spPr>
        <a:xfrm>
          <a:off x="2053111" y="1089304"/>
          <a:ext cx="397197" cy="345389"/>
        </a:xfrm>
        <a:prstGeom prst="circularArrow">
          <a:avLst/>
        </a:prstGeom>
        <a:solidFill>
          <a:schemeClr val="accent2">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CCFD003-BD12-4D62-B2E2-967B41A8A0B4}">
      <dsp:nvSpPr>
        <dsp:cNvPr id="0" name=""/>
        <dsp:cNvSpPr/>
      </dsp:nvSpPr>
      <dsp:spPr>
        <a:xfrm rot="10800000">
          <a:off x="2053111" y="1222146"/>
          <a:ext cx="397197" cy="345389"/>
        </a:xfrm>
        <a:prstGeom prst="circularArrow">
          <a:avLst/>
        </a:prstGeom>
        <a:solidFill>
          <a:schemeClr val="accent2">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FF37AA4-5F41-0B44-9104-D21972976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for preparation of TECDOC publication.dotm</Template>
  <TotalTime>1044</TotalTime>
  <Pages>59</Pages>
  <Words>29502</Words>
  <Characters>168162</Characters>
  <Application>Microsoft Office Word</Application>
  <DocSecurity>0</DocSecurity>
  <Lines>1401</Lines>
  <Paragraphs>394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197270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FORTOVA, Anna</dc:creator>
  <cp:keywords/>
  <dc:description/>
  <cp:lastModifiedBy>KAWANO, Akira</cp:lastModifiedBy>
  <cp:revision>421</cp:revision>
  <cp:lastPrinted>2021-11-12T15:39:00Z</cp:lastPrinted>
  <dcterms:created xsi:type="dcterms:W3CDTF">2021-11-02T13:11:00Z</dcterms:created>
  <dcterms:modified xsi:type="dcterms:W3CDTF">2021-11-23T12:08:00Z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zotero-version="5.0.89"&gt;&lt;session id="tqA4CAes"/&gt;&lt;style id="http://www.zotero.org/styles/international-atomic-energy-agency" hasBibliography="1" bibliographyStyleHasBeenSet="1"/&gt;&lt;prefs&gt;&lt;pref name="fieldType" value="Field"/&gt;&lt;/prefs&gt;&lt;/</vt:lpwstr>
  </property>
  <property fmtid="{D5CDD505-2E9C-101B-9397-08002B2CF9AE}" pid="3" name="ZOTERO_PREF_2">
    <vt:lpwstr>data&gt;</vt:lpwstr>
  </property>
</Properties>
</file>