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4F249" w14:textId="77777777" w:rsidR="007341B5" w:rsidRDefault="007341B5" w:rsidP="007341B5">
      <w:pPr>
        <w:rPr>
          <w:rFonts w:eastAsia="SimSun"/>
          <w:b/>
          <w:u w:val="single"/>
          <w:lang w:eastAsia="zh-CN"/>
        </w:rPr>
      </w:pPr>
      <w:r w:rsidRPr="007074F5">
        <w:rPr>
          <w:rFonts w:eastAsia="SimSun"/>
          <w:b/>
          <w:u w:val="single"/>
          <w:lang w:eastAsia="zh-CN"/>
        </w:rPr>
        <w:t>Events classified as Significant this month: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439FF" w:rsidRPr="002F6C66" w14:paraId="5E9EACA1" w14:textId="77777777" w:rsidTr="00EE13CE">
        <w:trPr>
          <w:trHeight w:val="450"/>
        </w:trPr>
        <w:tc>
          <w:tcPr>
            <w:tcW w:w="212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E75A78" w14:textId="39BFC809" w:rsidR="00A439FF" w:rsidRPr="002F6C66" w:rsidRDefault="002739D4" w:rsidP="00A43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0" w:history="1">
              <w:r w:rsidR="00A439FF">
                <w:rPr>
                  <w:rStyle w:val="Hyperlink"/>
                  <w:rFonts w:ascii="Arial" w:hAnsi="Arial" w:cs="Arial"/>
                  <w:b/>
                  <w:bCs/>
                  <w:color w:val="00008B"/>
                  <w:sz w:val="16"/>
                  <w:szCs w:val="16"/>
                </w:rPr>
                <w:t>WER PAR 17-0297</w:t>
              </w:r>
            </w:hyperlink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869212" w14:textId="31FBE7DA" w:rsidR="00A439FF" w:rsidRPr="002F6C66" w:rsidRDefault="00A439FF" w:rsidP="00A43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#PRELIMINARY# Worker Internally Contaminated</w:t>
            </w:r>
          </w:p>
        </w:tc>
      </w:tr>
      <w:tr w:rsidR="00EE13CE" w:rsidRPr="00EE13CE" w14:paraId="783B32B3" w14:textId="77777777" w:rsidTr="00EE13CE">
        <w:trPr>
          <w:trHeight w:val="450"/>
        </w:trPr>
        <w:tc>
          <w:tcPr>
            <w:tcW w:w="212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078AFA" w14:textId="76208641" w:rsidR="00EE13CE" w:rsidRPr="00EE13CE" w:rsidRDefault="002739D4" w:rsidP="00EE13CE">
            <w:pPr>
              <w:spacing w:after="0" w:line="240" w:lineRule="auto"/>
              <w:rPr>
                <w:rFonts w:ascii="Arial" w:hAnsi="Arial" w:cs="Arial"/>
                <w:b/>
                <w:bCs/>
                <w:color w:val="00008B"/>
                <w:sz w:val="16"/>
                <w:szCs w:val="16"/>
              </w:rPr>
            </w:pPr>
            <w:hyperlink r:id="rId11" w:history="1">
              <w:r w:rsidR="00EE13CE" w:rsidRPr="00EE13C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PAR 17-0291</w:t>
              </w:r>
            </w:hyperlink>
            <w:r w:rsidR="00EE13CE">
              <w:rPr>
                <w:rFonts w:ascii="Arial" w:hAnsi="Arial" w:cs="Arial"/>
                <w:b/>
                <w:bCs/>
                <w:color w:val="00008B"/>
                <w:sz w:val="16"/>
                <w:szCs w:val="16"/>
              </w:rPr>
              <w:t xml:space="preserve"> **</w:t>
            </w:r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6B4B78" w14:textId="77777777" w:rsidR="00EE13CE" w:rsidRPr="00EE13CE" w:rsidRDefault="00EE13CE" w:rsidP="00EE13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3CE">
              <w:rPr>
                <w:rFonts w:ascii="Arial" w:hAnsi="Arial" w:cs="Arial"/>
                <w:color w:val="000000"/>
                <w:sz w:val="16"/>
                <w:szCs w:val="16"/>
              </w:rPr>
              <w:t>Inoperability of both trains of the Residual Heat Removal System due to loss of power caused loss of core cooling for 4 minutes</w:t>
            </w:r>
          </w:p>
        </w:tc>
      </w:tr>
      <w:tr w:rsidR="00EE13CE" w:rsidRPr="00EE13CE" w14:paraId="173CAB6E" w14:textId="77777777" w:rsidTr="00EE13CE">
        <w:trPr>
          <w:trHeight w:val="450"/>
        </w:trPr>
        <w:tc>
          <w:tcPr>
            <w:tcW w:w="212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1503C0" w14:textId="5A4F4466" w:rsidR="00EE13CE" w:rsidRPr="00EE13CE" w:rsidRDefault="002739D4" w:rsidP="00EE13CE">
            <w:pPr>
              <w:spacing w:after="0" w:line="240" w:lineRule="auto"/>
              <w:rPr>
                <w:rFonts w:ascii="Arial" w:hAnsi="Arial" w:cs="Arial"/>
                <w:b/>
                <w:bCs/>
                <w:color w:val="00008B"/>
                <w:sz w:val="16"/>
                <w:szCs w:val="16"/>
              </w:rPr>
            </w:pPr>
            <w:hyperlink r:id="rId12" w:history="1">
              <w:r w:rsidR="00EE13CE" w:rsidRPr="00AB2C2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PAR 17-0173</w:t>
              </w:r>
            </w:hyperlink>
            <w:r w:rsidR="00AB2C2F" w:rsidRPr="00AB2C2F">
              <w:rPr>
                <w:color w:val="00008B"/>
              </w:rPr>
              <w:t xml:space="preserve"> </w:t>
            </w:r>
            <w:r w:rsidR="00EE13CE" w:rsidRPr="00EE13CE">
              <w:rPr>
                <w:rFonts w:ascii="Arial" w:hAnsi="Arial" w:cs="Arial"/>
                <w:b/>
                <w:bCs/>
                <w:color w:val="00008B"/>
                <w:sz w:val="16"/>
                <w:szCs w:val="16"/>
              </w:rPr>
              <w:t>**</w:t>
            </w:r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3DA701" w14:textId="77777777" w:rsidR="00EE13CE" w:rsidRPr="00EE13CE" w:rsidRDefault="00EE13CE" w:rsidP="00EE13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3CE">
              <w:rPr>
                <w:rFonts w:ascii="Arial" w:hAnsi="Arial" w:cs="Arial"/>
                <w:color w:val="000000"/>
                <w:sz w:val="16"/>
                <w:szCs w:val="16"/>
              </w:rPr>
              <w:t>Start-Up of Emergency Generators A and B due to degraded voltage in buses 6A and 7A for more than 70 seconds</w:t>
            </w:r>
          </w:p>
        </w:tc>
      </w:tr>
      <w:tr w:rsidR="00EE13CE" w:rsidRPr="00EE13CE" w14:paraId="45DE2439" w14:textId="77777777" w:rsidTr="00EE13CE">
        <w:trPr>
          <w:trHeight w:val="450"/>
        </w:trPr>
        <w:tc>
          <w:tcPr>
            <w:tcW w:w="212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895B2E" w14:textId="18BFD68B" w:rsidR="00EE13CE" w:rsidRPr="00EE13CE" w:rsidRDefault="002739D4" w:rsidP="00EE13CE">
            <w:pPr>
              <w:spacing w:after="0" w:line="240" w:lineRule="auto"/>
              <w:rPr>
                <w:rFonts w:ascii="Arial" w:hAnsi="Arial" w:cs="Arial"/>
                <w:b/>
                <w:bCs/>
                <w:color w:val="00008B"/>
                <w:sz w:val="16"/>
                <w:szCs w:val="16"/>
              </w:rPr>
            </w:pPr>
            <w:hyperlink r:id="rId13" w:history="1">
              <w:r w:rsidR="00EE13CE" w:rsidRPr="00EE13C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PAR 17-0096</w:t>
              </w:r>
            </w:hyperlink>
            <w:r w:rsidR="00EE13CE">
              <w:rPr>
                <w:rFonts w:ascii="Arial" w:hAnsi="Arial" w:cs="Arial"/>
                <w:b/>
                <w:bCs/>
                <w:color w:val="00008B"/>
                <w:sz w:val="16"/>
                <w:szCs w:val="16"/>
              </w:rPr>
              <w:t xml:space="preserve"> **</w:t>
            </w:r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7B9A5F" w14:textId="77777777" w:rsidR="00EE13CE" w:rsidRPr="00EE13CE" w:rsidRDefault="00EE13CE" w:rsidP="00EE13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3CE">
              <w:rPr>
                <w:rFonts w:ascii="Arial" w:hAnsi="Arial" w:cs="Arial"/>
                <w:color w:val="000000"/>
                <w:sz w:val="16"/>
                <w:szCs w:val="16"/>
              </w:rPr>
              <w:t xml:space="preserve">Extensive deterioration of different generator components leading </w:t>
            </w:r>
            <w:proofErr w:type="spellStart"/>
            <w:r w:rsidRPr="00EE13CE">
              <w:rPr>
                <w:rFonts w:ascii="Arial" w:hAnsi="Arial" w:cs="Arial"/>
                <w:color w:val="000000"/>
                <w:sz w:val="16"/>
                <w:szCs w:val="16"/>
              </w:rPr>
              <w:t>toTurbine</w:t>
            </w:r>
            <w:proofErr w:type="spellEnd"/>
            <w:r w:rsidRPr="00EE13CE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 without automatic reactor scram</w:t>
            </w:r>
          </w:p>
        </w:tc>
      </w:tr>
    </w:tbl>
    <w:p w14:paraId="36DFF42A" w14:textId="59CD89A3" w:rsidR="00AD7B83" w:rsidRPr="00FA0EC5" w:rsidRDefault="00AD7B83" w:rsidP="00AD7B83">
      <w:pPr>
        <w:tabs>
          <w:tab w:val="left" w:pos="3315"/>
        </w:tabs>
        <w:spacing w:before="120"/>
        <w:outlineLvl w:val="0"/>
        <w:rPr>
          <w:sz w:val="18"/>
        </w:rPr>
      </w:pPr>
      <w:r w:rsidRPr="00FA0EC5">
        <w:rPr>
          <w:b/>
          <w:sz w:val="18"/>
        </w:rPr>
        <w:t xml:space="preserve">Notes: </w:t>
      </w:r>
      <w:r w:rsidRPr="00FA0EC5">
        <w:rPr>
          <w:sz w:val="18"/>
        </w:rPr>
        <w:t xml:space="preserve">** indicates that WERs were </w:t>
      </w:r>
      <w:proofErr w:type="spellStart"/>
      <w:r w:rsidRPr="00FA0EC5">
        <w:rPr>
          <w:sz w:val="18"/>
        </w:rPr>
        <w:t>reclassififed</w:t>
      </w:r>
      <w:proofErr w:type="spellEnd"/>
      <w:r w:rsidRPr="00FA0EC5">
        <w:rPr>
          <w:sz w:val="18"/>
        </w:rPr>
        <w:t xml:space="preserve"> as Signifi</w:t>
      </w:r>
      <w:r w:rsidR="00AB2C2F" w:rsidRPr="00FA0EC5">
        <w:rPr>
          <w:sz w:val="18"/>
        </w:rPr>
        <w:t>c</w:t>
      </w:r>
      <w:r w:rsidRPr="00FA0EC5">
        <w:rPr>
          <w:sz w:val="18"/>
        </w:rPr>
        <w:t xml:space="preserve">ant during the current month. </w:t>
      </w:r>
      <w:r w:rsidRPr="00FA0EC5">
        <w:rPr>
          <w:b/>
          <w:sz w:val="18"/>
        </w:rPr>
        <w:t xml:space="preserve"> </w:t>
      </w:r>
    </w:p>
    <w:p w14:paraId="0D3ED433" w14:textId="3E5F6332" w:rsidR="00224443" w:rsidRDefault="007341B5" w:rsidP="007341B5">
      <w:pPr>
        <w:rPr>
          <w:rFonts w:eastAsia="SimSun"/>
          <w:b/>
          <w:u w:val="single"/>
          <w:lang w:eastAsia="zh-CN"/>
        </w:rPr>
      </w:pPr>
      <w:r w:rsidRPr="007074F5">
        <w:rPr>
          <w:rFonts w:eastAsia="SimSun"/>
          <w:b/>
          <w:u w:val="single"/>
          <w:lang w:eastAsia="zh-CN"/>
        </w:rPr>
        <w:t>Events classified as Noteworthy this month: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CB0FFF" w:rsidRPr="00CB0FFF" w14:paraId="5B04AFD8" w14:textId="77777777" w:rsidTr="0009287E">
        <w:trPr>
          <w:trHeight w:val="242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73A4C0" w14:textId="77777777" w:rsidR="00CB0FFF" w:rsidRPr="00CB0FFF" w:rsidRDefault="002739D4" w:rsidP="00CB0FFF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hyperlink r:id="rId14" w:history="1">
              <w:r w:rsidR="00CB0FFF" w:rsidRPr="00CB0FF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TYO 17-0252</w:t>
              </w:r>
            </w:hyperlink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84141E" w14:textId="77777777" w:rsidR="00CB0FFF" w:rsidRPr="00CB0FFF" w:rsidRDefault="00CB0FFF" w:rsidP="00CB0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B0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Worker Receiving Additional Radiation Due to Radioactive Source Shook out by Mistake during Radiographic Test</w:t>
            </w:r>
          </w:p>
        </w:tc>
      </w:tr>
      <w:tr w:rsidR="00CB0FFF" w:rsidRPr="00CB0FFF" w14:paraId="690FAAC7" w14:textId="77777777" w:rsidTr="0009287E">
        <w:trPr>
          <w:trHeight w:val="242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DACF81" w14:textId="77777777" w:rsidR="00CB0FFF" w:rsidRPr="00CB0FFF" w:rsidRDefault="002739D4" w:rsidP="00CB0FFF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hyperlink r:id="rId15" w:history="1">
              <w:r w:rsidR="00CB0FFF" w:rsidRPr="00CB0FF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PAR 17-0332</w:t>
              </w:r>
            </w:hyperlink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576021" w14:textId="77777777" w:rsidR="00CB0FFF" w:rsidRPr="00CB0FFF" w:rsidRDefault="00CB0FFF" w:rsidP="00CB0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B0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#PRELIMINARY# Deviation on seismic resistance of surge tank support for diesel generator coolant</w:t>
            </w:r>
          </w:p>
        </w:tc>
      </w:tr>
      <w:tr w:rsidR="00CB0FFF" w:rsidRPr="00CB0FFF" w14:paraId="0348D3E8" w14:textId="77777777" w:rsidTr="0009287E">
        <w:trPr>
          <w:trHeight w:val="242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177780" w14:textId="77777777" w:rsidR="00CB0FFF" w:rsidRPr="00CB0FFF" w:rsidRDefault="002739D4" w:rsidP="00CB0FFF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hyperlink r:id="rId16" w:history="1">
              <w:r w:rsidR="00CB0FFF" w:rsidRPr="00CB0FF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PAR 17-0325</w:t>
              </w:r>
            </w:hyperlink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502FDC" w14:textId="77777777" w:rsidR="00CB0FFF" w:rsidRPr="00CB0FFF" w:rsidRDefault="00CB0FFF" w:rsidP="00CB0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B0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Diesel Engine Cylinder Air Starting Valve failed When Implementing Low Power Test</w:t>
            </w:r>
          </w:p>
        </w:tc>
      </w:tr>
      <w:tr w:rsidR="00CB0FFF" w:rsidRPr="00CB0FFF" w14:paraId="23F8A4CB" w14:textId="77777777" w:rsidTr="0009287E">
        <w:trPr>
          <w:trHeight w:val="242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F61B9D" w14:textId="77777777" w:rsidR="00CB0FFF" w:rsidRPr="00CB0FFF" w:rsidRDefault="002739D4" w:rsidP="00CB0FFF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hyperlink r:id="rId17" w:history="1">
              <w:r w:rsidR="00CB0FFF" w:rsidRPr="00CB0FF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PAR 17-0319</w:t>
              </w:r>
            </w:hyperlink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8E0F95" w14:textId="77777777" w:rsidR="00CB0FFF" w:rsidRPr="00CB0FFF" w:rsidRDefault="00CB0FFF" w:rsidP="00CB0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B0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Manual Reactor Scram due to oil leakage through valve of the Reactor Coolant Pump Lubricating System</w:t>
            </w:r>
          </w:p>
        </w:tc>
      </w:tr>
      <w:tr w:rsidR="00CB0FFF" w:rsidRPr="00CB0FFF" w14:paraId="3C661AC9" w14:textId="77777777" w:rsidTr="0009287E">
        <w:trPr>
          <w:trHeight w:val="242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D6B52C" w14:textId="77777777" w:rsidR="00CB0FFF" w:rsidRPr="00CB0FFF" w:rsidRDefault="002739D4" w:rsidP="00CB0FFF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hyperlink r:id="rId18" w:history="1">
              <w:r w:rsidR="00CB0FFF" w:rsidRPr="00CB0FF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PAR 17-0300</w:t>
              </w:r>
            </w:hyperlink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F12005" w14:textId="77777777" w:rsidR="00CB0FFF" w:rsidRPr="00CB0FFF" w:rsidRDefault="00CB0FFF" w:rsidP="00CB0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B0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#PRELIMINARY# In-house emergency plan activated due to a deflagration in a service bus in the turbine building</w:t>
            </w:r>
          </w:p>
        </w:tc>
      </w:tr>
      <w:tr w:rsidR="00CB0FFF" w:rsidRPr="00CB0FFF" w14:paraId="77DE8857" w14:textId="77777777" w:rsidTr="0009287E">
        <w:trPr>
          <w:trHeight w:val="242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1E68FD" w14:textId="77777777" w:rsidR="00CB0FFF" w:rsidRPr="00CB0FFF" w:rsidRDefault="002739D4" w:rsidP="00CB0FFF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hyperlink r:id="rId19" w:history="1">
              <w:r w:rsidR="00CB0FFF" w:rsidRPr="00CB0FF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ATL 17-0704</w:t>
              </w:r>
            </w:hyperlink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AE6ED5" w14:textId="77777777" w:rsidR="00CB0FFF" w:rsidRPr="00CB0FFF" w:rsidRDefault="00CB0FFF" w:rsidP="00CB0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B0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2 Ton Beam Trolley and </w:t>
            </w:r>
            <w:proofErr w:type="spellStart"/>
            <w:r w:rsidRPr="00CB0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Chainfall</w:t>
            </w:r>
            <w:proofErr w:type="spellEnd"/>
            <w:r w:rsidRPr="00CB0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fell 20 Feet to the Floor near by a Worker</w:t>
            </w:r>
          </w:p>
        </w:tc>
      </w:tr>
      <w:tr w:rsidR="00CB0FFF" w:rsidRPr="00CB0FFF" w14:paraId="5F8CC9E2" w14:textId="77777777" w:rsidTr="0009287E">
        <w:trPr>
          <w:trHeight w:val="242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215CD4" w14:textId="77777777" w:rsidR="00CB0FFF" w:rsidRPr="00CB0FFF" w:rsidRDefault="002739D4" w:rsidP="00CB0FFF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hyperlink r:id="rId20" w:history="1">
              <w:r w:rsidR="00CB0FFF" w:rsidRPr="00CB0FF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ATL 17-0690</w:t>
              </w:r>
            </w:hyperlink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F30829" w14:textId="77777777" w:rsidR="00CB0FFF" w:rsidRPr="00CB0FFF" w:rsidRDefault="00CB0FFF" w:rsidP="00CB0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B0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Operator falls from the elevation 107 m to 100 m, through a floor penetration covered by fire insulation</w:t>
            </w:r>
          </w:p>
        </w:tc>
      </w:tr>
      <w:tr w:rsidR="00CB0FFF" w:rsidRPr="00CB0FFF" w14:paraId="4F5FFF35" w14:textId="77777777" w:rsidTr="0009287E">
        <w:trPr>
          <w:trHeight w:val="242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29DDC3" w14:textId="77777777" w:rsidR="00CB0FFF" w:rsidRPr="00CB0FFF" w:rsidRDefault="002739D4" w:rsidP="00CB0FFF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hyperlink r:id="rId21" w:history="1">
              <w:r w:rsidR="00CB0FFF" w:rsidRPr="00CB0FF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ATL 17-0681</w:t>
              </w:r>
            </w:hyperlink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2D4294" w14:textId="77777777" w:rsidR="00CB0FFF" w:rsidRPr="00CB0FFF" w:rsidRDefault="00CB0FFF" w:rsidP="00CB0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B0F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Break Through the 6KV Switch Isolation Border</w:t>
            </w:r>
          </w:p>
        </w:tc>
      </w:tr>
      <w:tr w:rsidR="0009287E" w:rsidRPr="0009287E" w14:paraId="19696703" w14:textId="77777777" w:rsidTr="0009287E">
        <w:trPr>
          <w:trHeight w:val="432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6522C0" w14:textId="1C70520B" w:rsidR="0009287E" w:rsidRPr="0009287E" w:rsidRDefault="002739D4" w:rsidP="0009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22" w:history="1">
              <w:r w:rsidR="0009287E" w:rsidRPr="0009287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WER MOW 17-0005</w:t>
              </w:r>
            </w:hyperlink>
            <w:r w:rsidR="0009287E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9287E" w:rsidRPr="0009287E">
              <w:rPr>
                <w:color w:val="00008B"/>
              </w:rPr>
              <w:t>**</w:t>
            </w:r>
          </w:p>
        </w:tc>
        <w:tc>
          <w:tcPr>
            <w:tcW w:w="69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F2F9E4" w14:textId="77777777" w:rsidR="0009287E" w:rsidRPr="0009287E" w:rsidRDefault="0009287E" w:rsidP="0009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92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Turbine Generator No.3 Was Manually Tripped Due to a High Concentration of Dissolved Gases in the Main Transformer Oil.</w:t>
            </w:r>
          </w:p>
        </w:tc>
      </w:tr>
    </w:tbl>
    <w:p w14:paraId="4F706E8D" w14:textId="7EF1E335" w:rsidR="0009287E" w:rsidRPr="00FA0EC5" w:rsidRDefault="0009287E" w:rsidP="0009287E">
      <w:pPr>
        <w:tabs>
          <w:tab w:val="left" w:pos="3315"/>
        </w:tabs>
        <w:spacing w:before="120"/>
        <w:outlineLvl w:val="0"/>
        <w:rPr>
          <w:sz w:val="18"/>
        </w:rPr>
      </w:pPr>
      <w:r w:rsidRPr="00FA0EC5">
        <w:rPr>
          <w:b/>
          <w:sz w:val="18"/>
        </w:rPr>
        <w:t xml:space="preserve">Notes: </w:t>
      </w:r>
      <w:r w:rsidRPr="00FA0EC5">
        <w:rPr>
          <w:sz w:val="18"/>
        </w:rPr>
        <w:t xml:space="preserve">** indicates that the WER was </w:t>
      </w:r>
      <w:proofErr w:type="spellStart"/>
      <w:r w:rsidRPr="00FA0EC5">
        <w:rPr>
          <w:sz w:val="18"/>
        </w:rPr>
        <w:t>reclassififed</w:t>
      </w:r>
      <w:proofErr w:type="spellEnd"/>
      <w:r w:rsidRPr="00FA0EC5">
        <w:rPr>
          <w:sz w:val="18"/>
        </w:rPr>
        <w:t xml:space="preserve"> as Noteworthy during the current month. </w:t>
      </w:r>
      <w:r w:rsidRPr="00FA0EC5">
        <w:rPr>
          <w:b/>
          <w:sz w:val="18"/>
        </w:rPr>
        <w:t xml:space="preserve"> </w:t>
      </w:r>
    </w:p>
    <w:p w14:paraId="3A50F12C" w14:textId="77777777" w:rsidR="0009287E" w:rsidRDefault="0009287E" w:rsidP="005802D0">
      <w:pPr>
        <w:rPr>
          <w:b/>
        </w:rPr>
      </w:pPr>
    </w:p>
    <w:p w14:paraId="3FB3B91A" w14:textId="13872008" w:rsidR="005802D0" w:rsidRDefault="007341B5" w:rsidP="005802D0">
      <w:r w:rsidRPr="007341B5">
        <w:rPr>
          <w:b/>
        </w:rPr>
        <w:t>New documents issued this month:</w:t>
      </w:r>
    </w:p>
    <w:p w14:paraId="0E74F291" w14:textId="26C64813" w:rsidR="007341B5" w:rsidRDefault="004A637B" w:rsidP="0086705E">
      <w:pPr>
        <w:spacing w:after="0"/>
      </w:pPr>
      <w:r>
        <w:t>None</w:t>
      </w:r>
    </w:p>
    <w:p w14:paraId="5BDC200C" w14:textId="77777777" w:rsidR="004A637B" w:rsidRDefault="004A637B" w:rsidP="0086705E">
      <w:pPr>
        <w:spacing w:after="0"/>
      </w:pPr>
    </w:p>
    <w:p w14:paraId="0E74F292" w14:textId="42A306F3" w:rsidR="007341B5" w:rsidRDefault="008E432E">
      <w:pPr>
        <w:rPr>
          <w:b/>
        </w:rPr>
      </w:pPr>
      <w:r>
        <w:rPr>
          <w:b/>
        </w:rPr>
        <w:t xml:space="preserve">Performance Analysis </w:t>
      </w:r>
      <w:r w:rsidR="009B64C6">
        <w:rPr>
          <w:b/>
        </w:rPr>
        <w:t xml:space="preserve">(PA) </w:t>
      </w:r>
      <w:r>
        <w:rPr>
          <w:b/>
        </w:rPr>
        <w:t>comments</w:t>
      </w:r>
    </w:p>
    <w:p w14:paraId="6F2BFFCA" w14:textId="42E2DDB2" w:rsidR="00A44C5E" w:rsidRPr="00FA0EC5" w:rsidRDefault="00A44C5E">
      <w:pPr>
        <w:rPr>
          <w:rFonts w:ascii="Calibri" w:hAnsi="Calibri"/>
        </w:rPr>
      </w:pPr>
      <w:r>
        <w:lastRenderedPageBreak/>
        <w:t>Worrying events of loss of shutdown cooling keeps occurring. This month, two events of loss of shutdown cooling at reduced inventory</w:t>
      </w:r>
      <w:r w:rsidR="00FA0EC5">
        <w:t xml:space="preserve"> were classified as Significant</w:t>
      </w:r>
      <w:r>
        <w:t xml:space="preserve"> – see </w:t>
      </w:r>
      <w:hyperlink r:id="rId23" w:history="1">
        <w:r w:rsidRPr="00FA0EC5">
          <w:rPr>
            <w:rStyle w:val="Hyperlink"/>
            <w:rFonts w:ascii="Calibri" w:hAnsi="Calibri" w:cs="Arial"/>
            <w:b/>
            <w:bCs/>
          </w:rPr>
          <w:t>WER PAR 17-0291</w:t>
        </w:r>
      </w:hyperlink>
      <w:r w:rsidRPr="00FA0EC5">
        <w:rPr>
          <w:rFonts w:ascii="Calibri" w:hAnsi="Calibri"/>
        </w:rPr>
        <w:t xml:space="preserve"> and </w:t>
      </w:r>
      <w:hyperlink r:id="rId24" w:history="1">
        <w:r w:rsidRPr="00FA0EC5">
          <w:rPr>
            <w:rStyle w:val="Hyperlink"/>
            <w:rFonts w:ascii="Calibri" w:hAnsi="Calibri" w:cs="Arial"/>
            <w:b/>
            <w:bCs/>
          </w:rPr>
          <w:t>WER PAR 17-0173</w:t>
        </w:r>
      </w:hyperlink>
      <w:r w:rsidRPr="00FA0EC5">
        <w:rPr>
          <w:rFonts w:ascii="Calibri" w:hAnsi="Calibri"/>
        </w:rPr>
        <w:t>.</w:t>
      </w:r>
    </w:p>
    <w:p w14:paraId="410672F7" w14:textId="00A7DEE0" w:rsidR="00FA0EC5" w:rsidRDefault="00A44C5E">
      <w:r>
        <w:t xml:space="preserve">Another worrying trend is about fires. </w:t>
      </w:r>
      <w:r w:rsidR="00FA0EC5">
        <w:t>In the past, t</w:t>
      </w:r>
      <w:r>
        <w:t>he nuclear industry has been hit by big fires that resulted</w:t>
      </w:r>
      <w:r w:rsidR="00FA0EC5">
        <w:t xml:space="preserve"> in major events or worsened the consequences of events. Fire events keep happening in several plants, some of them with severe consequences and some inside the containment. </w:t>
      </w:r>
    </w:p>
    <w:p w14:paraId="41ECEEC1" w14:textId="77777777" w:rsidR="000E5EF7" w:rsidRDefault="00FA0EC5">
      <w:r>
        <w:t xml:space="preserve">Finally, </w:t>
      </w:r>
      <w:r w:rsidR="0094654C">
        <w:t>availability of</w:t>
      </w:r>
      <w:r>
        <w:t xml:space="preserve"> emergency power is still an issue</w:t>
      </w:r>
      <w:r w:rsidR="0094654C">
        <w:t xml:space="preserve">, including common mode failures – for example, see </w:t>
      </w:r>
      <w:hyperlink r:id="rId25" w:history="1">
        <w:r w:rsidR="0094654C" w:rsidRPr="0094654C">
          <w:rPr>
            <w:rStyle w:val="Hyperlink"/>
            <w:rFonts w:cs="Arial"/>
            <w:b/>
            <w:bCs/>
          </w:rPr>
          <w:t>WER PAR 17-0332</w:t>
        </w:r>
      </w:hyperlink>
      <w:r w:rsidR="0094654C" w:rsidRPr="0094654C">
        <w:rPr>
          <w:rStyle w:val="Hyperlink"/>
          <w:rFonts w:cs="Arial"/>
          <w:bCs/>
          <w:color w:val="auto"/>
          <w:u w:val="none"/>
        </w:rPr>
        <w:t xml:space="preserve"> and </w:t>
      </w:r>
      <w:hyperlink r:id="rId26" w:history="1">
        <w:r w:rsidR="0094654C" w:rsidRPr="0094654C">
          <w:rPr>
            <w:rStyle w:val="Hyperlink"/>
            <w:rFonts w:cs="Arial"/>
            <w:b/>
            <w:bCs/>
          </w:rPr>
          <w:t>WER PAR 17-0325</w:t>
        </w:r>
      </w:hyperlink>
      <w:r w:rsidRPr="0094654C">
        <w:t>.</w:t>
      </w:r>
    </w:p>
    <w:p w14:paraId="5D974617" w14:textId="1852EAFB" w:rsidR="00FA0EC5" w:rsidRPr="000E5EF7" w:rsidRDefault="000E5EF7">
      <w:r>
        <w:t xml:space="preserve">Regarding the number of events so far, </w:t>
      </w:r>
      <w:r w:rsidRPr="000E5EF7">
        <w:t>AC and PC have submitted fewer events as compared to 2016</w:t>
      </w:r>
      <w:r>
        <w:t>.</w:t>
      </w:r>
      <w:bookmarkStart w:id="0" w:name="_GoBack"/>
      <w:bookmarkEnd w:id="0"/>
      <w:r>
        <w:t xml:space="preserve"> </w:t>
      </w:r>
      <w:r w:rsidR="00C64BB3" w:rsidRPr="000E5EF7">
        <w:br w:type="page"/>
      </w:r>
    </w:p>
    <w:p w14:paraId="0E74F293" w14:textId="0A58A38E" w:rsidR="007341B5" w:rsidRDefault="007341B5">
      <w:pPr>
        <w:rPr>
          <w:b/>
        </w:rPr>
      </w:pPr>
      <w:r w:rsidRPr="007341B5">
        <w:rPr>
          <w:b/>
        </w:rPr>
        <w:lastRenderedPageBreak/>
        <w:t>Statistics</w:t>
      </w:r>
    </w:p>
    <w:p w14:paraId="0DC36325" w14:textId="77777777" w:rsidR="000C02E3" w:rsidRPr="007074F5" w:rsidRDefault="000C02E3" w:rsidP="000C02E3">
      <w:pPr>
        <w:spacing w:before="120" w:after="120"/>
        <w:outlineLvl w:val="0"/>
        <w:rPr>
          <w:b/>
        </w:rPr>
      </w:pPr>
      <w:r>
        <w:rPr>
          <w:b/>
          <w:u w:val="single"/>
        </w:rPr>
        <w:t>E</w:t>
      </w:r>
      <w:r w:rsidRPr="007074F5">
        <w:rPr>
          <w:b/>
          <w:u w:val="single"/>
        </w:rPr>
        <w:t>vent Reporting Level and Timeliness</w:t>
      </w:r>
    </w:p>
    <w:p w14:paraId="1BBF29EE" w14:textId="77777777" w:rsidR="000C02E3" w:rsidRPr="007074F5" w:rsidRDefault="000C02E3" w:rsidP="000C02E3">
      <w:pPr>
        <w:jc w:val="center"/>
        <w:outlineLvl w:val="0"/>
        <w:rPr>
          <w:b/>
        </w:rPr>
      </w:pPr>
      <w:r w:rsidRPr="007074F5">
        <w:rPr>
          <w:b/>
        </w:rPr>
        <w:t xml:space="preserve">WANO Event Reports (WERs) &amp; Preliminary WERs published by </w:t>
      </w:r>
      <w:r>
        <w:rPr>
          <w:b/>
        </w:rPr>
        <w:t>PA</w:t>
      </w:r>
      <w:r w:rsidRPr="007074F5">
        <w:rPr>
          <w:b/>
        </w:rPr>
        <w:t>CT</w:t>
      </w:r>
    </w:p>
    <w:tbl>
      <w:tblPr>
        <w:tblW w:w="4959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1843"/>
        <w:gridCol w:w="1415"/>
        <w:gridCol w:w="1417"/>
        <w:gridCol w:w="1415"/>
        <w:gridCol w:w="1417"/>
        <w:gridCol w:w="1415"/>
      </w:tblGrid>
      <w:tr w:rsidR="000C02E3" w:rsidRPr="007074F5" w14:paraId="50F70AFC" w14:textId="77777777" w:rsidTr="008E0647">
        <w:tc>
          <w:tcPr>
            <w:tcW w:w="1033" w:type="pct"/>
            <w:tcBorders>
              <w:right w:val="single" w:sz="6" w:space="0" w:color="auto"/>
            </w:tcBorders>
          </w:tcPr>
          <w:p w14:paraId="0FB85EBD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Year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14:paraId="2F1732E1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Atlanta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14:paraId="2807C0C0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Moscow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14:paraId="4C7A4583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Paris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14:paraId="09C9A289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Tokyo</w:t>
            </w:r>
          </w:p>
        </w:tc>
        <w:tc>
          <w:tcPr>
            <w:tcW w:w="794" w:type="pct"/>
            <w:tcBorders>
              <w:left w:val="single" w:sz="6" w:space="0" w:color="auto"/>
            </w:tcBorders>
          </w:tcPr>
          <w:p w14:paraId="176D237C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Total</w:t>
            </w:r>
          </w:p>
        </w:tc>
      </w:tr>
      <w:tr w:rsidR="000C02E3" w:rsidRPr="007074F5" w14:paraId="4FB826D6" w14:textId="77777777" w:rsidTr="008E0647">
        <w:tc>
          <w:tcPr>
            <w:tcW w:w="1033" w:type="pct"/>
            <w:tcBorders>
              <w:right w:val="single" w:sz="6" w:space="0" w:color="auto"/>
            </w:tcBorders>
          </w:tcPr>
          <w:p w14:paraId="306D5591" w14:textId="77777777" w:rsidR="000C02E3" w:rsidRPr="007074F5" w:rsidRDefault="000C02E3" w:rsidP="00DE14D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14:paraId="6D78645B" w14:textId="4058180E" w:rsidR="000C02E3" w:rsidRPr="00503DEE" w:rsidRDefault="000F5530" w:rsidP="00DE14DB">
            <w:pPr>
              <w:jc w:val="center"/>
              <w:rPr>
                <w:b/>
              </w:rPr>
            </w:pPr>
            <w:r>
              <w:rPr>
                <w:b/>
              </w:rPr>
              <w:t>703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14:paraId="3EAED83E" w14:textId="1ECBF381" w:rsidR="000C02E3" w:rsidRPr="00503DEE" w:rsidRDefault="000F5530" w:rsidP="00DE14DB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14:paraId="54AA8CA0" w14:textId="470210EC" w:rsidR="000C02E3" w:rsidRPr="00503DEE" w:rsidRDefault="000F5530" w:rsidP="00DE14DB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14:paraId="2DE1C89E" w14:textId="57F7DE54" w:rsidR="000C02E3" w:rsidRPr="00503DEE" w:rsidRDefault="000F5530" w:rsidP="00DE14DB">
            <w:pPr>
              <w:jc w:val="center"/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794" w:type="pct"/>
            <w:tcBorders>
              <w:left w:val="single" w:sz="6" w:space="0" w:color="auto"/>
            </w:tcBorders>
          </w:tcPr>
          <w:p w14:paraId="49DA1DDB" w14:textId="6B4DA04F" w:rsidR="000C02E3" w:rsidRPr="00503DEE" w:rsidRDefault="000F5530" w:rsidP="00DE14DB">
            <w:pPr>
              <w:jc w:val="center"/>
              <w:rPr>
                <w:b/>
              </w:rPr>
            </w:pPr>
            <w:r>
              <w:rPr>
                <w:b/>
              </w:rPr>
              <w:t>1417</w:t>
            </w:r>
          </w:p>
        </w:tc>
      </w:tr>
      <w:tr w:rsidR="000C02E3" w:rsidRPr="007074F5" w14:paraId="0FB26459" w14:textId="77777777" w:rsidTr="008E0647">
        <w:tc>
          <w:tcPr>
            <w:tcW w:w="1033" w:type="pct"/>
            <w:tcBorders>
              <w:bottom w:val="single" w:sz="12" w:space="0" w:color="auto"/>
              <w:right w:val="single" w:sz="6" w:space="0" w:color="auto"/>
            </w:tcBorders>
          </w:tcPr>
          <w:p w14:paraId="66B6B622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2016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7620C1" w14:textId="77777777" w:rsidR="000C02E3" w:rsidRPr="00E848BC" w:rsidRDefault="000C02E3" w:rsidP="00DE14DB">
            <w:pPr>
              <w:jc w:val="center"/>
              <w:rPr>
                <w:rFonts w:eastAsia="SimSun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1533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D33CE4" w14:textId="77777777" w:rsidR="000C02E3" w:rsidRPr="00E848BC" w:rsidRDefault="000C02E3" w:rsidP="00DE14DB">
            <w:pPr>
              <w:jc w:val="center"/>
              <w:rPr>
                <w:rFonts w:eastAsia="SimSun"/>
                <w:highlight w:val="yellow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274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D3DA2E" w14:textId="77777777" w:rsidR="000C02E3" w:rsidRPr="00E848BC" w:rsidRDefault="000C02E3" w:rsidP="00DE14DB">
            <w:pPr>
              <w:jc w:val="center"/>
              <w:rPr>
                <w:rFonts w:eastAsia="SimSun"/>
                <w:highlight w:val="yellow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1134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661185" w14:textId="77777777" w:rsidR="000C02E3" w:rsidRPr="00E848BC" w:rsidRDefault="000C02E3" w:rsidP="00DE14DB">
            <w:pPr>
              <w:jc w:val="center"/>
              <w:rPr>
                <w:rFonts w:eastAsia="SimSun"/>
                <w:highlight w:val="yellow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478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</w:tcBorders>
          </w:tcPr>
          <w:p w14:paraId="1ABAEA12" w14:textId="77777777" w:rsidR="000C02E3" w:rsidRPr="00E848BC" w:rsidRDefault="000C02E3" w:rsidP="00DE14DB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3419</w:t>
            </w:r>
          </w:p>
        </w:tc>
      </w:tr>
      <w:tr w:rsidR="000C02E3" w:rsidRPr="007074F5" w14:paraId="7CF828B4" w14:textId="77777777" w:rsidTr="008E0647">
        <w:tc>
          <w:tcPr>
            <w:tcW w:w="1033" w:type="pct"/>
            <w:tcBorders>
              <w:bottom w:val="single" w:sz="12" w:space="0" w:color="auto"/>
              <w:right w:val="single" w:sz="6" w:space="0" w:color="auto"/>
            </w:tcBorders>
          </w:tcPr>
          <w:p w14:paraId="49C05976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2015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34E75F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1443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9D09BE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273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B9CF5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11422A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329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</w:tcBorders>
          </w:tcPr>
          <w:p w14:paraId="422412F5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3,083</w:t>
            </w:r>
          </w:p>
        </w:tc>
      </w:tr>
    </w:tbl>
    <w:p w14:paraId="37FBBF60" w14:textId="77777777" w:rsidR="000C02E3" w:rsidRPr="007074F5" w:rsidRDefault="000C02E3" w:rsidP="000C02E3">
      <w:pPr>
        <w:spacing w:before="120"/>
        <w:ind w:left="142" w:hanging="142"/>
        <w:jc w:val="center"/>
        <w:outlineLvl w:val="0"/>
        <w:rPr>
          <w:b/>
        </w:rPr>
      </w:pPr>
      <w:r w:rsidRPr="007074F5">
        <w:rPr>
          <w:b/>
        </w:rPr>
        <w:t>Units in operations (after first criticality)</w:t>
      </w:r>
    </w:p>
    <w:tbl>
      <w:tblPr>
        <w:tblW w:w="4959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1843"/>
        <w:gridCol w:w="1415"/>
        <w:gridCol w:w="1417"/>
        <w:gridCol w:w="1415"/>
        <w:gridCol w:w="1417"/>
        <w:gridCol w:w="1415"/>
      </w:tblGrid>
      <w:tr w:rsidR="000C02E3" w:rsidRPr="00172FB4" w14:paraId="458987B2" w14:textId="77777777" w:rsidTr="008E0647">
        <w:tc>
          <w:tcPr>
            <w:tcW w:w="1033" w:type="pct"/>
            <w:tcBorders>
              <w:right w:val="single" w:sz="6" w:space="0" w:color="auto"/>
            </w:tcBorders>
          </w:tcPr>
          <w:p w14:paraId="4FE99B25" w14:textId="77777777" w:rsidR="000C02E3" w:rsidRPr="00172FB4" w:rsidRDefault="000C02E3" w:rsidP="00DE14DB">
            <w:pPr>
              <w:jc w:val="center"/>
              <w:rPr>
                <w:b/>
              </w:rPr>
            </w:pP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14:paraId="4FF1A90A" w14:textId="77777777"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Atlanta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14:paraId="04EED33B" w14:textId="77777777"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Moscow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14:paraId="592A35CE" w14:textId="77777777"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Paris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14:paraId="435F0297" w14:textId="77777777"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Tokyo</w:t>
            </w:r>
          </w:p>
        </w:tc>
        <w:tc>
          <w:tcPr>
            <w:tcW w:w="794" w:type="pct"/>
            <w:tcBorders>
              <w:left w:val="single" w:sz="6" w:space="0" w:color="auto"/>
            </w:tcBorders>
          </w:tcPr>
          <w:p w14:paraId="2EF34422" w14:textId="77777777"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Total</w:t>
            </w:r>
          </w:p>
        </w:tc>
      </w:tr>
      <w:tr w:rsidR="000C02E3" w:rsidRPr="00172FB4" w14:paraId="241802B9" w14:textId="77777777" w:rsidTr="008E0647">
        <w:tc>
          <w:tcPr>
            <w:tcW w:w="1033" w:type="pct"/>
            <w:tcBorders>
              <w:right w:val="single" w:sz="6" w:space="0" w:color="auto"/>
            </w:tcBorders>
          </w:tcPr>
          <w:p w14:paraId="48278C1C" w14:textId="77777777" w:rsidR="000C02E3" w:rsidRPr="00172FB4" w:rsidRDefault="000C02E3" w:rsidP="00DE14DB">
            <w:pPr>
              <w:jc w:val="center"/>
              <w:rPr>
                <w:sz w:val="20"/>
                <w:lang w:eastAsia="ja-JP"/>
              </w:rPr>
            </w:pPr>
            <w:r w:rsidRPr="00172FB4">
              <w:rPr>
                <w:i/>
                <w:sz w:val="20"/>
              </w:rPr>
              <w:t>No. of operational units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36DCD9" w14:textId="77777777" w:rsidR="000C02E3" w:rsidRPr="00172FB4" w:rsidRDefault="000C02E3" w:rsidP="00DE14DB">
            <w:pPr>
              <w:jc w:val="center"/>
              <w:rPr>
                <w:lang w:eastAsia="ja-JP"/>
              </w:rPr>
            </w:pPr>
            <w:r w:rsidRPr="00172FB4">
              <w:rPr>
                <w:i/>
              </w:rPr>
              <w:t>125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C34008" w14:textId="77777777" w:rsidR="000C02E3" w:rsidRPr="00172FB4" w:rsidRDefault="000C02E3" w:rsidP="00DE14DB">
            <w:pPr>
              <w:jc w:val="center"/>
              <w:rPr>
                <w:lang w:eastAsia="ja-JP"/>
              </w:rPr>
            </w:pPr>
            <w:r w:rsidRPr="00172FB4">
              <w:rPr>
                <w:i/>
              </w:rPr>
              <w:t>75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7C4C86" w14:textId="228F2866" w:rsidR="000C02E3" w:rsidRPr="00172FB4" w:rsidRDefault="00B4467C" w:rsidP="00DE14DB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i/>
              </w:rPr>
              <w:t>146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906D73" w14:textId="0B041D85" w:rsidR="000C02E3" w:rsidRPr="00172FB4" w:rsidRDefault="00B4467C" w:rsidP="00DE14DB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i/>
              </w:rPr>
              <w:t>109</w:t>
            </w:r>
          </w:p>
        </w:tc>
        <w:tc>
          <w:tcPr>
            <w:tcW w:w="794" w:type="pct"/>
            <w:tcBorders>
              <w:left w:val="single" w:sz="6" w:space="0" w:color="auto"/>
            </w:tcBorders>
            <w:vAlign w:val="center"/>
          </w:tcPr>
          <w:p w14:paraId="02C3942C" w14:textId="4B9E6DA8" w:rsidR="000C02E3" w:rsidRPr="00172FB4" w:rsidRDefault="00B4467C" w:rsidP="00DE14DB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i/>
              </w:rPr>
              <w:t>455</w:t>
            </w:r>
          </w:p>
        </w:tc>
      </w:tr>
      <w:tr w:rsidR="000C02E3" w:rsidRPr="00172FB4" w14:paraId="57E8436F" w14:textId="77777777" w:rsidTr="008E0647">
        <w:trPr>
          <w:trHeight w:val="938"/>
        </w:trPr>
        <w:tc>
          <w:tcPr>
            <w:tcW w:w="1033" w:type="pct"/>
            <w:tcBorders>
              <w:bottom w:val="single" w:sz="12" w:space="0" w:color="auto"/>
              <w:right w:val="single" w:sz="6" w:space="0" w:color="auto"/>
            </w:tcBorders>
          </w:tcPr>
          <w:p w14:paraId="482D4987" w14:textId="77777777" w:rsidR="000C02E3" w:rsidRPr="00172FB4" w:rsidRDefault="000C02E3" w:rsidP="00DE14DB">
            <w:pPr>
              <w:jc w:val="center"/>
              <w:rPr>
                <w:i/>
                <w:sz w:val="20"/>
              </w:rPr>
            </w:pPr>
            <w:r w:rsidRPr="00172FB4">
              <w:rPr>
                <w:i/>
                <w:sz w:val="20"/>
              </w:rPr>
              <w:t>No. of units with no WER in the past 12 months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A941E" w14:textId="77777777" w:rsidR="000C02E3" w:rsidRPr="004A637B" w:rsidRDefault="000C02E3" w:rsidP="00DE14DB">
            <w:pPr>
              <w:jc w:val="center"/>
              <w:rPr>
                <w:i/>
                <w:highlight w:val="yellow"/>
              </w:rPr>
            </w:pPr>
            <w:r w:rsidRPr="00DB1220">
              <w:rPr>
                <w:i/>
              </w:rPr>
              <w:t>-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C0EEBB" w14:textId="1D5CDE29" w:rsidR="000C02E3" w:rsidRPr="00AA33F6" w:rsidRDefault="00225CFC" w:rsidP="001A7607">
            <w:pPr>
              <w:jc w:val="center"/>
              <w:rPr>
                <w:i/>
                <w:lang w:eastAsia="ja-JP"/>
              </w:rPr>
            </w:pPr>
            <w:r w:rsidRPr="00DB1220">
              <w:rPr>
                <w:i/>
              </w:rPr>
              <w:t>-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935FBD" w14:textId="3D26217C" w:rsidR="000C02E3" w:rsidRPr="00AA33F6" w:rsidRDefault="00B4467C" w:rsidP="00B4467C">
            <w:pPr>
              <w:jc w:val="center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="00AB2C2F">
              <w:rPr>
                <w:i/>
                <w:lang w:eastAsia="ja-JP"/>
              </w:rPr>
              <w:t xml:space="preserve"> </w:t>
            </w:r>
            <w:r w:rsidR="009B64C6" w:rsidRPr="00F74777">
              <w:rPr>
                <w:i/>
                <w:sz w:val="20"/>
                <w:lang w:eastAsia="ja-JP"/>
              </w:rPr>
              <w:t>(</w:t>
            </w:r>
            <w:proofErr w:type="spellStart"/>
            <w:r w:rsidR="0084252F" w:rsidRPr="00F74777">
              <w:rPr>
                <w:i/>
                <w:sz w:val="20"/>
                <w:lang w:eastAsia="ja-JP"/>
              </w:rPr>
              <w:t>Isar</w:t>
            </w:r>
            <w:proofErr w:type="spellEnd"/>
            <w:r w:rsidR="0084252F" w:rsidRPr="00F74777">
              <w:rPr>
                <w:i/>
                <w:sz w:val="20"/>
                <w:lang w:eastAsia="ja-JP"/>
              </w:rPr>
              <w:t xml:space="preserve"> 2</w:t>
            </w:r>
            <w:r w:rsidR="009B64C6" w:rsidRPr="00F74777">
              <w:rPr>
                <w:i/>
                <w:sz w:val="20"/>
                <w:lang w:eastAsia="ja-JP"/>
              </w:rPr>
              <w:t>)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CCAD67" w14:textId="7CE7F346" w:rsidR="000C02E3" w:rsidRPr="004A637B" w:rsidRDefault="00225CFC" w:rsidP="00DE14DB">
            <w:pPr>
              <w:jc w:val="center"/>
              <w:rPr>
                <w:i/>
                <w:highlight w:val="yellow"/>
                <w:lang w:eastAsia="ja-JP"/>
              </w:rPr>
            </w:pPr>
            <w:r w:rsidRPr="00DB1220">
              <w:rPr>
                <w:i/>
              </w:rPr>
              <w:t>-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62516CC" w14:textId="71173E65" w:rsidR="000C02E3" w:rsidRPr="004A637B" w:rsidRDefault="00B4467C" w:rsidP="00DE14DB">
            <w:pPr>
              <w:jc w:val="center"/>
              <w:rPr>
                <w:i/>
                <w:highlight w:val="yellow"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</w:tr>
    </w:tbl>
    <w:p w14:paraId="046FE36D" w14:textId="7EDC9199" w:rsidR="000C02E3" w:rsidRPr="007074F5" w:rsidRDefault="000C02E3" w:rsidP="000C02E3">
      <w:pPr>
        <w:spacing w:before="120"/>
        <w:ind w:left="142" w:hanging="142"/>
        <w:jc w:val="center"/>
        <w:outlineLvl w:val="0"/>
        <w:rPr>
          <w:b/>
        </w:rPr>
      </w:pPr>
      <w:r w:rsidRPr="007074F5">
        <w:rPr>
          <w:b/>
        </w:rPr>
        <w:t>WER Reporting Median (Days) – Goal of 140 days</w:t>
      </w:r>
    </w:p>
    <w:tbl>
      <w:tblPr>
        <w:tblW w:w="40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466"/>
        <w:gridCol w:w="1468"/>
        <w:gridCol w:w="1467"/>
        <w:gridCol w:w="1468"/>
        <w:gridCol w:w="1465"/>
      </w:tblGrid>
      <w:tr w:rsidR="000C02E3" w:rsidRPr="007074F5" w14:paraId="77B9A8DC" w14:textId="77777777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14:paraId="537487DD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Year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8D1D20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Atlanta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A3276C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Moscow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2C290F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Paris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14:paraId="27300196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Tokyo</w:t>
            </w:r>
          </w:p>
        </w:tc>
      </w:tr>
      <w:tr w:rsidR="000C02E3" w:rsidRPr="007074F5" w14:paraId="4CAE4F55" w14:textId="77777777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14:paraId="28900A2B" w14:textId="77777777" w:rsidR="000C02E3" w:rsidRPr="007074F5" w:rsidRDefault="000C02E3" w:rsidP="00DE14D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E2CC0B" w14:textId="038DE77F" w:rsidR="000C02E3" w:rsidRPr="007074F5" w:rsidRDefault="00B53AE8" w:rsidP="00DE14DB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BA9337" w14:textId="5CE83F26" w:rsidR="000C02E3" w:rsidRPr="007074F5" w:rsidRDefault="00B53AE8" w:rsidP="00DE14DB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AEA149" w14:textId="3EED987D" w:rsidR="000C02E3" w:rsidRPr="007074F5" w:rsidRDefault="00B53AE8" w:rsidP="00DE14DB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14:paraId="3D6E548C" w14:textId="38E0FD6A" w:rsidR="000C02E3" w:rsidRPr="007074F5" w:rsidRDefault="00B53AE8" w:rsidP="002D0661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0C02E3" w:rsidRPr="007074F5" w14:paraId="70CE0E28" w14:textId="77777777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6264CDD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2016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65FA416" w14:textId="77777777" w:rsidR="000C02E3" w:rsidRPr="00E848BC" w:rsidRDefault="000C02E3" w:rsidP="00DE14DB">
            <w:pPr>
              <w:tabs>
                <w:tab w:val="left" w:pos="490"/>
                <w:tab w:val="center" w:pos="696"/>
              </w:tabs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118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E26A5BF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102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BB194B5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133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14:paraId="46A2DB90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126</w:t>
            </w:r>
          </w:p>
        </w:tc>
      </w:tr>
      <w:tr w:rsidR="000C02E3" w:rsidRPr="007074F5" w14:paraId="50EAAB7C" w14:textId="77777777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C02157C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2015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6FF00C0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99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FCCA342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 w:hint="eastAsia"/>
                <w:lang w:eastAsia="ja-JP"/>
              </w:rPr>
              <w:t>1</w:t>
            </w:r>
            <w:r w:rsidRPr="00E848BC">
              <w:rPr>
                <w:rFonts w:eastAsiaTheme="minorEastAsia"/>
                <w:lang w:eastAsia="ja-JP"/>
              </w:rPr>
              <w:t>08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8A00F31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 w:hint="eastAsia"/>
                <w:lang w:eastAsia="ja-JP"/>
              </w:rPr>
              <w:t>12</w:t>
            </w:r>
            <w:r w:rsidRPr="00E848BC">
              <w:rPr>
                <w:rFonts w:eastAsiaTheme="minorEastAsia"/>
                <w:lang w:eastAsia="ja-JP"/>
              </w:rPr>
              <w:t>7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14:paraId="3F739A13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118</w:t>
            </w:r>
          </w:p>
        </w:tc>
      </w:tr>
    </w:tbl>
    <w:p w14:paraId="1D21BE7B" w14:textId="77777777" w:rsidR="000C02E3" w:rsidRPr="007074F5" w:rsidRDefault="000C02E3" w:rsidP="000C02E3">
      <w:pPr>
        <w:spacing w:before="120"/>
        <w:jc w:val="center"/>
        <w:rPr>
          <w:b/>
        </w:rPr>
      </w:pPr>
      <w:r w:rsidRPr="007074F5">
        <w:rPr>
          <w:b/>
        </w:rPr>
        <w:t>Preliminary WER Reporting Median (Days) – Goal of 30 days</w:t>
      </w:r>
    </w:p>
    <w:tbl>
      <w:tblPr>
        <w:tblW w:w="40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466"/>
        <w:gridCol w:w="1468"/>
        <w:gridCol w:w="1467"/>
        <w:gridCol w:w="1468"/>
        <w:gridCol w:w="1465"/>
      </w:tblGrid>
      <w:tr w:rsidR="000C02E3" w:rsidRPr="007074F5" w14:paraId="11674AAA" w14:textId="77777777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14:paraId="32952876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Year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DFE0D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Atlanta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4801A1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Moscow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734D36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Paris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14:paraId="7B65F4A5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Tokyo</w:t>
            </w:r>
          </w:p>
        </w:tc>
      </w:tr>
      <w:tr w:rsidR="000C02E3" w:rsidRPr="007074F5" w14:paraId="07F5649C" w14:textId="77777777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14:paraId="42A824D0" w14:textId="77777777" w:rsidR="000C02E3" w:rsidRPr="007074F5" w:rsidRDefault="000C02E3" w:rsidP="00DE14D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991D39" w14:textId="2B7E21F0" w:rsidR="000C02E3" w:rsidRPr="007074F5" w:rsidRDefault="002F6C66" w:rsidP="00DE14DB">
            <w:pPr>
              <w:jc w:val="center"/>
              <w:rPr>
                <w:b/>
              </w:rPr>
            </w:pPr>
            <w:r w:rsidRPr="002F6C66">
              <w:rPr>
                <w:b/>
              </w:rPr>
              <w:t>42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02EF7E" w14:textId="347D5F43" w:rsidR="000C02E3" w:rsidRPr="007074F5" w:rsidRDefault="00ED1BBE" w:rsidP="00DE14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AAA22C" w14:textId="143A1180" w:rsidR="000C02E3" w:rsidRPr="007074F5" w:rsidRDefault="00B53AE8" w:rsidP="00DE14D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14:paraId="441C2CF4" w14:textId="227945AA" w:rsidR="000C02E3" w:rsidRPr="007074F5" w:rsidRDefault="00B53AE8" w:rsidP="00DE14D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0C02E3" w:rsidRPr="007074F5" w14:paraId="12EE3666" w14:textId="77777777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C217196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2016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A0F7B2E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14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EF57EF0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2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B136DE4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61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14:paraId="436BA037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t>123</w:t>
            </w:r>
          </w:p>
        </w:tc>
      </w:tr>
      <w:tr w:rsidR="000C02E3" w:rsidRPr="007074F5" w14:paraId="4800D8D2" w14:textId="77777777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7A9A76B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2015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2888ED6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23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BDC6ED9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2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2956323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58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14:paraId="3808E332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54</w:t>
            </w:r>
          </w:p>
        </w:tc>
      </w:tr>
    </w:tbl>
    <w:p w14:paraId="1C90CDBA" w14:textId="77777777" w:rsidR="000C02E3" w:rsidRPr="00F02396" w:rsidRDefault="000C02E3" w:rsidP="000C02E3">
      <w:pPr>
        <w:tabs>
          <w:tab w:val="left" w:pos="3315"/>
        </w:tabs>
        <w:spacing w:before="120"/>
        <w:outlineLvl w:val="0"/>
      </w:pPr>
      <w:r w:rsidRPr="00F02396">
        <w:rPr>
          <w:b/>
        </w:rPr>
        <w:t>Notes:</w:t>
      </w:r>
    </w:p>
    <w:p w14:paraId="7F8AE014" w14:textId="365103E1" w:rsidR="000C02E3" w:rsidRPr="00524979" w:rsidRDefault="000C02E3" w:rsidP="00AA4887">
      <w:pPr>
        <w:pStyle w:val="Normal11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contextualSpacing/>
        <w:outlineLvl w:val="0"/>
        <w:rPr>
          <w:b/>
        </w:rPr>
      </w:pPr>
      <w:r w:rsidRPr="00524979">
        <w:rPr>
          <w:rFonts w:asciiTheme="minorHAnsi" w:hAnsiTheme="minorHAnsi"/>
          <w:bCs/>
          <w:sz w:val="20"/>
          <w:szCs w:val="20"/>
        </w:rPr>
        <w:lastRenderedPageBreak/>
        <w:t>Event reporting numbers are based on the following rules:</w:t>
      </w:r>
      <w:r w:rsidRPr="00524979">
        <w:rPr>
          <w:rFonts w:asciiTheme="minorHAnsi" w:hAnsiTheme="minorHAnsi"/>
          <w:sz w:val="20"/>
          <w:szCs w:val="20"/>
        </w:rPr>
        <w:t xml:space="preserve"> If a WER or Preliminary WER was updated, the updated version is not counted as a newly reported event. If a single event affects more than one unit at a station, this is counted as one report. A generic WER affecting a fleet of plants or more than one plant is also counted as one report. </w:t>
      </w:r>
    </w:p>
    <w:sectPr w:rsidR="000C02E3" w:rsidRPr="00524979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4F300" w14:textId="77777777" w:rsidR="007341B5" w:rsidRDefault="007341B5" w:rsidP="007341B5">
      <w:pPr>
        <w:spacing w:after="0" w:line="240" w:lineRule="auto"/>
      </w:pPr>
      <w:r>
        <w:separator/>
      </w:r>
    </w:p>
  </w:endnote>
  <w:endnote w:type="continuationSeparator" w:id="0">
    <w:p w14:paraId="0E74F301" w14:textId="77777777" w:rsidR="007341B5" w:rsidRDefault="007341B5" w:rsidP="0073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4F2FE" w14:textId="77777777" w:rsidR="007341B5" w:rsidRDefault="007341B5" w:rsidP="007341B5">
      <w:pPr>
        <w:spacing w:after="0" w:line="240" w:lineRule="auto"/>
      </w:pPr>
      <w:r>
        <w:separator/>
      </w:r>
    </w:p>
  </w:footnote>
  <w:footnote w:type="continuationSeparator" w:id="0">
    <w:p w14:paraId="0E74F2FF" w14:textId="77777777" w:rsidR="007341B5" w:rsidRDefault="007341B5" w:rsidP="0073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4F302" w14:textId="77777777" w:rsidR="007341B5" w:rsidRPr="007341B5" w:rsidRDefault="007341B5" w:rsidP="007341B5">
    <w:pPr>
      <w:spacing w:after="0"/>
      <w:jc w:val="center"/>
      <w:outlineLvl w:val="0"/>
      <w:rPr>
        <w:rFonts w:ascii="Calibri" w:eastAsia="MS Mincho" w:hAnsi="Calibri" w:cs="Times New Roman"/>
        <w:b/>
        <w:sz w:val="28"/>
        <w:szCs w:val="28"/>
      </w:rPr>
    </w:pPr>
    <w:r w:rsidRPr="007341B5">
      <w:rPr>
        <w:rFonts w:ascii="Calibri" w:eastAsia="MS Mincho" w:hAnsi="Calibri" w:cs="Times New Roman"/>
        <w:b/>
        <w:sz w:val="28"/>
        <w:szCs w:val="28"/>
      </w:rPr>
      <w:t>WANO PA Programme Status</w:t>
    </w:r>
  </w:p>
  <w:p w14:paraId="0E74F303" w14:textId="663EC303" w:rsidR="007341B5" w:rsidRPr="00FB7625" w:rsidRDefault="007341B5" w:rsidP="0086705E">
    <w:pPr>
      <w:spacing w:after="120"/>
      <w:jc w:val="center"/>
    </w:pPr>
    <w:r w:rsidRPr="007341B5">
      <w:rPr>
        <w:rFonts w:ascii="Calibri" w:eastAsia="MS Mincho" w:hAnsi="Calibri" w:cs="Times New Roman"/>
        <w:sz w:val="28"/>
        <w:szCs w:val="28"/>
      </w:rPr>
      <w:t>Events Reviewed, Classified and Pu</w:t>
    </w:r>
    <w:r w:rsidR="00B53AE8">
      <w:rPr>
        <w:rFonts w:ascii="Calibri" w:eastAsia="MS Mincho" w:hAnsi="Calibri" w:cs="Times New Roman"/>
        <w:sz w:val="28"/>
        <w:szCs w:val="28"/>
      </w:rPr>
      <w:t>blished by PACT in June</w:t>
    </w:r>
    <w:r w:rsidR="00323D39">
      <w:rPr>
        <w:rFonts w:ascii="Calibri" w:eastAsia="MS Mincho" w:hAnsi="Calibri" w:cs="Times New Roman"/>
        <w:sz w:val="28"/>
        <w:szCs w:val="28"/>
      </w:rPr>
      <w:t xml:space="preserve"> 2017</w:t>
    </w:r>
  </w:p>
  <w:p w14:paraId="0E74F304" w14:textId="77777777" w:rsidR="007341B5" w:rsidRDefault="007341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F74"/>
    <w:multiLevelType w:val="hybridMultilevel"/>
    <w:tmpl w:val="D9D453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F5F68"/>
    <w:multiLevelType w:val="hybridMultilevel"/>
    <w:tmpl w:val="CDD4EDE0"/>
    <w:lvl w:ilvl="0" w:tplc="CFD821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07CD6"/>
    <w:multiLevelType w:val="hybridMultilevel"/>
    <w:tmpl w:val="2036376A"/>
    <w:lvl w:ilvl="0" w:tplc="88DCD1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327267"/>
    <w:multiLevelType w:val="hybridMultilevel"/>
    <w:tmpl w:val="6F163556"/>
    <w:lvl w:ilvl="0" w:tplc="789A2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820EB"/>
    <w:multiLevelType w:val="hybridMultilevel"/>
    <w:tmpl w:val="723A9D84"/>
    <w:lvl w:ilvl="0" w:tplc="6EF0514C">
      <w:start w:val="1"/>
      <w:numFmt w:val="decimal"/>
      <w:pStyle w:val="Normal11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B5"/>
    <w:rsid w:val="000909DB"/>
    <w:rsid w:val="0009287E"/>
    <w:rsid w:val="000C02E3"/>
    <w:rsid w:val="000C3C12"/>
    <w:rsid w:val="000C504C"/>
    <w:rsid w:val="000E5EF7"/>
    <w:rsid w:val="000E7768"/>
    <w:rsid w:val="000F5530"/>
    <w:rsid w:val="001151ED"/>
    <w:rsid w:val="00172548"/>
    <w:rsid w:val="00172FB4"/>
    <w:rsid w:val="001A7607"/>
    <w:rsid w:val="00224443"/>
    <w:rsid w:val="00225CFC"/>
    <w:rsid w:val="00284CD6"/>
    <w:rsid w:val="002A7EB1"/>
    <w:rsid w:val="002D0661"/>
    <w:rsid w:val="002D363C"/>
    <w:rsid w:val="002F6C66"/>
    <w:rsid w:val="002F74EA"/>
    <w:rsid w:val="00323D39"/>
    <w:rsid w:val="00337862"/>
    <w:rsid w:val="003563C6"/>
    <w:rsid w:val="003922AD"/>
    <w:rsid w:val="003A300E"/>
    <w:rsid w:val="00416108"/>
    <w:rsid w:val="00483859"/>
    <w:rsid w:val="0049147C"/>
    <w:rsid w:val="004A637B"/>
    <w:rsid w:val="00503DEE"/>
    <w:rsid w:val="00524979"/>
    <w:rsid w:val="00574F0F"/>
    <w:rsid w:val="005802D0"/>
    <w:rsid w:val="00582DD5"/>
    <w:rsid w:val="005C7878"/>
    <w:rsid w:val="006018F5"/>
    <w:rsid w:val="00610E1B"/>
    <w:rsid w:val="007211BC"/>
    <w:rsid w:val="0072740F"/>
    <w:rsid w:val="007341B5"/>
    <w:rsid w:val="007370C7"/>
    <w:rsid w:val="00754456"/>
    <w:rsid w:val="00796B59"/>
    <w:rsid w:val="007A54BC"/>
    <w:rsid w:val="0082131D"/>
    <w:rsid w:val="0084252F"/>
    <w:rsid w:val="0086705E"/>
    <w:rsid w:val="008E0647"/>
    <w:rsid w:val="008E432E"/>
    <w:rsid w:val="00940444"/>
    <w:rsid w:val="0094654C"/>
    <w:rsid w:val="009B64C6"/>
    <w:rsid w:val="009D0FB9"/>
    <w:rsid w:val="00A439FF"/>
    <w:rsid w:val="00A44C5E"/>
    <w:rsid w:val="00A51D2F"/>
    <w:rsid w:val="00A66948"/>
    <w:rsid w:val="00AA33F6"/>
    <w:rsid w:val="00AB2763"/>
    <w:rsid w:val="00AB2C2F"/>
    <w:rsid w:val="00AC0F7E"/>
    <w:rsid w:val="00AD7B83"/>
    <w:rsid w:val="00B0180C"/>
    <w:rsid w:val="00B347AE"/>
    <w:rsid w:val="00B4467C"/>
    <w:rsid w:val="00B53AE8"/>
    <w:rsid w:val="00BA024C"/>
    <w:rsid w:val="00C0471C"/>
    <w:rsid w:val="00C64BB3"/>
    <w:rsid w:val="00CB0FFF"/>
    <w:rsid w:val="00DB1220"/>
    <w:rsid w:val="00DB2983"/>
    <w:rsid w:val="00DF7A41"/>
    <w:rsid w:val="00E24C77"/>
    <w:rsid w:val="00E848BC"/>
    <w:rsid w:val="00EC2DCC"/>
    <w:rsid w:val="00ED1BBE"/>
    <w:rsid w:val="00EE13CE"/>
    <w:rsid w:val="00F74777"/>
    <w:rsid w:val="00FA0EC5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E74F249"/>
  <w15:chartTrackingRefBased/>
  <w15:docId w15:val="{15361F50-4769-4B36-BC70-D3F22E8C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1B5"/>
  </w:style>
  <w:style w:type="paragraph" w:styleId="Footer">
    <w:name w:val="footer"/>
    <w:basedOn w:val="Normal"/>
    <w:link w:val="FooterChar"/>
    <w:uiPriority w:val="99"/>
    <w:unhideWhenUsed/>
    <w:rsid w:val="0073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1B5"/>
  </w:style>
  <w:style w:type="character" w:styleId="Hyperlink">
    <w:name w:val="Hyperlink"/>
    <w:uiPriority w:val="99"/>
    <w:rsid w:val="007341B5"/>
    <w:rPr>
      <w:color w:val="0066CC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341B5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41B5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341B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341B5"/>
    <w:rPr>
      <w:color w:val="954F72" w:themeColor="followedHyperlink"/>
      <w:u w:val="single"/>
    </w:rPr>
  </w:style>
  <w:style w:type="paragraph" w:customStyle="1" w:styleId="Normal11">
    <w:name w:val="Normal 11"/>
    <w:basedOn w:val="Normal"/>
    <w:rsid w:val="007341B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Times New Roman" w:eastAsia="MS Mincho" w:hAnsi="Times New Roman" w:cs="Times New Roman"/>
    </w:rPr>
  </w:style>
  <w:style w:type="paragraph" w:styleId="ListParagraph">
    <w:name w:val="List Paragraph"/>
    <w:basedOn w:val="Normal"/>
    <w:uiPriority w:val="34"/>
    <w:qFormat/>
    <w:rsid w:val="008E4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ano.org/OperatingExperience/OE_Database_2012/Pages/EventReportDetail.aspx?ids=28698" TargetMode="External"/><Relationship Id="rId18" Type="http://schemas.openxmlformats.org/officeDocument/2006/relationships/hyperlink" Target="http://www.wano.org/OperatingExperience/OE_Database_2012/Pages/EventReportDetail.aspx?ids=28700" TargetMode="External"/><Relationship Id="rId26" Type="http://schemas.openxmlformats.org/officeDocument/2006/relationships/hyperlink" Target="http://www.wano.org/OperatingExperience/OE_Database_2012/Pages/EventReportDetail.aspx?ids=2876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wano.org/OperatingExperience/OE_Database_2012/Pages/EventReportDetail.aspx?ids=2866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wano.org/OperatingExperience/OE_Database_2012/Pages/EventReportDetail.aspx?ids=28101" TargetMode="External"/><Relationship Id="rId17" Type="http://schemas.openxmlformats.org/officeDocument/2006/relationships/hyperlink" Target="http://www.wano.org/OperatingExperience/OE_Database_2012/Pages/EventReportDetail.aspx?ids=28758" TargetMode="External"/><Relationship Id="rId25" Type="http://schemas.openxmlformats.org/officeDocument/2006/relationships/hyperlink" Target="http://www.wano.org/OperatingExperience/OE_Database_2012/Pages/EventReportDetail.aspx?ids=2878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ano.org/OperatingExperience/OE_Database_2012/Pages/EventReportDetail.aspx?ids=28764" TargetMode="External"/><Relationship Id="rId20" Type="http://schemas.openxmlformats.org/officeDocument/2006/relationships/hyperlink" Target="http://www.wano.org/OperatingExperience/OE_Database_2012/Pages/EventReportDetail.aspx?ids=2867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ano.org/OperatingExperience/OE_Database_2012/Pages/EventReportDetail.aspx?ids=28551" TargetMode="External"/><Relationship Id="rId24" Type="http://schemas.openxmlformats.org/officeDocument/2006/relationships/hyperlink" Target="http://www.wano.org/OperatingExperience/OE_Database_2012/Pages/EventReportDetail.aspx?ids=2810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ano.org/OperatingExperience/OE_Database_2012/Pages/EventReportDetail.aspx?ids=28783" TargetMode="External"/><Relationship Id="rId23" Type="http://schemas.openxmlformats.org/officeDocument/2006/relationships/hyperlink" Target="http://www.wano.org/OperatingExperience/OE_Database_2012/Pages/EventReportDetail.aspx?ids=2855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ano.org/OperatingExperience/OE_Database_2012/Pages/EventReportDetail.aspx?ids=28694" TargetMode="External"/><Relationship Id="rId19" Type="http://schemas.openxmlformats.org/officeDocument/2006/relationships/hyperlink" Target="http://www.wano.org/OperatingExperience/OE_Database_2012/Pages/EventReportDetail.aspx?ids=287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ano.org/OperatingExperience/OE_Database_2012/Pages/EventReportDetail.aspx?ids=28789" TargetMode="External"/><Relationship Id="rId22" Type="http://schemas.openxmlformats.org/officeDocument/2006/relationships/hyperlink" Target="http://www.wano.org/OperatingExperience/OE_Database_2012/Pages/EventReportDetail.aspx?ids=28738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C20E5F62C34EB50AC2BE49CA6E17" ma:contentTypeVersion="46" ma:contentTypeDescription="Create a new document." ma:contentTypeScope="" ma:versionID="96b970391dc4d3f58d06b757dd5bf947">
  <xsd:schema xmlns:xsd="http://www.w3.org/2001/XMLSchema" xmlns:xs="http://www.w3.org/2001/XMLSchema" xmlns:p="http://schemas.microsoft.com/office/2006/metadata/properties" xmlns:ns1="http://schemas.microsoft.com/sharepoint/v3" xmlns:ns2="8032f6c5-ee86-4850-9e4a-5bdd649cb002" xmlns:ns3="7e5fe077-b1cd-48d0-84b0-e3d3060de593" xmlns:ns4="b24a0e6e-04e8-475b-98da-7261f4fee30e" xmlns:ns5="eab3c1a0-3fe8-472c-8837-a43cd33d033b" xmlns:ns6="77971c7b-542d-43f4-926a-d38b58471ec3" xmlns:ns7="http://schemas.microsoft.com/sharepoint/v4" xmlns:ns8="fbee6775-8511-4ed6-a75f-988fb40c0252" targetNamespace="http://schemas.microsoft.com/office/2006/metadata/properties" ma:root="true" ma:fieldsID="d285e264fe25cac46a60726eaa02f848" ns1:_="" ns2:_="" ns3:_="" ns4:_="" ns5:_="" ns6:_="" ns7:_="" ns8:_="">
    <xsd:import namespace="http://schemas.microsoft.com/sharepoint/v3"/>
    <xsd:import namespace="8032f6c5-ee86-4850-9e4a-5bdd649cb002"/>
    <xsd:import namespace="7e5fe077-b1cd-48d0-84b0-e3d3060de593"/>
    <xsd:import namespace="b24a0e6e-04e8-475b-98da-7261f4fee30e"/>
    <xsd:import namespace="eab3c1a0-3fe8-472c-8837-a43cd33d033b"/>
    <xsd:import namespace="77971c7b-542d-43f4-926a-d38b58471ec3"/>
    <xsd:import namespace="http://schemas.microsoft.com/sharepoint/v4"/>
    <xsd:import namespace="fbee6775-8511-4ed6-a75f-988fb40c0252"/>
    <xsd:element name="properties">
      <xsd:complexType>
        <xsd:sequence>
          <xsd:element name="documentManagement">
            <xsd:complexType>
              <xsd:all>
                <xsd:element ref="ns3:Action" minOccurs="0"/>
                <xsd:element ref="ns4:cd96452d2ee54ae4bc31b9daaae3e26c" minOccurs="0"/>
                <xsd:element ref="ns4:g0323e1db8b8480995966dbaf00e4fb6" minOccurs="0"/>
                <xsd:element ref="ns6:mefd9d5c249f46daa6cc5613bffd3e7e" minOccurs="0"/>
                <xsd:element ref="ns4:ncdaf359daf340cfbb58a662d0920f93" minOccurs="0"/>
                <xsd:element ref="ns7:IconOverlay" minOccurs="0"/>
                <xsd:element ref="ns1:_vti_ItemDeclaredRecord" minOccurs="0"/>
                <xsd:element ref="ns1:_vti_ItemHoldRecordStatus" minOccurs="0"/>
                <xsd:element ref="ns8:SharedWithUsers" minOccurs="0"/>
                <xsd:element ref="ns8:SharingHintHash" minOccurs="0"/>
                <xsd:element ref="ns3:SharedWithDetails" minOccurs="0"/>
                <xsd:element ref="ns5:TaxKeywordTaxHTField" minOccurs="0"/>
                <xsd:element ref="ns5:TaxCatchAll" minOccurs="0"/>
                <xsd:element ref="ns3:l36d6ba18cdf4a4e99aa80f6928b053a" minOccurs="0"/>
                <xsd:element ref="ns2:c4492934f82648f6bf8c3df783690b16" minOccurs="0"/>
                <xsd:element ref="ns3:o7ec1b6fd204465c8cd5cb566ee77aa0" minOccurs="0"/>
                <xsd:element ref="ns3:LastSharedByUser" minOccurs="0"/>
                <xsd:element ref="ns3:LastSharedByTime" minOccurs="0"/>
                <xsd:element ref="ns3:c7666e0e44ad479f86b3bd2019b2098a" minOccurs="0"/>
                <xsd:element ref="ns3:ib66990238b042dab6c7e66e69bfee7e" minOccurs="0"/>
                <xsd:element ref="ns3:c59919971a1e4629aaa97285c6c7d08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f6c5-ee86-4850-9e4a-5bdd649cb002" elementFormDefault="qualified">
    <xsd:import namespace="http://schemas.microsoft.com/office/2006/documentManagement/types"/>
    <xsd:import namespace="http://schemas.microsoft.com/office/infopath/2007/PartnerControls"/>
    <xsd:element name="c4492934f82648f6bf8c3df783690b16" ma:index="29" nillable="true" ma:taxonomy="true" ma:internalName="c4492934f82648f6bf8c3df783690b16" ma:taxonomyFieldName="Department" ma:displayName="Department" ma:indexed="true" ma:readOnly="false" ma:default="302;#OE|db730fbf-12e3-400d-b0a2-f16aa54eb418" ma:fieldId="{c4492934-f826-48f6-bf8c-3df783690b16}" ma:sspId="b96e348e-4606-44cf-8618-9e79763aab8c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fe077-b1cd-48d0-84b0-e3d3060de593" elementFormDefault="qualified">
    <xsd:import namespace="http://schemas.microsoft.com/office/2006/documentManagement/types"/>
    <xsd:import namespace="http://schemas.microsoft.com/office/infopath/2007/PartnerControls"/>
    <xsd:element name="Action" ma:index="8" nillable="true" ma:displayName="Action" ma:format="Dropdown" ma:internalName="Action">
      <xsd:simpleType>
        <xsd:restriction base="dms:Choice">
          <xsd:enumeration value="Move to archive"/>
          <xsd:enumeration value="﻿"/>
        </xsd:restriction>
      </xsd:simple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36d6ba18cdf4a4e99aa80f6928b053a" ma:index="28" nillable="true" ma:taxonomy="true" ma:internalName="l36d6ba18cdf4a4e99aa80f6928b053a" ma:taxonomyFieldName="WANO_x0020_Document_x0020_Category" ma:displayName="WANO Document Category" ma:default="" ma:fieldId="{536d6ba1-8cdf-4a4e-99aa-80f6928b053a}" ma:sspId="b96e348e-4606-44cf-8618-9e79763aab8c" ma:termSetId="74b13568-a396-49ab-b205-a16144dc46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ec1b6fd204465c8cd5cb566ee77aa0" ma:index="30" nillable="true" ma:taxonomy="true" ma:internalName="o7ec1b6fd204465c8cd5cb566ee77aa0" ma:taxonomyFieldName="WANO_x0020_Document_x0020_Type" ma:displayName="WANO Document Type" ma:default="" ma:fieldId="{87ec1b6f-d204-465c-8cd5-cb566ee77aa0}" ma:sspId="b96e348e-4606-44cf-8618-9e79763aab8c" ma:termSetId="c157e9e3-5a6c-436f-959c-02f93aff56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SharedByUser" ma:index="3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3" nillable="true" ma:displayName="Last Shared By Time" ma:description="" ma:internalName="LastSharedByTime" ma:readOnly="true">
      <xsd:simpleType>
        <xsd:restriction base="dms:DateTime"/>
      </xsd:simpleType>
    </xsd:element>
    <xsd:element name="c7666e0e44ad479f86b3bd2019b2098a" ma:index="34" nillable="true" ma:displayName="WANO Year_0" ma:hidden="true" ma:internalName="c7666e0e44ad479f86b3bd2019b2098a">
      <xsd:simpleType>
        <xsd:restriction base="dms:Note"/>
      </xsd:simpleType>
    </xsd:element>
    <xsd:element name="ib66990238b042dab6c7e66e69bfee7e" ma:index="35" nillable="true" ma:displayName="WANO Revision_0" ma:hidden="true" ma:internalName="ib66990238b042dab6c7e66e69bfee7e">
      <xsd:simpleType>
        <xsd:restriction base="dms:Note"/>
      </xsd:simpleType>
    </xsd:element>
    <xsd:element name="c59919971a1e4629aaa97285c6c7d088" ma:index="36" nillable="true" ma:displayName="IS Keywords_0" ma:hidden="true" ma:internalName="c59919971a1e4629aaa97285c6c7d088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0e6e-04e8-475b-98da-7261f4fee30e" elementFormDefault="qualified">
    <xsd:import namespace="http://schemas.microsoft.com/office/2006/documentManagement/types"/>
    <xsd:import namespace="http://schemas.microsoft.com/office/infopath/2007/PartnerControls"/>
    <xsd:element name="cd96452d2ee54ae4bc31b9daaae3e26c" ma:index="11" nillable="true" ma:taxonomy="true" ma:internalName="cd96452d2ee54ae4bc31b9daaae3e26c" ma:taxonomyFieldName="Sub_x0020_Type" ma:displayName="Sub Type" ma:indexed="true" ma:readOnly="false" ma:default="" ma:fieldId="{cd96452d-2ee5-4ae4-bc31-b9daaae3e26c}" ma:sspId="b96e348e-4606-44cf-8618-9e79763aab8c" ma:termSetId="1e96b284-37b2-44a2-8732-80a5d4353b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323e1db8b8480995966dbaf00e4fb6" ma:index="12" nillable="true" ma:taxonomy="true" ma:internalName="g0323e1db8b8480995966dbaf00e4fb6" ma:taxonomyFieldName="Revision" ma:displayName="Revision" ma:indexed="true" ma:readOnly="false" ma:default="" ma:fieldId="{00323e1d-b8b8-4809-9596-6dbaf00e4fb6}" ma:sspId="b96e348e-4606-44cf-8618-9e79763aab8c" ma:termSetId="c492dd89-f14a-49ae-b2fd-65a77584c3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daf359daf340cfbb58a662d0920f93" ma:index="18" nillable="true" ma:taxonomy="true" ma:internalName="ncdaf359daf340cfbb58a662d0920f93" ma:taxonomyFieldName="Year" ma:displayName="Year" ma:indexed="true" ma:readOnly="false" ma:default="" ma:fieldId="{7cdaf359-daf3-40cf-bb58-a662d0920f93}" ma:sspId="b96e348e-4606-44cf-8618-9e79763aab8c" ma:termSetId="360ceda4-7018-4cf2-9edc-bf1aba26c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3c1a0-3fe8-472c-8837-a43cd33d033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5" nillable="true" ma:taxonomy="true" ma:internalName="TaxKeywordTaxHTField" ma:taxonomyFieldName="Enterprise_x0020_Keywords" ma:displayName="Enterprise Keywords" ma:fieldId="{23f27201-bee3-471e-b2e7-b64fd8b7ca38}" ma:taxonomyMulti="true" ma:sspId="b96e348e-4606-44cf-8618-9e79763aab8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8131a5e-7ccb-4c99-88b9-46d043dde22b}" ma:internalName="TaxCatchAll" ma:showField="CatchAllData" ma:web="7e5fe077-b1cd-48d0-84b0-e3d3060de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1c7b-542d-43f4-926a-d38b58471ec3" elementFormDefault="qualified">
    <xsd:import namespace="http://schemas.microsoft.com/office/2006/documentManagement/types"/>
    <xsd:import namespace="http://schemas.microsoft.com/office/infopath/2007/PartnerControls"/>
    <xsd:element name="mefd9d5c249f46daa6cc5613bffd3e7e" ma:index="17" nillable="true" ma:taxonomy="true" ma:internalName="mefd9d5c249f46daa6cc5613bffd3e7e" ma:taxonomyFieldName="Document_x0020_Type" ma:displayName="Document Type" ma:indexed="true" ma:readOnly="false" ma:default="" ma:fieldId="{6efd9d5c-249f-46da-a6cc-5613bffd3e7e}" ma:sspId="b96e348e-4606-44cf-8618-9e79763aab8c" ma:termSetId="3898feb5-5836-4cd7-9aa2-6685f3d4fc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e6775-8511-4ed6-a75f-988fb40c025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3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7e5fe077-b1cd-48d0-84b0-e3d3060de593" xsi:nil="true"/>
    <c4492934f82648f6bf8c3df783690b16 xmlns="8032f6c5-ee86-4850-9e4a-5bdd649cb0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Analysis (PA)</TermName>
          <TermId xmlns="http://schemas.microsoft.com/office/infopath/2007/PartnerControls">dea0493d-9331-4978-8450-6d4f0ed64b38</TermId>
        </TermInfo>
      </Terms>
    </c4492934f82648f6bf8c3df783690b16>
    <g0323e1db8b8480995966dbaf00e4fb6 xmlns="b24a0e6e-04e8-475b-98da-7261f4fee3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3c3e3dd0-f3c6-4353-87a8-d75cb0044400</TermId>
        </TermInfo>
      </Terms>
    </g0323e1db8b8480995966dbaf00e4fb6>
    <IconOverlay xmlns="http://schemas.microsoft.com/sharepoint/v4" xsi:nil="true"/>
    <TaxKeywordTaxHTField xmlns="eab3c1a0-3fe8-472c-8837-a43cd33d033b">
      <Terms xmlns="http://schemas.microsoft.com/office/infopath/2007/PartnerControls"/>
    </TaxKeywordTaxHTField>
    <l36d6ba18cdf4a4e99aa80f6928b053a xmlns="7e5fe077-b1cd-48d0-84b0-e3d3060de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Publications</TermName>
          <TermId xmlns="http://schemas.microsoft.com/office/infopath/2007/PartnerControls">411053fd-8601-43bc-aaa4-298a4cfcab72</TermId>
        </TermInfo>
      </Terms>
    </l36d6ba18cdf4a4e99aa80f6928b053a>
    <mefd9d5c249f46daa6cc5613bffd3e7e xmlns="77971c7b-542d-43f4-926a-d38b58471ec3">
      <Terms xmlns="http://schemas.microsoft.com/office/infopath/2007/PartnerControls"/>
    </mefd9d5c249f46daa6cc5613bffd3e7e>
    <TaxCatchAll xmlns="eab3c1a0-3fe8-472c-8837-a43cd33d033b">
      <Value>805</Value>
      <Value>600</Value>
      <Value>689</Value>
      <Value>253</Value>
      <Value>1610</Value>
    </TaxCatchAll>
    <cd96452d2ee54ae4bc31b9daaae3e26c xmlns="b24a0e6e-04e8-475b-98da-7261f4fee30e">
      <Terms xmlns="http://schemas.microsoft.com/office/infopath/2007/PartnerControls"/>
    </cd96452d2ee54ae4bc31b9daaae3e26c>
    <o7ec1b6fd204465c8cd5cb566ee77aa0 xmlns="7e5fe077-b1cd-48d0-84b0-e3d3060de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Monthly report</TermName>
          <TermId xmlns="http://schemas.microsoft.com/office/infopath/2007/PartnerControls">0fe8df3b-d300-4f8c-8ecb-e2547cab3ca2</TermId>
        </TermInfo>
      </Terms>
    </o7ec1b6fd204465c8cd5cb566ee77aa0>
    <ncdaf359daf340cfbb58a662d0920f93 xmlns="b24a0e6e-04e8-475b-98da-7261f4fee3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6437528f-86f4-4c4f-b9ed-c21cfc6aa6a5</TermId>
        </TermInfo>
      </Terms>
    </ncdaf359daf340cfbb58a662d0920f93>
    <c7666e0e44ad479f86b3bd2019b2098a xmlns="7e5fe077-b1cd-48d0-84b0-e3d3060de593" xsi:nil="true"/>
    <c59919971a1e4629aaa97285c6c7d088 xmlns="7e5fe077-b1cd-48d0-84b0-e3d3060de593" xsi:nil="true"/>
    <ib66990238b042dab6c7e66e69bfee7e xmlns="7e5fe077-b1cd-48d0-84b0-e3d3060de5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36226-BE71-4C1B-B22A-C1D1E0D36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32f6c5-ee86-4850-9e4a-5bdd649cb002"/>
    <ds:schemaRef ds:uri="7e5fe077-b1cd-48d0-84b0-e3d3060de593"/>
    <ds:schemaRef ds:uri="b24a0e6e-04e8-475b-98da-7261f4fee30e"/>
    <ds:schemaRef ds:uri="eab3c1a0-3fe8-472c-8837-a43cd33d033b"/>
    <ds:schemaRef ds:uri="77971c7b-542d-43f4-926a-d38b58471ec3"/>
    <ds:schemaRef ds:uri="http://schemas.microsoft.com/sharepoint/v4"/>
    <ds:schemaRef ds:uri="fbee6775-8511-4ed6-a75f-988fb40c0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FCC02-D55D-4CD4-9D28-96373CEAE630}">
  <ds:schemaRefs>
    <ds:schemaRef ds:uri="http://purl.org/dc/dcmitype/"/>
    <ds:schemaRef ds:uri="http://purl.org/dc/elements/1.1/"/>
    <ds:schemaRef ds:uri="http://schemas.microsoft.com/office/2006/metadata/properties"/>
    <ds:schemaRef ds:uri="fbee6775-8511-4ed6-a75f-988fb40c0252"/>
    <ds:schemaRef ds:uri="http://purl.org/dc/terms/"/>
    <ds:schemaRef ds:uri="http://schemas.openxmlformats.org/package/2006/metadata/core-properties"/>
    <ds:schemaRef ds:uri="7e5fe077-b1cd-48d0-84b0-e3d3060de593"/>
    <ds:schemaRef ds:uri="http://schemas.microsoft.com/sharepoint/v4"/>
    <ds:schemaRef ds:uri="b24a0e6e-04e8-475b-98da-7261f4fee30e"/>
    <ds:schemaRef ds:uri="http://schemas.microsoft.com/office/2006/documentManagement/types"/>
    <ds:schemaRef ds:uri="http://www.w3.org/XML/1998/namespace"/>
    <ds:schemaRef ds:uri="77971c7b-542d-43f4-926a-d38b58471ec3"/>
    <ds:schemaRef ds:uri="8032f6c5-ee86-4850-9e4a-5bdd649cb002"/>
    <ds:schemaRef ds:uri="http://schemas.microsoft.com/office/infopath/2007/PartnerControls"/>
    <ds:schemaRef ds:uri="http://schemas.microsoft.com/sharepoint/v3"/>
    <ds:schemaRef ds:uri="eab3c1a0-3fe8-472c-8837-a43cd33d033b"/>
  </ds:schemaRefs>
</ds:datastoreItem>
</file>

<file path=customXml/itemProps3.xml><?xml version="1.0" encoding="utf-8"?>
<ds:datastoreItem xmlns:ds="http://schemas.openxmlformats.org/officeDocument/2006/customXml" ds:itemID="{ACAA1ABF-6D17-4FD7-ACCB-259F56414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 - 2017  June Monthly Report - Programme Status new format</vt:lpstr>
    </vt:vector>
  </TitlesOfParts>
  <Company>WANO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 - 2017  June Monthly Report - Programme Status new format</dc:title>
  <dc:subject/>
  <dc:creator>Riccardo Chiarelli</dc:creator>
  <cp:keywords/>
  <dc:description/>
  <cp:lastModifiedBy>Riccardo Chiarelli</cp:lastModifiedBy>
  <cp:revision>2</cp:revision>
  <cp:lastPrinted>2017-01-13T11:39:00Z</cp:lastPrinted>
  <dcterms:created xsi:type="dcterms:W3CDTF">2017-07-04T09:12:00Z</dcterms:created>
  <dcterms:modified xsi:type="dcterms:W3CDTF">2017-07-04T09:12:00Z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0x0101006FB4C20E5F62C34EB50AC2BE49CA6E17</vt:lpwstr>
  </property>
  <property fmtid="{D5CDD505-2E9C-101B-9397-08002B2CF9AE}" pid="3" name="WANO Document Type">
    <vt:lpwstr>805;#Monthly report|0fe8df3b-d300-4f8c-8ecb-e2547cab3ca2</vt:lpwstr>
  </property>
  <property fmtid="{D5CDD505-2E9C-101B-9397-08002B2CF9AE}" pid="4" name="WANO Document Category">
    <vt:lpwstr>689;#Publications|411053fd-8601-43bc-aaa4-298a4cfcab72</vt:lpwstr>
  </property>
  <property fmtid="{D5CDD505-2E9C-101B-9397-08002B2CF9AE}" pid="5" name="Year">
    <vt:lpwstr>600;#2017|6437528f-86f4-4c4f-b9ed-c21cfc6aa6a5</vt:lpwstr>
  </property>
  <property fmtid="{D5CDD505-2E9C-101B-9397-08002B2CF9AE}" pid="6" name="Department">
    <vt:lpwstr>1610;#Performance Analysis (PA)|dea0493d-9331-4978-8450-6d4f0ed64b38</vt:lpwstr>
  </property>
  <property fmtid="{D5CDD505-2E9C-101B-9397-08002B2CF9AE}" pid="7" name="Revision">
    <vt:lpwstr>253;#Draft|3c3e3dd0-f3c6-4353-87a8-d75cb0044400</vt:lpwstr>
  </property>
  <property fmtid="{D5CDD505-2E9C-101B-9397-08002B2CF9AE}" pid="8" name="IS Keywords">
    <vt:lpwstr/>
  </property>
  <property fmtid="{D5CDD505-2E9C-101B-9397-08002B2CF9AE}" pid="9" name="WANO Year">
    <vt:lpwstr/>
  </property>
  <property fmtid="{D5CDD505-2E9C-101B-9397-08002B2CF9AE}" pid="10" name="WANO Revision">
    <vt:lpwstr/>
  </property>
  <property fmtid="{D5CDD505-2E9C-101B-9397-08002B2CF9AE}" pid="11" name="FileLeafRef">
    <vt:lpwstr>OE - 2017 May Monthly Report - Programme Status new format.docx</vt:lpwstr>
  </property>
  <property fmtid="{D5CDD505-2E9C-101B-9397-08002B2CF9AE}" pid="12" name="Enterprise_x0020_Keywords">
    <vt:lpwstr/>
  </property>
  <property fmtid="{D5CDD505-2E9C-101B-9397-08002B2CF9AE}" pid="13" name="Enterprise Keywords">
    <vt:lpwstr/>
  </property>
  <property fmtid="{D5CDD505-2E9C-101B-9397-08002B2CF9AE}" pid="14" name="Sub Type">
    <vt:lpwstr/>
  </property>
  <property fmtid="{D5CDD505-2E9C-101B-9397-08002B2CF9AE}" pid="15" name="Document Type">
    <vt:lpwstr/>
  </property>
</Properties>
</file>