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970162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A00516" w:rsidRPr="00A00516" w:rsidRDefault="00A00516" w:rsidP="00A00516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A00516">
        <w:rPr>
          <w:rFonts w:eastAsia="Times New Roman"/>
          <w:color w:val="1F497D"/>
          <w:sz w:val="28"/>
          <w:szCs w:val="28"/>
          <w:lang w:val="en-US"/>
        </w:rPr>
        <w:t>Dear Colleagues,</w:t>
      </w:r>
    </w:p>
    <w:p w:rsidR="007744E8" w:rsidRPr="007744E8" w:rsidRDefault="00A00516" w:rsidP="00A00516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A00516">
        <w:rPr>
          <w:rFonts w:eastAsia="Times New Roman"/>
          <w:color w:val="1F497D"/>
          <w:sz w:val="28"/>
          <w:szCs w:val="28"/>
          <w:lang w:val="en-US"/>
        </w:rPr>
        <w:t>Paks</w:t>
      </w:r>
      <w:proofErr w:type="spellEnd"/>
      <w:r w:rsidRPr="00A00516">
        <w:rPr>
          <w:rFonts w:eastAsia="Times New Roman"/>
          <w:color w:val="1F497D"/>
          <w:sz w:val="28"/>
          <w:szCs w:val="28"/>
          <w:lang w:val="en-US"/>
        </w:rPr>
        <w:t xml:space="preserve"> NPP is asking to share your plant experience in using mounting materials (anti-seize compounds) for reactor vessel bolts and for the bolts of temperature and flux measurement penetrations.</w:t>
      </w:r>
    </w:p>
    <w:p w:rsidR="007744E8" w:rsidRDefault="007744E8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A00516" w:rsidRPr="00D72387" w:rsidTr="00A00516">
        <w:tc>
          <w:tcPr>
            <w:tcW w:w="9498" w:type="dxa"/>
          </w:tcPr>
          <w:p w:rsidR="00A00516" w:rsidRPr="001334FD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1334FD">
              <w:rPr>
                <w:b/>
                <w:sz w:val="28"/>
                <w:szCs w:val="28"/>
                <w:lang w:val="en-GB"/>
              </w:rPr>
              <w:t>NPP/Organization:</w:t>
            </w:r>
            <w:r w:rsidRPr="004175ED">
              <w:rPr>
                <w:sz w:val="28"/>
                <w:szCs w:val="28"/>
                <w:lang w:val="en-US"/>
              </w:rPr>
              <w:t xml:space="preserve"> </w:t>
            </w:r>
            <w:r w:rsidRPr="00A00516">
              <w:rPr>
                <w:color w:val="FF0000"/>
                <w:sz w:val="28"/>
                <w:szCs w:val="28"/>
                <w:lang w:val="en-US"/>
              </w:rPr>
              <w:t xml:space="preserve">MVM </w:t>
            </w:r>
            <w:proofErr w:type="spellStart"/>
            <w:r w:rsidRPr="00A00516">
              <w:rPr>
                <w:color w:val="FF0000"/>
                <w:sz w:val="28"/>
                <w:szCs w:val="28"/>
                <w:lang w:val="en-US"/>
              </w:rPr>
              <w:t>Paks</w:t>
            </w:r>
            <w:proofErr w:type="spellEnd"/>
            <w:r w:rsidRPr="00A00516">
              <w:rPr>
                <w:color w:val="FF0000"/>
                <w:sz w:val="28"/>
                <w:szCs w:val="28"/>
                <w:lang w:val="en-US"/>
              </w:rPr>
              <w:t xml:space="preserve"> NPP</w:t>
            </w:r>
          </w:p>
        </w:tc>
      </w:tr>
      <w:tr w:rsidR="00A00516" w:rsidRPr="00D72387" w:rsidTr="00A00516">
        <w:tc>
          <w:tcPr>
            <w:tcW w:w="9498" w:type="dxa"/>
          </w:tcPr>
          <w:p w:rsidR="00A00516" w:rsidRPr="00D72387" w:rsidRDefault="00A00516" w:rsidP="00A00516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 xml:space="preserve">The </w:t>
            </w:r>
            <w:r w:rsidRPr="00A00516">
              <w:rPr>
                <w:b/>
                <w:sz w:val="28"/>
                <w:szCs w:val="28"/>
                <w:lang w:val="en-GB"/>
              </w:rPr>
              <w:t>topic</w:t>
            </w:r>
            <w:r w:rsidRPr="00D72387">
              <w:rPr>
                <w:b/>
                <w:sz w:val="28"/>
                <w:szCs w:val="28"/>
                <w:lang w:val="en-US"/>
              </w:rPr>
              <w:t xml:space="preserve"> of information request: </w:t>
            </w:r>
            <w:r>
              <w:rPr>
                <w:color w:val="FF0000"/>
                <w:sz w:val="28"/>
                <w:szCs w:val="28"/>
                <w:lang w:val="en-US"/>
              </w:rPr>
              <w:t>Mounting materials (anti-seize compounds)</w:t>
            </w:r>
            <w:r w:rsidRPr="00252690">
              <w:rPr>
                <w:color w:val="FF0000"/>
                <w:sz w:val="28"/>
                <w:szCs w:val="28"/>
                <w:lang w:val="en-US"/>
              </w:rPr>
              <w:t xml:space="preserve"> used for reactor vessel bolts and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for the bolts of </w:t>
            </w:r>
            <w:r w:rsidRPr="00252690">
              <w:rPr>
                <w:color w:val="FF0000"/>
                <w:sz w:val="28"/>
                <w:szCs w:val="28"/>
                <w:lang w:val="en-US"/>
              </w:rPr>
              <w:t xml:space="preserve">temperature and flux measurement </w:t>
            </w:r>
            <w:r>
              <w:rPr>
                <w:color w:val="FF0000"/>
                <w:sz w:val="28"/>
                <w:szCs w:val="28"/>
                <w:lang w:val="en-US"/>
              </w:rPr>
              <w:t>penetration</w:t>
            </w:r>
            <w:r w:rsidRPr="00252690">
              <w:rPr>
                <w:color w:val="FF0000"/>
                <w:sz w:val="28"/>
                <w:szCs w:val="28"/>
                <w:lang w:val="en-US"/>
              </w:rPr>
              <w:t>s</w:t>
            </w:r>
            <w:r w:rsidRPr="00101BBC">
              <w:rPr>
                <w:rFonts w:eastAsia="Times New Roman"/>
                <w:color w:val="FF0000"/>
                <w:sz w:val="28"/>
                <w:szCs w:val="28"/>
                <w:lang w:val="en-GB"/>
              </w:rPr>
              <w:t>.</w:t>
            </w:r>
          </w:p>
        </w:tc>
      </w:tr>
      <w:tr w:rsidR="00A00516" w:rsidRPr="00D72387" w:rsidTr="00A00516">
        <w:tc>
          <w:tcPr>
            <w:tcW w:w="9498" w:type="dxa"/>
          </w:tcPr>
          <w:p w:rsidR="00A00516" w:rsidRPr="007B0706" w:rsidRDefault="00A00516" w:rsidP="00EC5B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The goal of information request</w:t>
            </w:r>
            <w:r w:rsidRPr="00D72387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Getting information from other plants regarding the topic of request.</w:t>
            </w:r>
          </w:p>
        </w:tc>
      </w:tr>
      <w:tr w:rsidR="00A00516" w:rsidRPr="00CF46F6" w:rsidTr="00A00516">
        <w:tc>
          <w:tcPr>
            <w:tcW w:w="9498" w:type="dxa"/>
          </w:tcPr>
          <w:p w:rsidR="00A00516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CF46F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Pr="00F75A30">
              <w:rPr>
                <w:b/>
                <w:sz w:val="28"/>
                <w:szCs w:val="28"/>
                <w:lang w:val="en-US"/>
              </w:rPr>
              <w:t>:</w:t>
            </w:r>
          </w:p>
          <w:p w:rsidR="00A00516" w:rsidRPr="00101BBC" w:rsidRDefault="00A00516" w:rsidP="00EC5B90">
            <w:pPr>
              <w:pStyle w:val="ListParagraph"/>
              <w:tabs>
                <w:tab w:val="left" w:pos="462"/>
              </w:tabs>
              <w:spacing w:line="240" w:lineRule="auto"/>
              <w:ind w:left="-1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In MVM </w:t>
            </w:r>
            <w:proofErr w:type="spellStart"/>
            <w:r w:rsidRPr="00252690">
              <w:rPr>
                <w:color w:val="FF0000"/>
                <w:sz w:val="24"/>
                <w:szCs w:val="24"/>
                <w:lang w:val="en-US"/>
              </w:rPr>
              <w:t>Paks</w:t>
            </w:r>
            <w:proofErr w:type="spellEnd"/>
            <w:r>
              <w:rPr>
                <w:color w:val="FF0000"/>
                <w:sz w:val="24"/>
                <w:szCs w:val="24"/>
                <w:lang w:val="en-US"/>
              </w:rPr>
              <w:t xml:space="preserve"> NPP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previously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we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used for the maintenance of VVER-440 V-213-CS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type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reactor equipment BOSTIK NG-165 </w:t>
            </w:r>
            <w:r>
              <w:rPr>
                <w:color w:val="FF0000"/>
                <w:sz w:val="24"/>
                <w:szCs w:val="24"/>
                <w:lang w:val="en-US"/>
              </w:rPr>
              <w:t>mounting anti-seize compounds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 (with satisfaction) among others in the following locations: </w:t>
            </w:r>
          </w:p>
          <w:p w:rsidR="00A00516" w:rsidRPr="00101BBC" w:rsidRDefault="00A00516" w:rsidP="00EC5B90">
            <w:pPr>
              <w:pStyle w:val="ListParagraph"/>
              <w:tabs>
                <w:tab w:val="left" w:pos="462"/>
              </w:tabs>
              <w:spacing w:line="240" w:lineRule="auto"/>
              <w:ind w:left="-1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101BBC">
              <w:rPr>
                <w:color w:val="FF0000"/>
                <w:sz w:val="24"/>
                <w:szCs w:val="24"/>
                <w:lang w:val="en-US"/>
              </w:rPr>
              <w:t>•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>f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or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the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M140x6 mm thread reactor </w:t>
            </w:r>
            <w:r>
              <w:rPr>
                <w:color w:val="FF0000"/>
                <w:sz w:val="24"/>
                <w:szCs w:val="24"/>
                <w:lang w:val="en-US"/>
              </w:rPr>
              <w:t>vessel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 bolts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 xml:space="preserve">, </w:t>
            </w:r>
          </w:p>
          <w:p w:rsidR="00A00516" w:rsidRPr="00101BBC" w:rsidRDefault="00A00516" w:rsidP="00EC5B90">
            <w:pPr>
              <w:pStyle w:val="ListParagraph"/>
              <w:tabs>
                <w:tab w:val="left" w:pos="462"/>
              </w:tabs>
              <w:spacing w:line="240" w:lineRule="auto"/>
              <w:ind w:left="-1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101BBC">
              <w:rPr>
                <w:color w:val="FF0000"/>
                <w:sz w:val="24"/>
                <w:szCs w:val="24"/>
                <w:lang w:val="en-US"/>
              </w:rPr>
              <w:t>•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ab/>
            </w:r>
            <w:r>
              <w:rPr>
                <w:color w:val="FF0000"/>
                <w:sz w:val="24"/>
                <w:szCs w:val="24"/>
                <w:lang w:val="en-US"/>
              </w:rPr>
              <w:t xml:space="preserve">for the 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>M36x4 mm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thread bolts of the temperature and flux measurement penetrations, etc.</w:t>
            </w:r>
          </w:p>
          <w:p w:rsidR="00A00516" w:rsidRPr="00101BBC" w:rsidRDefault="00A00516" w:rsidP="00EC5B90">
            <w:pPr>
              <w:pStyle w:val="ListParagraph"/>
              <w:tabs>
                <w:tab w:val="left" w:pos="462"/>
              </w:tabs>
              <w:spacing w:line="240" w:lineRule="auto"/>
              <w:ind w:left="-1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However, for some years now, we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are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>not able to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procure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 it and to the best of our knowledge, it cannot be imported into the EU because the product does not comply with the current REACH regulation in all respects.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>We have not yet found the ideal mounting material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 xml:space="preserve">.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In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course of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>our tests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performed 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>so far, we have had reservations about each material during d</w:t>
            </w:r>
            <w:r>
              <w:rPr>
                <w:color w:val="FF0000"/>
                <w:sz w:val="24"/>
                <w:szCs w:val="24"/>
                <w:lang w:val="en-US"/>
              </w:rPr>
              <w:t>isassembling</w:t>
            </w:r>
            <w:r w:rsidRPr="00252690">
              <w:rPr>
                <w:color w:val="FF0000"/>
                <w:sz w:val="24"/>
                <w:szCs w:val="24"/>
                <w:lang w:val="en-US"/>
              </w:rPr>
              <w:t xml:space="preserve"> and cleaning activities</w:t>
            </w:r>
            <w:r w:rsidRPr="00101BBC">
              <w:rPr>
                <w:color w:val="FF0000"/>
                <w:sz w:val="24"/>
                <w:szCs w:val="24"/>
                <w:lang w:val="en-US"/>
              </w:rPr>
              <w:t>.</w:t>
            </w:r>
          </w:p>
          <w:p w:rsidR="00A00516" w:rsidRPr="005120C8" w:rsidRDefault="00A00516" w:rsidP="00EC5B90">
            <w:pPr>
              <w:pStyle w:val="ListParagraph"/>
              <w:tabs>
                <w:tab w:val="left" w:pos="462"/>
              </w:tabs>
              <w:spacing w:line="240" w:lineRule="auto"/>
              <w:ind w:left="-10"/>
              <w:jc w:val="both"/>
              <w:rPr>
                <w:sz w:val="28"/>
                <w:szCs w:val="28"/>
                <w:lang w:val="hu-HU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717040" cy="22364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223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-HU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315085" cy="26841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268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-HU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656080" cy="213614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213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516" w:rsidRPr="00FD1D27" w:rsidTr="00A00516">
        <w:tc>
          <w:tcPr>
            <w:tcW w:w="9498" w:type="dxa"/>
          </w:tcPr>
          <w:p w:rsidR="00A00516" w:rsidRPr="00E75D52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40" w:lineRule="auto"/>
              <w:ind w:left="142" w:hanging="1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Specific questions</w:t>
            </w:r>
            <w:r w:rsidRPr="00E75D52">
              <w:rPr>
                <w:sz w:val="28"/>
                <w:szCs w:val="28"/>
              </w:rPr>
              <w:t>:</w:t>
            </w:r>
          </w:p>
          <w:p w:rsidR="00A00516" w:rsidRPr="00970162" w:rsidRDefault="00A00516" w:rsidP="00970162">
            <w:pPr>
              <w:pStyle w:val="Listaszerbekezds1"/>
              <w:spacing w:after="0" w:line="240" w:lineRule="auto"/>
              <w:ind w:left="360" w:firstLine="246"/>
              <w:rPr>
                <w:color w:val="FF0000"/>
                <w:sz w:val="36"/>
                <w:szCs w:val="36"/>
                <w:lang w:val="en-GB"/>
              </w:rPr>
            </w:pPr>
            <w:r w:rsidRPr="00970162">
              <w:rPr>
                <w:color w:val="FF0000"/>
                <w:sz w:val="36"/>
                <w:szCs w:val="36"/>
                <w:lang w:val="en-GB"/>
              </w:rPr>
              <w:t>We would like to know what mounting material (anti-seize compound) is used at these similar nuclear power plants in the indicated mounting locations and what is the experience gained?</w:t>
            </w:r>
          </w:p>
          <w:p w:rsidR="00970162" w:rsidRPr="00FD1D27" w:rsidRDefault="00970162" w:rsidP="00EC5B90">
            <w:pPr>
              <w:pStyle w:val="Listaszerbekezds1"/>
              <w:spacing w:after="0" w:line="240" w:lineRule="auto"/>
              <w:ind w:left="360"/>
              <w:rPr>
                <w:color w:val="FF0000"/>
                <w:sz w:val="28"/>
                <w:szCs w:val="28"/>
                <w:lang w:val="en-GB"/>
              </w:rPr>
            </w:pPr>
          </w:p>
        </w:tc>
      </w:tr>
      <w:tr w:rsidR="00A00516" w:rsidRPr="00020BFF" w:rsidTr="00A00516">
        <w:tc>
          <w:tcPr>
            <w:tcW w:w="9498" w:type="dxa"/>
          </w:tcPr>
          <w:p w:rsidR="00A00516" w:rsidRPr="00020BFF" w:rsidRDefault="00A00516" w:rsidP="00A0051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720" w:hanging="720"/>
              <w:rPr>
                <w:sz w:val="28"/>
                <w:szCs w:val="28"/>
                <w:lang w:val="en-US"/>
              </w:rPr>
            </w:pPr>
            <w:r w:rsidRPr="00D72387">
              <w:rPr>
                <w:b/>
                <w:sz w:val="28"/>
                <w:szCs w:val="28"/>
                <w:lang w:val="en-US"/>
              </w:rPr>
              <w:t>Department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– </w:t>
            </w:r>
            <w:r w:rsidRPr="00D72387">
              <w:rPr>
                <w:b/>
                <w:sz w:val="28"/>
                <w:szCs w:val="28"/>
                <w:lang w:val="en-US"/>
              </w:rPr>
              <w:t>request</w:t>
            </w:r>
            <w:r w:rsidRPr="00020BF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72387">
              <w:rPr>
                <w:b/>
                <w:sz w:val="28"/>
                <w:szCs w:val="28"/>
                <w:lang w:val="en-US"/>
              </w:rPr>
              <w:t>initiator</w:t>
            </w:r>
            <w:r w:rsidRPr="00020BFF">
              <w:rPr>
                <w:b/>
                <w:sz w:val="28"/>
                <w:szCs w:val="28"/>
                <w:lang w:val="en-US"/>
              </w:rPr>
              <w:t>:</w:t>
            </w:r>
            <w:r w:rsidRPr="00020BFF">
              <w:rPr>
                <w:sz w:val="28"/>
                <w:szCs w:val="28"/>
                <w:lang w:val="en-US"/>
              </w:rPr>
              <w:t xml:space="preserve"> </w:t>
            </w:r>
            <w:r w:rsidRPr="00101BBC">
              <w:rPr>
                <w:color w:val="FF0000"/>
                <w:sz w:val="28"/>
                <w:szCs w:val="28"/>
                <w:lang w:val="en-US"/>
              </w:rPr>
              <w:t>Rea</w:t>
            </w:r>
            <w:r>
              <w:rPr>
                <w:color w:val="FF0000"/>
                <w:sz w:val="28"/>
                <w:szCs w:val="28"/>
                <w:lang w:val="en-US"/>
              </w:rPr>
              <w:t>c</w:t>
            </w:r>
            <w:r w:rsidRPr="00101BBC">
              <w:rPr>
                <w:color w:val="FF0000"/>
                <w:sz w:val="28"/>
                <w:szCs w:val="28"/>
                <w:lang w:val="en-US"/>
              </w:rPr>
              <w:t xml:space="preserve">tor </w:t>
            </w:r>
            <w:r>
              <w:rPr>
                <w:color w:val="FF0000"/>
                <w:sz w:val="28"/>
                <w:szCs w:val="28"/>
                <w:lang w:val="en-US"/>
              </w:rPr>
              <w:t>and equipment maintenance section</w:t>
            </w:r>
          </w:p>
        </w:tc>
      </w:tr>
      <w:tr w:rsidR="00A00516" w:rsidRPr="00E75D52" w:rsidTr="00A00516">
        <w:tc>
          <w:tcPr>
            <w:tcW w:w="9498" w:type="dxa"/>
          </w:tcPr>
          <w:p w:rsidR="00A00516" w:rsidRPr="001334FD" w:rsidRDefault="00A00516" w:rsidP="00EC5B9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 of request</w:t>
            </w:r>
            <w:r w:rsidRPr="00F534D4">
              <w:rPr>
                <w:b/>
                <w:sz w:val="28"/>
                <w:szCs w:val="28"/>
              </w:rPr>
              <w:t>:</w:t>
            </w:r>
            <w:r w:rsidRPr="00E75D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hu-HU"/>
              </w:rPr>
              <w:t>28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hu-HU"/>
              </w:rPr>
              <w:t>02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hu-HU"/>
              </w:rPr>
              <w:t>22</w:t>
            </w:r>
          </w:p>
        </w:tc>
      </w:tr>
    </w:tbl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3F26C8" w:rsidRPr="003F26C8" w:rsidRDefault="00A00516" w:rsidP="00A00516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A00516">
        <w:rPr>
          <w:rFonts w:eastAsia="Times New Roman"/>
          <w:color w:val="1F497D"/>
          <w:sz w:val="28"/>
          <w:szCs w:val="28"/>
        </w:rPr>
        <w:t>АЭС Пакш просит поделиться опытом использования монтажных (смазочных) материалов для шпилек фланцевых соединений верхнего блока реа</w:t>
      </w:r>
      <w:bookmarkStart w:id="0" w:name="_GoBack"/>
      <w:bookmarkEnd w:id="0"/>
      <w:r w:rsidRPr="00A00516">
        <w:rPr>
          <w:rFonts w:eastAsia="Times New Roman"/>
          <w:color w:val="1F497D"/>
          <w:sz w:val="28"/>
          <w:szCs w:val="28"/>
        </w:rPr>
        <w:t>ктора и патрубков вывода датчиков термоконтроля и нейтронного потока.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A00516" w:rsidRPr="00B65833" w:rsidTr="00A00516">
        <w:tc>
          <w:tcPr>
            <w:tcW w:w="9180" w:type="dxa"/>
          </w:tcPr>
          <w:p w:rsidR="00A00516" w:rsidRPr="00B65833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АЭС/Организация:</w:t>
            </w:r>
            <w:r w:rsidRPr="00B65833">
              <w:rPr>
                <w:sz w:val="28"/>
                <w:szCs w:val="28"/>
              </w:rPr>
              <w:t xml:space="preserve"> МВМ АЭС Пакш</w:t>
            </w:r>
          </w:p>
        </w:tc>
      </w:tr>
      <w:tr w:rsidR="00A00516" w:rsidRPr="001F55B5" w:rsidTr="00A00516">
        <w:tc>
          <w:tcPr>
            <w:tcW w:w="9180" w:type="dxa"/>
          </w:tcPr>
          <w:p w:rsidR="00A00516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 xml:space="preserve">Тема информационного запроса: </w:t>
            </w:r>
          </w:p>
          <w:p w:rsidR="00A00516" w:rsidRPr="00A43AA0" w:rsidRDefault="00A00516" w:rsidP="00EC5B9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hu-HU"/>
              </w:rPr>
            </w:pPr>
            <w:r w:rsidRPr="00A43AA0">
              <w:rPr>
                <w:sz w:val="24"/>
                <w:szCs w:val="24"/>
              </w:rPr>
              <w:t>Монтажные (смазочные) материалы, используемые для шпилек фланцевых соединений верхнего блока ядерного реактора</w:t>
            </w:r>
            <w:r w:rsidRPr="00A43AA0">
              <w:rPr>
                <w:sz w:val="24"/>
                <w:szCs w:val="24"/>
                <w:lang w:val="hu-HU"/>
              </w:rPr>
              <w:t xml:space="preserve"> </w:t>
            </w:r>
            <w:r w:rsidRPr="00A43AA0">
              <w:rPr>
                <w:sz w:val="24"/>
                <w:szCs w:val="24"/>
              </w:rPr>
              <w:t>и п</w:t>
            </w:r>
            <w:r w:rsidRPr="00A43AA0">
              <w:rPr>
                <w:sz w:val="24"/>
                <w:szCs w:val="24"/>
                <w:lang w:val="hu-HU"/>
              </w:rPr>
              <w:t>атрубк</w:t>
            </w:r>
            <w:r w:rsidRPr="00A43AA0">
              <w:rPr>
                <w:sz w:val="24"/>
                <w:szCs w:val="24"/>
              </w:rPr>
              <w:t>ов</w:t>
            </w:r>
            <w:r w:rsidRPr="00A43AA0">
              <w:rPr>
                <w:sz w:val="24"/>
                <w:szCs w:val="24"/>
                <w:lang w:val="hu-HU"/>
              </w:rPr>
              <w:t xml:space="preserve"> вывода датчиков термоконтроля и нейтронного потока.</w:t>
            </w:r>
          </w:p>
        </w:tc>
      </w:tr>
      <w:tr w:rsidR="00A00516" w:rsidRPr="00B65833" w:rsidTr="00A00516">
        <w:tc>
          <w:tcPr>
            <w:tcW w:w="9180" w:type="dxa"/>
          </w:tcPr>
          <w:p w:rsidR="00A00516" w:rsidRPr="00B65833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Цель информационного запроса</w:t>
            </w:r>
            <w:r w:rsidRPr="00B65833">
              <w:rPr>
                <w:sz w:val="28"/>
                <w:szCs w:val="28"/>
              </w:rPr>
              <w:t xml:space="preserve">: </w:t>
            </w:r>
            <w:r w:rsidRPr="00A43AA0">
              <w:rPr>
                <w:sz w:val="24"/>
                <w:szCs w:val="24"/>
              </w:rPr>
              <w:t>Получение информации от других членов ВАО АЭС по теме запроса.</w:t>
            </w:r>
          </w:p>
        </w:tc>
      </w:tr>
      <w:tr w:rsidR="00A00516" w:rsidRPr="00B65833" w:rsidTr="00A00516">
        <w:tc>
          <w:tcPr>
            <w:tcW w:w="9180" w:type="dxa"/>
          </w:tcPr>
          <w:p w:rsidR="00A00516" w:rsidRPr="00907D81" w:rsidRDefault="00A00516" w:rsidP="00A00516">
            <w:pPr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</w:pPr>
            <w:r w:rsidRPr="00B65833">
              <w:rPr>
                <w:b/>
                <w:sz w:val="28"/>
                <w:szCs w:val="28"/>
              </w:rPr>
              <w:t>Описание проблемы: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00516" w:rsidRPr="00907D81" w:rsidRDefault="00A00516" w:rsidP="00EC5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АЭС Пакш при ремонте реакторной установки (тип </w:t>
            </w:r>
            <w:r w:rsidRPr="00907D81">
              <w:rPr>
                <w:sz w:val="24"/>
                <w:szCs w:val="24"/>
              </w:rPr>
              <w:t>VVER-440 V-213-CS</w:t>
            </w:r>
            <w:r>
              <w:rPr>
                <w:sz w:val="24"/>
                <w:szCs w:val="24"/>
              </w:rPr>
              <w:t>)</w:t>
            </w:r>
            <w:r w:rsidRPr="00907D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раньше использовалась монтажная паста типа</w:t>
            </w:r>
            <w:r w:rsidRPr="00907D81">
              <w:rPr>
                <w:sz w:val="24"/>
                <w:szCs w:val="24"/>
              </w:rPr>
              <w:t xml:space="preserve"> BOSTIK NG-165 </w:t>
            </w:r>
            <w:r>
              <w:rPr>
                <w:sz w:val="24"/>
                <w:szCs w:val="24"/>
              </w:rPr>
              <w:t>(которая нас полностью удовлетворяла) в следующих местах уплотнений</w:t>
            </w:r>
            <w:r w:rsidRPr="00907D81">
              <w:rPr>
                <w:sz w:val="24"/>
                <w:szCs w:val="24"/>
              </w:rPr>
              <w:t>:</w:t>
            </w:r>
          </w:p>
          <w:p w:rsidR="00A00516" w:rsidRPr="00C6677E" w:rsidRDefault="00A00516" w:rsidP="00A00516">
            <w:pPr>
              <w:numPr>
                <w:ilvl w:val="0"/>
                <w:numId w:val="13"/>
              </w:numPr>
              <w:spacing w:after="0" w:line="240" w:lineRule="auto"/>
              <w:ind w:left="709" w:hanging="349"/>
              <w:jc w:val="both"/>
              <w:rPr>
                <w:sz w:val="24"/>
                <w:szCs w:val="24"/>
              </w:rPr>
            </w:pPr>
            <w:r w:rsidRPr="00DC35C8">
              <w:rPr>
                <w:sz w:val="24"/>
                <w:szCs w:val="24"/>
              </w:rPr>
              <w:t xml:space="preserve">для шпилек </w:t>
            </w:r>
            <w:r>
              <w:rPr>
                <w:sz w:val="24"/>
                <w:szCs w:val="24"/>
              </w:rPr>
              <w:t xml:space="preserve">размером </w:t>
            </w:r>
            <w:r w:rsidRPr="00907D81">
              <w:rPr>
                <w:sz w:val="24"/>
                <w:szCs w:val="24"/>
                <w:lang w:val="en-GB"/>
              </w:rPr>
              <w:t>M</w:t>
            </w:r>
            <w:r w:rsidRPr="00DC35C8">
              <w:rPr>
                <w:sz w:val="24"/>
                <w:szCs w:val="24"/>
              </w:rPr>
              <w:t>140</w:t>
            </w:r>
            <w:r w:rsidRPr="00907D81">
              <w:rPr>
                <w:sz w:val="24"/>
                <w:szCs w:val="24"/>
                <w:lang w:val="en-GB"/>
              </w:rPr>
              <w:t>x</w:t>
            </w:r>
            <w:r w:rsidRPr="00DC35C8">
              <w:rPr>
                <w:sz w:val="24"/>
                <w:szCs w:val="24"/>
              </w:rPr>
              <w:t xml:space="preserve">6 </w:t>
            </w:r>
            <w:r w:rsidRPr="00907D81">
              <w:rPr>
                <w:sz w:val="24"/>
                <w:szCs w:val="24"/>
                <w:lang w:val="en-GB"/>
              </w:rPr>
              <w:t>mm</w:t>
            </w:r>
            <w:r w:rsidRPr="00DC35C8">
              <w:rPr>
                <w:sz w:val="24"/>
                <w:szCs w:val="24"/>
              </w:rPr>
              <w:t xml:space="preserve"> фланцевых соединений верхнего блока реактора </w:t>
            </w:r>
          </w:p>
          <w:p w:rsidR="00A00516" w:rsidRPr="00C6677E" w:rsidRDefault="00A00516" w:rsidP="00A00516">
            <w:pPr>
              <w:numPr>
                <w:ilvl w:val="0"/>
                <w:numId w:val="13"/>
              </w:numPr>
              <w:spacing w:after="0" w:line="240" w:lineRule="auto"/>
              <w:ind w:left="709" w:hanging="3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 w:rsidRPr="00C66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шпилек</w:t>
            </w:r>
            <w:r w:rsidRPr="00C6677E">
              <w:rPr>
                <w:sz w:val="24"/>
                <w:szCs w:val="24"/>
              </w:rPr>
              <w:t xml:space="preserve"> размером </w:t>
            </w:r>
            <w:r w:rsidRPr="00907D81">
              <w:rPr>
                <w:sz w:val="24"/>
                <w:szCs w:val="24"/>
                <w:lang w:val="en-GB"/>
              </w:rPr>
              <w:t>M</w:t>
            </w:r>
            <w:r w:rsidRPr="00C6677E">
              <w:rPr>
                <w:sz w:val="24"/>
                <w:szCs w:val="24"/>
              </w:rPr>
              <w:t>36</w:t>
            </w:r>
            <w:r w:rsidRPr="00907D81">
              <w:rPr>
                <w:sz w:val="24"/>
                <w:szCs w:val="24"/>
                <w:lang w:val="en-GB"/>
              </w:rPr>
              <w:t>x</w:t>
            </w:r>
            <w:r w:rsidRPr="00C6677E">
              <w:rPr>
                <w:sz w:val="24"/>
                <w:szCs w:val="24"/>
              </w:rPr>
              <w:t xml:space="preserve">4 </w:t>
            </w:r>
            <w:r w:rsidRPr="00907D81">
              <w:rPr>
                <w:sz w:val="24"/>
                <w:szCs w:val="24"/>
                <w:lang w:val="en-GB"/>
              </w:rPr>
              <w:t>mm</w:t>
            </w:r>
            <w:r w:rsidRPr="00DC35C8">
              <w:rPr>
                <w:sz w:val="24"/>
                <w:szCs w:val="24"/>
              </w:rPr>
              <w:t xml:space="preserve"> патрубков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вывода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датчиков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термоконтроля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и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нейтронного</w:t>
            </w:r>
            <w:r w:rsidRPr="00C6677E">
              <w:rPr>
                <w:sz w:val="24"/>
                <w:szCs w:val="24"/>
              </w:rPr>
              <w:t xml:space="preserve"> </w:t>
            </w:r>
            <w:r w:rsidRPr="00DC35C8">
              <w:rPr>
                <w:sz w:val="24"/>
                <w:szCs w:val="24"/>
              </w:rPr>
              <w:t>потока</w:t>
            </w:r>
            <w:r>
              <w:rPr>
                <w:sz w:val="24"/>
                <w:szCs w:val="24"/>
              </w:rPr>
              <w:t>, и т.п.</w:t>
            </w:r>
            <w:r w:rsidRPr="00C6677E">
              <w:rPr>
                <w:sz w:val="24"/>
                <w:szCs w:val="24"/>
              </w:rPr>
              <w:t xml:space="preserve"> </w:t>
            </w:r>
          </w:p>
          <w:p w:rsidR="00A00516" w:rsidRDefault="00A00516" w:rsidP="00EC5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677E">
              <w:rPr>
                <w:sz w:val="24"/>
                <w:szCs w:val="24"/>
              </w:rPr>
              <w:t xml:space="preserve">Однако уже несколько лет мы не можем </w:t>
            </w:r>
            <w:r>
              <w:rPr>
                <w:sz w:val="24"/>
                <w:szCs w:val="24"/>
              </w:rPr>
              <w:t>приобрести данную пасту</w:t>
            </w:r>
            <w:r w:rsidRPr="00C6677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так как </w:t>
            </w:r>
            <w:r w:rsidRPr="00C6677E">
              <w:rPr>
                <w:sz w:val="24"/>
                <w:szCs w:val="24"/>
              </w:rPr>
              <w:t xml:space="preserve">насколько нам известно, </w:t>
            </w:r>
            <w:r>
              <w:rPr>
                <w:sz w:val="24"/>
                <w:szCs w:val="24"/>
              </w:rPr>
              <w:t>ее нельзя импортировать в ЕС из-за того, ч</w:t>
            </w:r>
            <w:r w:rsidRPr="00C6677E">
              <w:rPr>
                <w:sz w:val="24"/>
                <w:szCs w:val="24"/>
              </w:rPr>
              <w:t xml:space="preserve">то </w:t>
            </w:r>
            <w:r>
              <w:rPr>
                <w:sz w:val="24"/>
                <w:szCs w:val="24"/>
              </w:rPr>
              <w:t xml:space="preserve">она по многим параметрам </w:t>
            </w:r>
            <w:r w:rsidRPr="00C6677E">
              <w:rPr>
                <w:sz w:val="24"/>
                <w:szCs w:val="24"/>
              </w:rPr>
              <w:t xml:space="preserve">не соответствует действующему регламенту REACH. </w:t>
            </w:r>
            <w:r>
              <w:rPr>
                <w:sz w:val="24"/>
                <w:szCs w:val="24"/>
              </w:rPr>
              <w:t xml:space="preserve">Мы проводили тестирование нескольких альтернативных монтажных паст, но к сожалению, </w:t>
            </w:r>
            <w:r w:rsidRPr="00C6677E">
              <w:rPr>
                <w:sz w:val="24"/>
                <w:szCs w:val="24"/>
              </w:rPr>
              <w:t>еще не нашли идеальн</w:t>
            </w:r>
            <w:r>
              <w:rPr>
                <w:sz w:val="24"/>
                <w:szCs w:val="24"/>
              </w:rPr>
              <w:t>ую</w:t>
            </w:r>
            <w:r w:rsidRPr="00C66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замену данному </w:t>
            </w:r>
            <w:r w:rsidRPr="00C6677E">
              <w:rPr>
                <w:sz w:val="24"/>
                <w:szCs w:val="24"/>
              </w:rPr>
              <w:t>монтажн</w:t>
            </w:r>
            <w:r>
              <w:rPr>
                <w:sz w:val="24"/>
                <w:szCs w:val="24"/>
              </w:rPr>
              <w:t>ому</w:t>
            </w:r>
            <w:r w:rsidRPr="00C6677E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у</w:t>
            </w:r>
            <w:r w:rsidRPr="00C6677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 ходе тестирования </w:t>
            </w:r>
            <w:r w:rsidRPr="00C6677E">
              <w:rPr>
                <w:sz w:val="24"/>
                <w:szCs w:val="24"/>
              </w:rPr>
              <w:t xml:space="preserve">у нас были </w:t>
            </w:r>
            <w:r>
              <w:rPr>
                <w:sz w:val="24"/>
                <w:szCs w:val="24"/>
              </w:rPr>
              <w:t>замечания</w:t>
            </w:r>
            <w:r w:rsidRPr="00C6677E">
              <w:rPr>
                <w:sz w:val="24"/>
                <w:szCs w:val="24"/>
              </w:rPr>
              <w:t xml:space="preserve"> по каждому материалу </w:t>
            </w:r>
            <w:r>
              <w:rPr>
                <w:sz w:val="24"/>
                <w:szCs w:val="24"/>
              </w:rPr>
              <w:t>в основном при проведении работ по откручиванию и очистке шпилек.</w:t>
            </w:r>
          </w:p>
          <w:p w:rsidR="00A00516" w:rsidRPr="00907D81" w:rsidRDefault="00A00516" w:rsidP="00EC5B90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19910" cy="2371725"/>
                  <wp:effectExtent l="0" t="0" r="889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-HU"/>
              </w:rPr>
              <w:t xml:space="preserve"> 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t xml:space="preserve">  </w:t>
            </w:r>
            <w:r>
              <w:rPr>
                <w:lang w:val="hu-HU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177925" cy="240347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240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lang w:val="hu-H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746885" cy="2253615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225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516" w:rsidRPr="003A3BEA" w:rsidTr="00A00516">
        <w:tc>
          <w:tcPr>
            <w:tcW w:w="9180" w:type="dxa"/>
          </w:tcPr>
          <w:p w:rsidR="00A00516" w:rsidRPr="00982E11" w:rsidRDefault="00A00516" w:rsidP="00A00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b/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Конкретные вопросы:</w:t>
            </w:r>
          </w:p>
          <w:p w:rsidR="00A00516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A00516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00516">
              <w:rPr>
                <w:b/>
                <w:bCs/>
                <w:color w:val="002060"/>
                <w:sz w:val="28"/>
                <w:szCs w:val="28"/>
              </w:rPr>
              <w:t>Мы хотели бы узнать, какой монтажный материал (смазка) используется в данных местах уплотнений на других АЭС и каков опыт их использования?</w:t>
            </w:r>
          </w:p>
          <w:p w:rsidR="00A00516" w:rsidRPr="00907D81" w:rsidRDefault="00A00516" w:rsidP="00A00516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00516" w:rsidRPr="00B65833" w:rsidTr="00A00516">
        <w:tc>
          <w:tcPr>
            <w:tcW w:w="9180" w:type="dxa"/>
          </w:tcPr>
          <w:p w:rsidR="00A00516" w:rsidRPr="008A417E" w:rsidRDefault="00A00516" w:rsidP="00A00516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Подразделение – инициатор запроса:</w:t>
            </w:r>
            <w:r w:rsidRPr="00B65833">
              <w:rPr>
                <w:sz w:val="28"/>
                <w:szCs w:val="28"/>
              </w:rPr>
              <w:t xml:space="preserve"> </w:t>
            </w:r>
            <w:r w:rsidRPr="00A43AA0">
              <w:rPr>
                <w:sz w:val="24"/>
                <w:szCs w:val="24"/>
              </w:rPr>
              <w:t>Отдел ремонта реакторного оборудования</w:t>
            </w:r>
          </w:p>
        </w:tc>
      </w:tr>
      <w:tr w:rsidR="00A00516" w:rsidRPr="00B65833" w:rsidTr="00A00516">
        <w:tc>
          <w:tcPr>
            <w:tcW w:w="9180" w:type="dxa"/>
          </w:tcPr>
          <w:p w:rsidR="00A00516" w:rsidRPr="00B65833" w:rsidRDefault="00A00516" w:rsidP="00A00516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after="0" w:line="240" w:lineRule="auto"/>
              <w:ind w:left="426" w:hanging="426"/>
              <w:rPr>
                <w:sz w:val="28"/>
                <w:szCs w:val="28"/>
              </w:rPr>
            </w:pPr>
            <w:r w:rsidRPr="00B65833">
              <w:rPr>
                <w:b/>
                <w:sz w:val="28"/>
                <w:szCs w:val="28"/>
              </w:rPr>
              <w:t>Дата запроса:</w:t>
            </w:r>
            <w:r w:rsidRPr="00B6583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hu-HU"/>
              </w:rPr>
              <w:t>2</w:t>
            </w:r>
            <w:r w:rsidRPr="00B658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hu-HU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hu-HU"/>
              </w:rPr>
              <w:t>28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AE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7700D"/>
    <w:multiLevelType w:val="hybridMultilevel"/>
    <w:tmpl w:val="FD2C1322"/>
    <w:lvl w:ilvl="0" w:tplc="4DD68CE6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2150C"/>
    <w:rsid w:val="005348FE"/>
    <w:rsid w:val="0054601F"/>
    <w:rsid w:val="00547EA2"/>
    <w:rsid w:val="005519F0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744E8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0162"/>
    <w:rsid w:val="009732E0"/>
    <w:rsid w:val="0097525C"/>
    <w:rsid w:val="009A0A10"/>
    <w:rsid w:val="009A5B58"/>
    <w:rsid w:val="009B4FC1"/>
    <w:rsid w:val="009D39E1"/>
    <w:rsid w:val="009E7979"/>
    <w:rsid w:val="009F4C0A"/>
    <w:rsid w:val="00A00516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4FD3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B2A05"/>
    <w:rsid w:val="00CF46F6"/>
    <w:rsid w:val="00D04AB2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00552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  <w:style w:type="paragraph" w:customStyle="1" w:styleId="Listaszerbekezds1">
    <w:name w:val="Listaszerű bekezdés1"/>
    <w:basedOn w:val="Normal"/>
    <w:rsid w:val="00A00516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267A-D086-4519-9C16-FBFC4C31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3927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20</cp:revision>
  <cp:lastPrinted>2018-03-01T09:18:00Z</cp:lastPrinted>
  <dcterms:created xsi:type="dcterms:W3CDTF">2021-04-08T09:29:00Z</dcterms:created>
  <dcterms:modified xsi:type="dcterms:W3CDTF">2022-03-01T17:16:00Z</dcterms:modified>
</cp:coreProperties>
</file>