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8A" w:rsidRDefault="00046F8A">
      <w:bookmarkStart w:id="0" w:name="_GoBack"/>
    </w:p>
    <w:bookmarkEnd w:id="0"/>
    <w:p w:rsidR="00C977D1" w:rsidRDefault="00C977D1" w:rsidP="00C977D1">
      <w:pPr>
        <w:spacing w:after="120" w:line="240" w:lineRule="auto"/>
        <w:jc w:val="both"/>
        <w:rPr>
          <w:rFonts w:ascii="Times New Roman" w:hAnsi="Times New Roman" w:cs="B Mitra"/>
          <w:sz w:val="24"/>
          <w:szCs w:val="28"/>
          <w:lang w:bidi="fa-IR"/>
        </w:rPr>
      </w:pPr>
      <w:r>
        <w:rPr>
          <w:rFonts w:ascii="Times New Roman" w:hAnsi="Times New Roman" w:cs="B Mitra"/>
          <w:b/>
          <w:bCs/>
          <w:sz w:val="24"/>
          <w:szCs w:val="28"/>
          <w:lang w:bidi="fa-IR"/>
        </w:rPr>
        <w:t xml:space="preserve">Attachment 1: geographical coordinates and radial distance of the locations identified for installing the system for provision of clean air in the </w:t>
      </w:r>
      <w:proofErr w:type="spellStart"/>
      <w:r>
        <w:rPr>
          <w:rFonts w:ascii="Times New Roman" w:hAnsi="Times New Roman" w:cs="B Mitra"/>
          <w:b/>
          <w:bCs/>
          <w:sz w:val="24"/>
          <w:szCs w:val="28"/>
          <w:lang w:bidi="fa-IR"/>
        </w:rPr>
        <w:t>Bushehr</w:t>
      </w:r>
      <w:proofErr w:type="spellEnd"/>
      <w:r>
        <w:rPr>
          <w:rFonts w:ascii="Times New Roman" w:hAnsi="Times New Roman" w:cs="B Mitra"/>
          <w:b/>
          <w:bCs/>
          <w:sz w:val="24"/>
          <w:szCs w:val="28"/>
          <w:lang w:bidi="fa-IR"/>
        </w:rPr>
        <w:t xml:space="preserve"> NPP  </w:t>
      </w:r>
    </w:p>
    <w:p w:rsidR="00C977D1" w:rsidRPr="000C2621" w:rsidRDefault="00C977D1" w:rsidP="00C977D1">
      <w:pPr>
        <w:spacing w:after="120" w:line="240" w:lineRule="auto"/>
        <w:rPr>
          <w:rFonts w:ascii="Times New Roman" w:hAnsi="Times New Roman" w:cs="B Mitra"/>
          <w:sz w:val="24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"/>
        <w:gridCol w:w="3969"/>
        <w:gridCol w:w="2835"/>
        <w:gridCol w:w="766"/>
      </w:tblGrid>
      <w:tr w:rsidR="00E8655D" w:rsidRPr="00E8655D" w:rsidTr="00E8655D">
        <w:trPr>
          <w:trHeight w:val="1292"/>
          <w:jc w:val="center"/>
        </w:trPr>
        <w:tc>
          <w:tcPr>
            <w:tcW w:w="1054" w:type="dxa"/>
            <w:shd w:val="clear" w:color="auto" w:fill="DBE5F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Radial distance from the reactor building  (Km)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building</w:t>
            </w:r>
          </w:p>
        </w:tc>
        <w:tc>
          <w:tcPr>
            <w:tcW w:w="766" w:type="dxa"/>
            <w:shd w:val="clear" w:color="auto" w:fill="DBE5F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Row</w:t>
            </w:r>
          </w:p>
        </w:tc>
      </w:tr>
      <w:tr w:rsidR="00E8655D" w:rsidRPr="00E8655D" w:rsidTr="00E8655D">
        <w:trPr>
          <w:trHeight w:val="397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90 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backup control room (ZX)</w:t>
            </w:r>
          </w:p>
        </w:tc>
        <w:tc>
          <w:tcPr>
            <w:tcW w:w="766" w:type="dxa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655D" w:rsidRPr="00E8655D" w:rsidTr="00E8655D">
        <w:trPr>
          <w:trHeight w:val="397"/>
          <w:jc w:val="center"/>
        </w:trPr>
        <w:tc>
          <w:tcPr>
            <w:tcW w:w="1054" w:type="dxa"/>
            <w:shd w:val="clear" w:color="auto" w:fill="EEECE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N &amp; NNW</w:t>
            </w:r>
          </w:p>
        </w:tc>
        <w:tc>
          <w:tcPr>
            <w:tcW w:w="3969" w:type="dxa"/>
            <w:shd w:val="clear" w:color="auto" w:fill="EEECE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60 m</w:t>
            </w:r>
          </w:p>
        </w:tc>
        <w:tc>
          <w:tcPr>
            <w:tcW w:w="2835" w:type="dxa"/>
            <w:shd w:val="clear" w:color="auto" w:fill="EEECE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Main control room (ZY building)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8655D" w:rsidRPr="00E8655D" w:rsidTr="00E8655D">
        <w:trPr>
          <w:trHeight w:val="397"/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NNE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930 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Onsite Crisis management center (ZV1 building)</w:t>
            </w:r>
          </w:p>
        </w:tc>
        <w:tc>
          <w:tcPr>
            <w:tcW w:w="766" w:type="dxa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655D" w:rsidRPr="00E8655D" w:rsidTr="00E8655D">
        <w:trPr>
          <w:trHeight w:val="397"/>
          <w:jc w:val="center"/>
        </w:trPr>
        <w:tc>
          <w:tcPr>
            <w:tcW w:w="1054" w:type="dxa"/>
            <w:shd w:val="clear" w:color="auto" w:fill="EEECE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69" w:type="dxa"/>
            <w:shd w:val="clear" w:color="auto" w:fill="EEECE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12 Km</w:t>
            </w:r>
          </w:p>
        </w:tc>
        <w:tc>
          <w:tcPr>
            <w:tcW w:w="2835" w:type="dxa"/>
            <w:shd w:val="clear" w:color="auto" w:fill="EEECE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Offsite crisis management center   (EPML)</w:t>
            </w:r>
          </w:p>
        </w:tc>
        <w:tc>
          <w:tcPr>
            <w:tcW w:w="766" w:type="dxa"/>
            <w:shd w:val="clear" w:color="auto" w:fill="EEECE1"/>
            <w:vAlign w:val="center"/>
          </w:tcPr>
          <w:p w:rsidR="00E8655D" w:rsidRPr="00E8655D" w:rsidRDefault="00E8655D" w:rsidP="00E8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5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977D1" w:rsidRPr="000C2621" w:rsidRDefault="00C977D1" w:rsidP="00C977D1">
      <w:pPr>
        <w:bidi/>
      </w:pPr>
    </w:p>
    <w:p w:rsidR="00C977D1" w:rsidRDefault="00C977D1" w:rsidP="00C97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D1" w:rsidRDefault="00C977D1" w:rsidP="00C97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D1" w:rsidRDefault="00C977D1" w:rsidP="00C97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7D1" w:rsidRDefault="00C97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77D1" w:rsidRPr="00E8655D" w:rsidRDefault="00C977D1" w:rsidP="00C977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Attachment 2: results of calculating the concentration rate of the radionuclides</w:t>
      </w:r>
    </w:p>
    <w:p w:rsidR="00C977D1" w:rsidRPr="004B1BD2" w:rsidRDefault="00C977D1" w:rsidP="00C977D1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B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7D1" w:rsidRPr="00E8655D" w:rsidRDefault="00C977D1" w:rsidP="002F260D">
      <w:pPr>
        <w:jc w:val="both"/>
        <w:rPr>
          <w:rFonts w:ascii="Times New Roman" w:hAnsi="Times New Roman" w:cs="Times New Roman"/>
          <w:sz w:val="24"/>
          <w:szCs w:val="24"/>
        </w:rPr>
      </w:pPr>
      <w:r w:rsidRPr="00E8655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8655D">
        <w:rPr>
          <w:rFonts w:ascii="Times New Roman" w:hAnsi="Times New Roman" w:cs="Times New Roman"/>
          <w:sz w:val="24"/>
          <w:szCs w:val="24"/>
        </w:rPr>
        <w:t xml:space="preserve">Calculating the concentration rate of the radionuclides as for  LOCA (loss of coolant accident) was modeled and performed by </w:t>
      </w:r>
      <w:proofErr w:type="spellStart"/>
      <w:r w:rsidRPr="00E8655D">
        <w:rPr>
          <w:rFonts w:ascii="Times New Roman" w:hAnsi="Times New Roman" w:cs="Times New Roman"/>
          <w:sz w:val="24"/>
          <w:szCs w:val="24"/>
        </w:rPr>
        <w:t>Recass</w:t>
      </w:r>
      <w:proofErr w:type="spellEnd"/>
      <w:r w:rsidRPr="00E8655D">
        <w:rPr>
          <w:rFonts w:ascii="Times New Roman" w:hAnsi="Times New Roman" w:cs="Times New Roman"/>
          <w:sz w:val="24"/>
          <w:szCs w:val="24"/>
        </w:rPr>
        <w:t xml:space="preserve"> Express dispersion model software based on the document Final Safety Analysis Report (FSAR) for a period of 48 hours of the uncontrollable release of radioactive materials to outside and the maximum rate of the concentration of the radionuclides as per </w:t>
      </w:r>
      <w:proofErr w:type="spellStart"/>
      <w:r w:rsidRPr="00E8655D">
        <w:rPr>
          <w:rFonts w:ascii="Times New Roman" w:hAnsi="Times New Roman" w:cs="Times New Roman"/>
          <w:sz w:val="24"/>
          <w:szCs w:val="24"/>
        </w:rPr>
        <w:t>Bq</w:t>
      </w:r>
      <w:proofErr w:type="spellEnd"/>
      <w:r w:rsidRPr="00E8655D">
        <w:rPr>
          <w:rFonts w:ascii="Times New Roman" w:hAnsi="Times New Roman" w:cs="Times New Roman"/>
          <w:sz w:val="24"/>
          <w:szCs w:val="24"/>
        </w:rPr>
        <w:t>/M</w:t>
      </w:r>
      <w:r w:rsidRPr="00E865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8655D">
        <w:rPr>
          <w:rFonts w:ascii="Times New Roman" w:hAnsi="Times New Roman" w:cs="Times New Roman"/>
          <w:sz w:val="24"/>
          <w:szCs w:val="24"/>
        </w:rPr>
        <w:t xml:space="preserve"> in the Onsite Crisis management center (ZV1 building) and also in Offsite crisis management center (EPML) was taken into account.</w:t>
      </w:r>
    </w:p>
    <w:p w:rsidR="00C977D1" w:rsidRDefault="00C977D1"/>
    <w:sectPr w:rsidR="00C9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D1"/>
    <w:rsid w:val="00046F8A"/>
    <w:rsid w:val="002F260D"/>
    <w:rsid w:val="0076691A"/>
    <w:rsid w:val="00C977D1"/>
    <w:rsid w:val="00E8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7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7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Pourdarab , Abbas</dc:creator>
  <cp:lastModifiedBy>Deilami, Ebrahim</cp:lastModifiedBy>
  <cp:revision>2</cp:revision>
  <dcterms:created xsi:type="dcterms:W3CDTF">2019-04-28T04:33:00Z</dcterms:created>
  <dcterms:modified xsi:type="dcterms:W3CDTF">2019-04-28T04:33:00Z</dcterms:modified>
</cp:coreProperties>
</file>