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bidiVisual/>
        <w:tblW w:w="5000" w:type="pct"/>
        <w:jc w:val="center"/>
        <w:tblLook w:val="04A0" w:firstRow="1" w:lastRow="0" w:firstColumn="1" w:lastColumn="0" w:noHBand="0" w:noVBand="1"/>
      </w:tblPr>
      <w:tblGrid>
        <w:gridCol w:w="6803"/>
        <w:gridCol w:w="6803"/>
        <w:gridCol w:w="585"/>
      </w:tblGrid>
      <w:tr w:rsidR="000D375C" w:rsidRPr="000D375C" w:rsidTr="000D375C">
        <w:trPr>
          <w:tblHeader/>
          <w:jc w:val="center"/>
        </w:trPr>
        <w:tc>
          <w:tcPr>
            <w:tcW w:w="2397" w:type="pct"/>
          </w:tcPr>
          <w:p w:rsidR="000D375C" w:rsidRPr="000D375C" w:rsidRDefault="005B6EA3" w:rsidP="00733582">
            <w:pPr>
              <w:bidi w:val="0"/>
              <w:jc w:val="center"/>
              <w:rPr>
                <w:rFonts w:ascii="Times New Roman" w:hAnsi="Times New Roman" w:cs="Times New Roman"/>
                <w:b/>
                <w:bCs/>
                <w:lang w:val="ru-RU"/>
              </w:rPr>
            </w:pPr>
            <w:r w:rsidRPr="00AE0261">
              <w:rPr>
                <w:rFonts w:ascii="Times New Roman" w:hAnsi="Times New Roman" w:cs="Times New Roman"/>
                <w:b/>
                <w:bCs/>
                <w:sz w:val="24"/>
                <w:szCs w:val="24"/>
              </w:rPr>
              <w:t>Comments</w:t>
            </w:r>
            <w:r w:rsidRPr="005B6EA3">
              <w:rPr>
                <w:rFonts w:ascii="Times New Roman" w:hAnsi="Times New Roman" w:cs="Times New Roman"/>
                <w:b/>
                <w:bCs/>
                <w:lang w:val="ru-RU"/>
              </w:rPr>
              <w:t xml:space="preserve"> </w:t>
            </w:r>
            <w:r w:rsidRPr="005B6EA3">
              <w:rPr>
                <w:rFonts w:ascii="Times New Roman" w:hAnsi="Times New Roman" w:cs="Times New Roman"/>
                <w:b/>
                <w:bCs/>
                <w:sz w:val="24"/>
                <w:szCs w:val="24"/>
              </w:rPr>
              <w:t>JSC ASE</w:t>
            </w:r>
          </w:p>
        </w:tc>
        <w:tc>
          <w:tcPr>
            <w:tcW w:w="2603" w:type="pct"/>
            <w:gridSpan w:val="2"/>
          </w:tcPr>
          <w:p w:rsidR="000D375C" w:rsidRPr="000D375C" w:rsidRDefault="005B6EA3" w:rsidP="00B85147">
            <w:pPr>
              <w:bidi w:val="0"/>
              <w:spacing w:after="200"/>
              <w:jc w:val="center"/>
              <w:rPr>
                <w:rFonts w:ascii="Times New Roman" w:hAnsi="Times New Roman" w:cs="Times New Roman"/>
                <w:b/>
                <w:bCs/>
                <w:rtl/>
              </w:rPr>
            </w:pPr>
            <w:r w:rsidRPr="00AE0261">
              <w:rPr>
                <w:rFonts w:ascii="Times New Roman" w:hAnsi="Times New Roman" w:cs="Times New Roman"/>
                <w:b/>
                <w:bCs/>
                <w:sz w:val="24"/>
                <w:szCs w:val="24"/>
              </w:rPr>
              <w:t>Main General Comments</w:t>
            </w:r>
          </w:p>
        </w:tc>
      </w:tr>
      <w:tr w:rsidR="000D375C" w:rsidRPr="000D375C" w:rsidTr="000D375C">
        <w:trPr>
          <w:jc w:val="center"/>
        </w:trPr>
        <w:tc>
          <w:tcPr>
            <w:tcW w:w="2397" w:type="pct"/>
          </w:tcPr>
          <w:p w:rsidR="000D375C" w:rsidRPr="005B6EA3" w:rsidRDefault="00733582" w:rsidP="00747EAA">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 xml:space="preserve">Addendum B.G is Appendix to the Contract and the document of higher level than TA for IMS. </w:t>
            </w:r>
          </w:p>
          <w:p w:rsidR="000D375C" w:rsidRPr="005B6EA3" w:rsidRDefault="00733582" w:rsidP="000D375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Addendum B.G must describe a structure and content of the project data base on the conceptual level</w:t>
            </w:r>
            <w:r w:rsidR="000D375C" w:rsidRPr="005B6EA3">
              <w:rPr>
                <w:rFonts w:ascii="Times New Roman" w:eastAsia="Times New Roman" w:hAnsi="Times New Roman" w:cs="Times New Roman"/>
                <w:color w:val="000000" w:themeColor="text1"/>
                <w:sz w:val="24"/>
                <w:szCs w:val="24"/>
                <w:lang w:eastAsia="ru-RU"/>
              </w:rPr>
              <w:t>.</w:t>
            </w:r>
          </w:p>
          <w:p w:rsidR="000D375C" w:rsidRPr="005B6EA3" w:rsidRDefault="00733582" w:rsidP="000D375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Detalization of all parameters of data bases (software, data, links between subsystems etc.) is the issue of private TA for each IMS subsystems module</w:t>
            </w:r>
            <w:r w:rsidR="000D375C" w:rsidRPr="005B6EA3">
              <w:rPr>
                <w:rFonts w:ascii="Times New Roman" w:eastAsia="Times New Roman" w:hAnsi="Times New Roman" w:cs="Times New Roman"/>
                <w:color w:val="000000" w:themeColor="text1"/>
                <w:sz w:val="24"/>
                <w:szCs w:val="24"/>
                <w:lang w:eastAsia="ru-RU"/>
              </w:rPr>
              <w:t>.</w:t>
            </w:r>
          </w:p>
          <w:p w:rsidR="000D375C" w:rsidRPr="005B6EA3" w:rsidRDefault="00733582" w:rsidP="000D375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Comment is not accepted.</w:t>
            </w:r>
          </w:p>
        </w:tc>
        <w:tc>
          <w:tcPr>
            <w:tcW w:w="2397" w:type="pct"/>
          </w:tcPr>
          <w:p w:rsidR="005B6EA3" w:rsidRDefault="005B6EA3" w:rsidP="005B6EA3">
            <w:pPr>
              <w:bidi w:val="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Considering the fact that the Project Databases are considered to be a part of IMS subsystems, it is necessary that the document </w:t>
            </w:r>
            <w:r w:rsidRPr="00D15BEA">
              <w:rPr>
                <w:rFonts w:ascii="Times New Roman" w:eastAsia="Times New Roman" w:hAnsi="Times New Roman" w:cs="Times New Roman"/>
                <w:color w:val="000000" w:themeColor="text1"/>
                <w:sz w:val="24"/>
                <w:szCs w:val="24"/>
                <w:lang w:eastAsia="ru-RU"/>
              </w:rPr>
              <w:t xml:space="preserve">Technical Assignment for IMS </w:t>
            </w:r>
            <w:r>
              <w:rPr>
                <w:rFonts w:ascii="Times New Roman" w:eastAsia="Times New Roman" w:hAnsi="Times New Roman" w:cs="Times New Roman"/>
                <w:color w:val="000000" w:themeColor="text1"/>
                <w:sz w:val="24"/>
                <w:szCs w:val="24"/>
                <w:lang w:eastAsia="ru-RU"/>
              </w:rPr>
              <w:t xml:space="preserve">(as the reference document) </w:t>
            </w:r>
            <w:r w:rsidRPr="00D15BEA">
              <w:rPr>
                <w:rFonts w:ascii="Times New Roman" w:eastAsia="Times New Roman" w:hAnsi="Times New Roman" w:cs="Times New Roman"/>
                <w:color w:val="000000" w:themeColor="text1"/>
                <w:sz w:val="24"/>
                <w:szCs w:val="24"/>
                <w:lang w:eastAsia="ru-RU"/>
              </w:rPr>
              <w:t>is initially approved by the Principal.</w:t>
            </w:r>
          </w:p>
          <w:p w:rsidR="000D375C" w:rsidRPr="005B6EA3" w:rsidRDefault="005B6EA3" w:rsidP="005B6EA3">
            <w:pPr>
              <w:bidi w:val="0"/>
              <w:contextualSpacing/>
              <w:jc w:val="both"/>
              <w:rPr>
                <w:rFonts w:ascii="Times New Roman" w:eastAsia="Times New Roman" w:hAnsi="Times New Roman" w:cs="Times New Roman"/>
                <w:color w:val="000000" w:themeColor="text1"/>
                <w:lang w:eastAsia="ru-RU"/>
              </w:rPr>
            </w:pPr>
            <w:r w:rsidRPr="00305D1D">
              <w:rPr>
                <w:rFonts w:ascii="Times New Roman" w:eastAsia="Times New Roman" w:hAnsi="Times New Roman" w:cs="Times New Roman"/>
                <w:color w:val="000000" w:themeColor="text1"/>
                <w:sz w:val="24"/>
                <w:szCs w:val="24"/>
                <w:lang w:eastAsia="ru-RU"/>
              </w:rPr>
              <w:t xml:space="preserve">Meanwhile it is necessary that detailed TA for IMS (for all modules and subsystems) is initially provided and submitted by the Contractor for Preliminary consideration </w:t>
            </w:r>
            <w:r>
              <w:rPr>
                <w:rFonts w:ascii="Times New Roman" w:eastAsia="Times New Roman" w:hAnsi="Times New Roman" w:cs="Times New Roman"/>
                <w:color w:val="000000" w:themeColor="text1"/>
                <w:sz w:val="24"/>
                <w:szCs w:val="24"/>
                <w:lang w:eastAsia="ru-RU"/>
              </w:rPr>
              <w:t>of Attachment</w:t>
            </w:r>
            <w:r w:rsidRPr="00305D1D">
              <w:rPr>
                <w:rFonts w:ascii="Times New Roman" w:eastAsia="Times New Roman" w:hAnsi="Times New Roman" w:cs="Times New Roman"/>
                <w:color w:val="000000" w:themeColor="text1"/>
                <w:sz w:val="24"/>
                <w:szCs w:val="24"/>
                <w:lang w:eastAsia="ru-RU"/>
              </w:rPr>
              <w:t xml:space="preserve"> B</w:t>
            </w:r>
            <w:r>
              <w:rPr>
                <w:rFonts w:ascii="Times New Roman" w:eastAsia="Times New Roman" w:hAnsi="Times New Roman" w:cs="Times New Roman"/>
                <w:color w:val="000000" w:themeColor="text1"/>
                <w:sz w:val="24"/>
                <w:szCs w:val="24"/>
                <w:lang w:eastAsia="ru-RU"/>
              </w:rPr>
              <w:t>.</w:t>
            </w:r>
            <w:r w:rsidRPr="00305D1D">
              <w:rPr>
                <w:rFonts w:ascii="Times New Roman" w:eastAsia="Times New Roman" w:hAnsi="Times New Roman" w:cs="Times New Roman"/>
                <w:color w:val="000000" w:themeColor="text1"/>
                <w:sz w:val="24"/>
                <w:szCs w:val="24"/>
                <w:lang w:eastAsia="ru-RU"/>
              </w:rPr>
              <w:t>G.</w:t>
            </w:r>
          </w:p>
        </w:tc>
        <w:tc>
          <w:tcPr>
            <w:tcW w:w="206" w:type="pct"/>
            <w:vAlign w:val="center"/>
          </w:tcPr>
          <w:p w:rsidR="000D375C" w:rsidRPr="000D375C" w:rsidRDefault="000D375C" w:rsidP="005E1CBB">
            <w:pPr>
              <w:bidi w:val="0"/>
              <w:contextualSpacing/>
              <w:jc w:val="center"/>
              <w:rPr>
                <w:rFonts w:ascii="Times New Roman" w:eastAsia="Times New Roman" w:hAnsi="Times New Roman" w:cs="Times New Roman"/>
                <w:color w:val="000000" w:themeColor="text1"/>
                <w:lang w:eastAsia="ru-RU"/>
              </w:rPr>
            </w:pPr>
            <w:r w:rsidRPr="000D375C">
              <w:rPr>
                <w:rFonts w:ascii="Times New Roman" w:eastAsia="Times New Roman" w:hAnsi="Times New Roman" w:cs="Times New Roman"/>
                <w:color w:val="000000" w:themeColor="text1"/>
                <w:lang w:eastAsia="ru-RU"/>
              </w:rPr>
              <w:t>1</w:t>
            </w:r>
          </w:p>
        </w:tc>
      </w:tr>
      <w:tr w:rsidR="005B6EA3" w:rsidRPr="000D375C" w:rsidTr="000D375C">
        <w:trPr>
          <w:jc w:val="center"/>
        </w:trPr>
        <w:tc>
          <w:tcPr>
            <w:tcW w:w="2397" w:type="pct"/>
          </w:tcPr>
          <w:p w:rsidR="005B6EA3" w:rsidRPr="005B6EA3" w:rsidRDefault="005B6EA3" w:rsidP="0061268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It is not a comment. Notwithstanding that 3 subsystems (Data bases, “Organizational, administrative and executive document flow (OEDF)” and “Electronic technical document flow management (ETDM)”) are related IMS elements, it is not required to consider all these subsystems within Addendum B.G, a complex of these systems is described in the document of lower level (TA for IMS).</w:t>
            </w:r>
          </w:p>
        </w:tc>
        <w:tc>
          <w:tcPr>
            <w:tcW w:w="2397" w:type="pct"/>
          </w:tcPr>
          <w:p w:rsidR="005B6EA3" w:rsidRPr="00747EAA" w:rsidRDefault="005B6EA3" w:rsidP="00BC368C">
            <w:pPr>
              <w:bidi w:val="0"/>
              <w:contextualSpacing/>
              <w:jc w:val="both"/>
              <w:rPr>
                <w:rFonts w:ascii="Times New Roman" w:eastAsia="Times New Roman" w:hAnsi="Times New Roman" w:cs="Times New Roman"/>
                <w:color w:val="000000" w:themeColor="text1"/>
                <w:sz w:val="24"/>
                <w:szCs w:val="24"/>
                <w:rtl/>
                <w:lang w:eastAsia="ru-RU" w:bidi="fa-IR"/>
              </w:rPr>
            </w:pPr>
            <w:r w:rsidRPr="00747EAA">
              <w:rPr>
                <w:rFonts w:ascii="Times New Roman" w:eastAsia="Times New Roman" w:hAnsi="Times New Roman" w:cs="Times New Roman"/>
                <w:color w:val="000000" w:themeColor="text1"/>
                <w:sz w:val="24"/>
                <w:szCs w:val="24"/>
                <w:lang w:eastAsia="ru-RU" w:bidi="fa-IR"/>
              </w:rPr>
              <w:t xml:space="preserve">It is noteworthy that the Project Databases are considered as part of a comprehensive IMS system. In this regard it is necessary that the </w:t>
            </w:r>
            <w:proofErr w:type="spellStart"/>
            <w:r>
              <w:rPr>
                <w:rFonts w:ascii="Times New Roman" w:eastAsia="Times New Roman" w:hAnsi="Times New Roman" w:cs="Times New Roman"/>
                <w:color w:val="000000" w:themeColor="text1"/>
                <w:sz w:val="24"/>
                <w:szCs w:val="24"/>
                <w:lang w:eastAsia="ru-RU" w:bidi="fa-IR"/>
              </w:rPr>
              <w:t>Modules</w:t>
            </w:r>
            <w:r w:rsidRPr="0073516C">
              <w:rPr>
                <w:rFonts w:ascii="Times New Roman" w:eastAsia="Times New Roman" w:hAnsi="Times New Roman" w:cs="Times New Roman"/>
                <w:color w:val="000000" w:themeColor="text1"/>
                <w:sz w:val="24"/>
                <w:szCs w:val="24"/>
                <w:lang w:eastAsia="ru-RU" w:bidi="fa-IR"/>
              </w:rPr>
              <w:t>«Organizational</w:t>
            </w:r>
            <w:proofErr w:type="spellEnd"/>
            <w:r w:rsidRPr="0073516C">
              <w:rPr>
                <w:rFonts w:ascii="Times New Roman" w:eastAsia="Times New Roman" w:hAnsi="Times New Roman" w:cs="Times New Roman"/>
                <w:color w:val="000000" w:themeColor="text1"/>
                <w:sz w:val="24"/>
                <w:szCs w:val="24"/>
                <w:lang w:eastAsia="ru-RU" w:bidi="fa-IR"/>
              </w:rPr>
              <w:t>, administrative and executive Document Flow (OEDF) » and «Electronic Technical Document Management (ETDM) »</w:t>
            </w:r>
            <w:r w:rsidRPr="00747EAA">
              <w:rPr>
                <w:rFonts w:ascii="Times New Roman" w:eastAsia="Times New Roman" w:hAnsi="Times New Roman" w:cs="Times New Roman"/>
                <w:color w:val="000000" w:themeColor="text1"/>
                <w:sz w:val="24"/>
                <w:szCs w:val="24"/>
                <w:lang w:eastAsia="ru-RU" w:bidi="fa-IR"/>
              </w:rPr>
              <w:t xml:space="preserve">of the IMS are discussed within the framework of IMS and clarified. </w:t>
            </w:r>
          </w:p>
        </w:tc>
        <w:tc>
          <w:tcPr>
            <w:tcW w:w="206" w:type="pct"/>
            <w:vAlign w:val="center"/>
          </w:tcPr>
          <w:p w:rsidR="005B6EA3" w:rsidRPr="000D375C" w:rsidRDefault="005B6EA3" w:rsidP="005E1CBB">
            <w:pPr>
              <w:bidi w:val="0"/>
              <w:spacing w:after="200" w:line="276" w:lineRule="auto"/>
              <w:contextualSpacing/>
              <w:jc w:val="center"/>
              <w:rPr>
                <w:rFonts w:ascii="Times New Roman" w:eastAsia="Times New Roman" w:hAnsi="Times New Roman" w:cs="Times New Roman"/>
                <w:color w:val="000000" w:themeColor="text1"/>
                <w:rtl/>
                <w:lang w:eastAsia="ru-RU"/>
              </w:rPr>
            </w:pPr>
            <w:r w:rsidRPr="000D375C">
              <w:rPr>
                <w:rFonts w:ascii="Times New Roman" w:eastAsia="Times New Roman" w:hAnsi="Times New Roman" w:cs="Times New Roman"/>
                <w:color w:val="000000" w:themeColor="text1"/>
                <w:lang w:eastAsia="ru-RU"/>
              </w:rPr>
              <w:t>2</w:t>
            </w:r>
          </w:p>
        </w:tc>
      </w:tr>
      <w:tr w:rsidR="005B6EA3" w:rsidRPr="000D375C" w:rsidTr="000D375C">
        <w:trPr>
          <w:jc w:val="center"/>
        </w:trPr>
        <w:tc>
          <w:tcPr>
            <w:tcW w:w="2397" w:type="pct"/>
          </w:tcPr>
          <w:p w:rsidR="005B6EA3" w:rsidRPr="005B6EA3" w:rsidRDefault="005B6EA3" w:rsidP="0061268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Partially accepted. Non-compliances in the part of general terms are eliminated.</w:t>
            </w:r>
          </w:p>
        </w:tc>
        <w:tc>
          <w:tcPr>
            <w:tcW w:w="2397" w:type="pct"/>
          </w:tcPr>
          <w:p w:rsidR="005B6EA3" w:rsidRDefault="005B6EA3" w:rsidP="00BC368C">
            <w:pPr>
              <w:bidi w:val="0"/>
              <w:contextualSpacing/>
              <w:jc w:val="both"/>
              <w:rPr>
                <w:rFonts w:ascii="Times New Roman" w:eastAsia="Times New Roman" w:hAnsi="Times New Roman" w:cs="Times New Roman"/>
                <w:color w:val="000000" w:themeColor="text1"/>
                <w:sz w:val="24"/>
                <w:szCs w:val="24"/>
                <w:lang w:eastAsia="ru-RU" w:bidi="fa-IR"/>
              </w:rPr>
            </w:pPr>
            <w:r w:rsidRPr="0073516C">
              <w:rPr>
                <w:rFonts w:ascii="Times New Roman" w:eastAsia="Times New Roman" w:hAnsi="Times New Roman" w:cs="Times New Roman"/>
                <w:color w:val="000000" w:themeColor="text1"/>
                <w:sz w:val="24"/>
                <w:szCs w:val="24"/>
                <w:lang w:eastAsia="ru-RU" w:bidi="fa-IR"/>
              </w:rPr>
              <w:t>Considering the fact that Technical Alignment for IMS is considered to be the reference document, it is necessary to unify the title and definitions for all Terms and Definitions. In this regard, the terms «Organizational, administrative and executive Document Flow (OEDF) » and «Electronic Technical Document Management (ETDM) »</w:t>
            </w:r>
            <w:r>
              <w:rPr>
                <w:rFonts w:ascii="Times New Roman" w:eastAsia="Times New Roman" w:hAnsi="Times New Roman" w:cs="Times New Roman"/>
                <w:color w:val="000000" w:themeColor="text1"/>
                <w:sz w:val="24"/>
                <w:szCs w:val="24"/>
                <w:lang w:eastAsia="ru-RU" w:bidi="fa-IR"/>
              </w:rPr>
              <w:t xml:space="preserve"> are</w:t>
            </w:r>
            <w:r w:rsidRPr="0073516C">
              <w:rPr>
                <w:rFonts w:ascii="Times New Roman" w:eastAsia="Times New Roman" w:hAnsi="Times New Roman" w:cs="Times New Roman"/>
                <w:color w:val="000000" w:themeColor="text1"/>
                <w:sz w:val="24"/>
                <w:szCs w:val="24"/>
                <w:lang w:eastAsia="ru-RU" w:bidi="fa-IR"/>
              </w:rPr>
              <w:t xml:space="preserve"> mentioned </w:t>
            </w:r>
            <w:r>
              <w:rPr>
                <w:rFonts w:ascii="Times New Roman" w:eastAsia="Times New Roman" w:hAnsi="Times New Roman" w:cs="Times New Roman"/>
                <w:color w:val="000000" w:themeColor="text1"/>
                <w:sz w:val="24"/>
                <w:szCs w:val="24"/>
                <w:lang w:eastAsia="ru-RU" w:bidi="fa-IR"/>
              </w:rPr>
              <w:t xml:space="preserve">as examples. </w:t>
            </w:r>
          </w:p>
          <w:p w:rsidR="005B6EA3" w:rsidRDefault="005B6EA3" w:rsidP="00BC368C">
            <w:pPr>
              <w:bidi w:val="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bidi="fa-IR"/>
              </w:rPr>
              <w:t xml:space="preserve">Meanwhile it shall be noted that in Procedure No. </w:t>
            </w:r>
            <w:r w:rsidRPr="009C566C">
              <w:rPr>
                <w:rFonts w:ascii="Times New Roman" w:eastAsia="Times New Roman" w:hAnsi="Times New Roman" w:cs="Times New Roman"/>
                <w:color w:val="000000" w:themeColor="text1"/>
                <w:sz w:val="24"/>
                <w:szCs w:val="24"/>
                <w:lang w:eastAsia="ru-RU" w:bidi="fa-IR"/>
              </w:rPr>
              <w:t>BU2.0120.0.0.PM.DС0001</w:t>
            </w:r>
            <w:r>
              <w:rPr>
                <w:rFonts w:ascii="Times New Roman" w:eastAsia="Times New Roman" w:hAnsi="Times New Roman" w:cs="Times New Roman"/>
                <w:color w:val="000000" w:themeColor="text1"/>
                <w:sz w:val="24"/>
                <w:szCs w:val="24"/>
                <w:lang w:eastAsia="ru-RU" w:bidi="fa-IR"/>
              </w:rPr>
              <w:t>, the term EDC (Electronic Document Circulation) is applied. The difference between EDC with ETDM shall be clarified by the Contractor.</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lang w:eastAsia="ru-RU"/>
              </w:rPr>
            </w:pPr>
            <w:r w:rsidRPr="000D375C">
              <w:rPr>
                <w:rFonts w:ascii="Times New Roman" w:eastAsia="Times New Roman" w:hAnsi="Times New Roman" w:cs="Times New Roman"/>
                <w:color w:val="000000" w:themeColor="text1"/>
                <w:lang w:eastAsia="ru-RU"/>
              </w:rPr>
              <w:t>3</w:t>
            </w:r>
          </w:p>
        </w:tc>
      </w:tr>
      <w:tr w:rsidR="005B6EA3" w:rsidRPr="000D375C" w:rsidTr="000D375C">
        <w:trPr>
          <w:jc w:val="center"/>
        </w:trPr>
        <w:tc>
          <w:tcPr>
            <w:tcW w:w="2397" w:type="pct"/>
          </w:tcPr>
          <w:p w:rsidR="005B6EA3" w:rsidRPr="005B6EA3" w:rsidRDefault="005B6EA3" w:rsidP="0061268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Not accepted. This is already indicated in the text of the document in sections B.G.1.2 and B.G.2.1 </w:t>
            </w:r>
          </w:p>
        </w:tc>
        <w:tc>
          <w:tcPr>
            <w:tcW w:w="2397" w:type="pct"/>
          </w:tcPr>
          <w:p w:rsidR="005B6EA3" w:rsidRPr="00FA1B5C" w:rsidRDefault="005B6EA3" w:rsidP="00BC368C">
            <w:pPr>
              <w:bidi w:val="0"/>
              <w:contextualSpacing/>
              <w:jc w:val="both"/>
              <w:rPr>
                <w:rFonts w:ascii="Times New Roman" w:eastAsia="Times New Roman" w:hAnsi="Times New Roman" w:cs="Times New Roman"/>
                <w:color w:val="000000" w:themeColor="text1"/>
                <w:sz w:val="24"/>
                <w:szCs w:val="24"/>
                <w:lang w:eastAsia="ru-RU" w:bidi="fa-IR"/>
              </w:rPr>
            </w:pPr>
            <w:r>
              <w:rPr>
                <w:rFonts w:ascii="Times New Roman" w:eastAsia="Times New Roman" w:hAnsi="Times New Roman" w:cs="Times New Roman"/>
                <w:color w:val="000000" w:themeColor="text1"/>
                <w:sz w:val="24"/>
                <w:szCs w:val="24"/>
                <w:lang w:eastAsia="ru-RU" w:bidi="fa-IR"/>
              </w:rPr>
              <w:t xml:space="preserve">It is necessary to add an Item </w:t>
            </w:r>
            <w:r w:rsidRPr="00FA1B5C">
              <w:rPr>
                <w:rFonts w:ascii="Times New Roman" w:eastAsia="Times New Roman" w:hAnsi="Times New Roman" w:cs="Times New Roman"/>
                <w:color w:val="000000" w:themeColor="text1"/>
                <w:sz w:val="24"/>
                <w:szCs w:val="24"/>
                <w:lang w:eastAsia="ru-RU" w:bidi="fa-IR"/>
              </w:rPr>
              <w:t>within the text of Attachment B.G.:</w:t>
            </w:r>
          </w:p>
          <w:p w:rsidR="005B6EA3" w:rsidRPr="00747EAA" w:rsidRDefault="005B6EA3" w:rsidP="00BC368C">
            <w:pPr>
              <w:bidi w:val="0"/>
              <w:contextualSpacing/>
              <w:jc w:val="both"/>
              <w:rPr>
                <w:rFonts w:ascii="Times New Roman" w:eastAsia="Times New Roman" w:hAnsi="Times New Roman" w:cs="Times New Roman"/>
                <w:color w:val="000000" w:themeColor="text1"/>
                <w:sz w:val="24"/>
                <w:szCs w:val="24"/>
                <w:lang w:eastAsia="ru-RU" w:bidi="fa-IR"/>
              </w:rPr>
            </w:pPr>
            <w:r w:rsidRPr="00FA1B5C">
              <w:rPr>
                <w:rFonts w:ascii="Times New Roman" w:eastAsia="Times New Roman" w:hAnsi="Times New Roman" w:cs="Times New Roman"/>
                <w:color w:val="000000" w:themeColor="text1"/>
                <w:sz w:val="24"/>
                <w:szCs w:val="24"/>
                <w:lang w:eastAsia="ru-RU" w:bidi="fa-IR"/>
              </w:rPr>
              <w:t>According to</w:t>
            </w:r>
            <w:r>
              <w:rPr>
                <w:rFonts w:ascii="Times New Roman" w:eastAsia="Times New Roman" w:hAnsi="Times New Roman" w:cs="Times New Roman"/>
                <w:color w:val="000000" w:themeColor="text1"/>
                <w:sz w:val="24"/>
                <w:szCs w:val="24"/>
                <w:lang w:eastAsia="ru-RU" w:bidi="fa-IR"/>
              </w:rPr>
              <w:t xml:space="preserve"> Technical Assignment for IMS </w:t>
            </w:r>
            <w:r w:rsidRPr="000F6242">
              <w:rPr>
                <w:rFonts w:ascii="Times New Roman" w:eastAsia="Times New Roman" w:hAnsi="Times New Roman" w:cs="Times New Roman"/>
                <w:color w:val="000000" w:themeColor="text1"/>
                <w:sz w:val="24"/>
                <w:szCs w:val="24"/>
                <w:lang w:eastAsia="ru-RU" w:bidi="fa-IR"/>
              </w:rPr>
              <w:t xml:space="preserve">BU2.0120.0.0.PM.EC0002, the relationship between Project Databases subsystem with the Electronic Document Management Subsystem (EDMS) and the related Modules i.e. Organizational, administrative and Executive Document Flow (OEDF); Electronic </w:t>
            </w:r>
            <w:r w:rsidRPr="000F6242">
              <w:rPr>
                <w:rFonts w:ascii="Times New Roman" w:eastAsia="Times New Roman" w:hAnsi="Times New Roman" w:cs="Times New Roman"/>
                <w:color w:val="000000" w:themeColor="text1"/>
                <w:sz w:val="24"/>
                <w:szCs w:val="24"/>
                <w:lang w:eastAsia="ru-RU" w:bidi="fa-IR"/>
              </w:rPr>
              <w:lastRenderedPageBreak/>
              <w:t xml:space="preserve">Technical Document Management (ETDM); Project documentation repository  </w:t>
            </w:r>
            <w:r>
              <w:rPr>
                <w:rFonts w:ascii="Times New Roman" w:eastAsia="Times New Roman" w:hAnsi="Times New Roman" w:cs="Times New Roman"/>
                <w:color w:val="000000" w:themeColor="text1"/>
                <w:sz w:val="24"/>
                <w:szCs w:val="24"/>
                <w:lang w:eastAsia="ru-RU" w:bidi="fa-IR"/>
              </w:rPr>
              <w:t xml:space="preserve">shall be </w:t>
            </w:r>
            <w:r w:rsidRPr="000F6242">
              <w:rPr>
                <w:rFonts w:ascii="Times New Roman" w:eastAsia="Times New Roman" w:hAnsi="Times New Roman" w:cs="Times New Roman"/>
                <w:color w:val="000000" w:themeColor="text1"/>
                <w:sz w:val="24"/>
                <w:szCs w:val="24"/>
                <w:lang w:eastAsia="ru-RU" w:bidi="fa-IR"/>
              </w:rPr>
              <w:t>established</w:t>
            </w:r>
            <w:r>
              <w:rPr>
                <w:rFonts w:ascii="Times New Roman" w:eastAsia="Times New Roman" w:hAnsi="Times New Roman" w:cs="Times New Roman"/>
                <w:color w:val="000000" w:themeColor="text1"/>
                <w:sz w:val="24"/>
                <w:szCs w:val="24"/>
                <w:lang w:eastAsia="ru-RU" w:bidi="fa-IR"/>
              </w:rPr>
              <w:t xml:space="preserve"> and the Project databases shall be provided and developed as one of IMS subsystems.</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lang w:val="ru-RU" w:eastAsia="ru-RU"/>
              </w:rPr>
            </w:pPr>
            <w:r w:rsidRPr="000D375C">
              <w:rPr>
                <w:rFonts w:ascii="Times New Roman" w:eastAsia="Times New Roman" w:hAnsi="Times New Roman" w:cs="Times New Roman"/>
                <w:color w:val="000000" w:themeColor="text1"/>
                <w:lang w:val="ru-RU" w:eastAsia="ru-RU"/>
              </w:rPr>
              <w:lastRenderedPageBreak/>
              <w:t>4</w:t>
            </w:r>
          </w:p>
        </w:tc>
      </w:tr>
      <w:tr w:rsidR="005B6EA3" w:rsidRPr="000D375C" w:rsidTr="000D375C">
        <w:trPr>
          <w:jc w:val="center"/>
        </w:trPr>
        <w:tc>
          <w:tcPr>
            <w:tcW w:w="2397" w:type="pct"/>
          </w:tcPr>
          <w:p w:rsidR="005B6EA3" w:rsidRPr="005B6EA3" w:rsidRDefault="005B6EA3" w:rsidP="0061268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lastRenderedPageBreak/>
              <w:t>Accepted. Taken into consideration.</w:t>
            </w:r>
          </w:p>
        </w:tc>
        <w:tc>
          <w:tcPr>
            <w:tcW w:w="2397" w:type="pct"/>
          </w:tcPr>
          <w:p w:rsidR="005B6EA3" w:rsidRPr="007D10EA" w:rsidRDefault="005B6EA3" w:rsidP="00BC368C">
            <w:pPr>
              <w:bidi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B.G.4.2: It shall be added that the format and requirements of reports will be announced later by the Principal during the Project.</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lang w:eastAsia="ru-RU"/>
              </w:rPr>
            </w:pPr>
            <w:r w:rsidRPr="000D375C">
              <w:rPr>
                <w:rFonts w:ascii="Times New Roman" w:eastAsia="Times New Roman" w:hAnsi="Times New Roman" w:cs="Times New Roman"/>
                <w:color w:val="000000" w:themeColor="text1"/>
                <w:lang w:eastAsia="ru-RU"/>
              </w:rPr>
              <w:t>5</w:t>
            </w:r>
          </w:p>
        </w:tc>
      </w:tr>
      <w:tr w:rsidR="005B6EA3" w:rsidRPr="000D375C" w:rsidTr="000D375C">
        <w:trPr>
          <w:jc w:val="center"/>
        </w:trPr>
        <w:tc>
          <w:tcPr>
            <w:tcW w:w="2397" w:type="pct"/>
          </w:tcPr>
          <w:p w:rsidR="005B6EA3" w:rsidRPr="005B6EA3" w:rsidRDefault="005B6EA3" w:rsidP="005B6EA3">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 xml:space="preserve">Not accepted. </w:t>
            </w:r>
            <w:proofErr w:type="gramStart"/>
            <w:r w:rsidRPr="005B6EA3">
              <w:rPr>
                <w:rFonts w:ascii="Times New Roman" w:eastAsia="Times New Roman" w:hAnsi="Times New Roman" w:cs="Times New Roman"/>
                <w:color w:val="000000" w:themeColor="text1"/>
                <w:sz w:val="24"/>
                <w:szCs w:val="24"/>
                <w:lang w:eastAsia="ru-RU"/>
              </w:rPr>
              <w:t>Requirements to relations and interfaces is</w:t>
            </w:r>
            <w:proofErr w:type="gramEnd"/>
            <w:r w:rsidRPr="005B6EA3">
              <w:rPr>
                <w:rFonts w:ascii="Times New Roman" w:eastAsia="Times New Roman" w:hAnsi="Times New Roman" w:cs="Times New Roman"/>
                <w:color w:val="000000" w:themeColor="text1"/>
                <w:sz w:val="24"/>
                <w:szCs w:val="24"/>
                <w:lang w:eastAsia="ru-RU"/>
              </w:rPr>
              <w:t xml:space="preserve"> a TA level, for the Contract Addendum such detalization is not necessary. All necessary relations are written down in the document.</w:t>
            </w:r>
          </w:p>
          <w:p w:rsidR="005B6EA3" w:rsidRPr="005B6EA3" w:rsidRDefault="005B6EA3" w:rsidP="005B6EA3">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All data bases will be implemented in the same software as “Organizational, administrative and executive document flow (OEDF)” and “Electronic technical document flow management (ETDM)”).</w:t>
            </w:r>
          </w:p>
        </w:tc>
        <w:tc>
          <w:tcPr>
            <w:tcW w:w="2397" w:type="pct"/>
          </w:tcPr>
          <w:p w:rsidR="005B6EA3" w:rsidRPr="00C7449A" w:rsidRDefault="005B6EA3" w:rsidP="00BC368C">
            <w:pPr>
              <w:pStyle w:val="a6"/>
              <w:tabs>
                <w:tab w:val="clear" w:pos="4680"/>
                <w:tab w:val="clear" w:pos="9360"/>
              </w:tabs>
              <w:bidi w:val="0"/>
              <w:jc w:val="both"/>
              <w:rPr>
                <w:rFonts w:ascii="Times New Roman" w:hAnsi="Times New Roman" w:cs="Times New Roman"/>
                <w:color w:val="000000" w:themeColor="text1"/>
                <w:sz w:val="24"/>
                <w:szCs w:val="24"/>
              </w:rPr>
            </w:pPr>
            <w:r w:rsidRPr="00C7449A">
              <w:rPr>
                <w:rFonts w:ascii="Times New Roman" w:hAnsi="Times New Roman" w:cs="Times New Roman"/>
                <w:color w:val="000000" w:themeColor="text1"/>
                <w:sz w:val="24"/>
                <w:szCs w:val="24"/>
              </w:rPr>
              <w:t xml:space="preserve">Considering Item number 4 of </w:t>
            </w:r>
            <w:proofErr w:type="spellStart"/>
            <w:r w:rsidRPr="00C7449A">
              <w:rPr>
                <w:rFonts w:ascii="Times New Roman" w:hAnsi="Times New Roman" w:cs="Times New Roman"/>
                <w:color w:val="000000" w:themeColor="text1"/>
                <w:sz w:val="24"/>
                <w:szCs w:val="24"/>
              </w:rPr>
              <w:t>MoM</w:t>
            </w:r>
            <w:proofErr w:type="spellEnd"/>
            <w:r w:rsidRPr="00C7449A">
              <w:rPr>
                <w:rFonts w:ascii="Times New Roman" w:hAnsi="Times New Roman" w:cs="Times New Roman"/>
                <w:color w:val="000000" w:themeColor="text1"/>
                <w:sz w:val="24"/>
                <w:szCs w:val="24"/>
              </w:rPr>
              <w:t xml:space="preserve"> dated 31.05.15, it is necessary for the Contractor to present the structure of each Database and the mutual relation between the Databases in detail. Item 4 of the mentioned </w:t>
            </w:r>
            <w:proofErr w:type="spellStart"/>
            <w:r w:rsidRPr="00C7449A">
              <w:rPr>
                <w:rFonts w:ascii="Times New Roman" w:hAnsi="Times New Roman" w:cs="Times New Roman"/>
                <w:color w:val="000000" w:themeColor="text1"/>
                <w:sz w:val="24"/>
                <w:szCs w:val="24"/>
              </w:rPr>
              <w:t>MoM</w:t>
            </w:r>
            <w:proofErr w:type="spellEnd"/>
            <w:r w:rsidRPr="00C7449A">
              <w:rPr>
                <w:rFonts w:ascii="Times New Roman" w:hAnsi="Times New Roman" w:cs="Times New Roman"/>
                <w:color w:val="000000" w:themeColor="text1"/>
                <w:sz w:val="24"/>
                <w:szCs w:val="24"/>
              </w:rPr>
              <w:t xml:space="preserve"> ha</w:t>
            </w:r>
            <w:r>
              <w:rPr>
                <w:rFonts w:ascii="Times New Roman" w:hAnsi="Times New Roman" w:cs="Times New Roman"/>
                <w:color w:val="000000" w:themeColor="text1"/>
                <w:sz w:val="24"/>
                <w:szCs w:val="24"/>
              </w:rPr>
              <w:t>s not been completely fulfilled, i.e. the relationships between databases have not been clarified.</w:t>
            </w:r>
            <w:r w:rsidRPr="00C7449A">
              <w:rPr>
                <w:rFonts w:ascii="Times New Roman" w:hAnsi="Times New Roman" w:cs="Times New Roman"/>
                <w:color w:val="000000" w:themeColor="text1"/>
                <w:sz w:val="24"/>
                <w:szCs w:val="24"/>
              </w:rPr>
              <w:t xml:space="preserve"> Regarding the mentioned Item, it is necessary to remind that on the basis of Item No. B.2.8 of Appendix B to the Contract, the Contractor is obliged to define the structure and content of the Project databases and the related interfaces among them within Attachment B.G. It shall be reminded that the table or a list presented in Excel format cannot be considered as a Database.</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lang w:val="ru-RU" w:eastAsia="ru-RU"/>
              </w:rPr>
            </w:pPr>
            <w:r w:rsidRPr="000D375C">
              <w:rPr>
                <w:rFonts w:ascii="Times New Roman" w:eastAsia="Times New Roman" w:hAnsi="Times New Roman" w:cs="Times New Roman"/>
                <w:color w:val="000000" w:themeColor="text1"/>
                <w:lang w:val="ru-RU" w:eastAsia="ru-RU"/>
              </w:rPr>
              <w:t>6</w:t>
            </w:r>
          </w:p>
        </w:tc>
      </w:tr>
      <w:tr w:rsidR="005B6EA3" w:rsidRPr="000D375C" w:rsidTr="000D375C">
        <w:trPr>
          <w:jc w:val="center"/>
        </w:trPr>
        <w:tc>
          <w:tcPr>
            <w:tcW w:w="2397" w:type="pct"/>
          </w:tcPr>
          <w:p w:rsidR="005B6EA3" w:rsidRPr="005B6EA3" w:rsidRDefault="005B6EA3" w:rsidP="0061268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Accepted. Added in item B.G.4.4 </w:t>
            </w:r>
          </w:p>
        </w:tc>
        <w:tc>
          <w:tcPr>
            <w:tcW w:w="2397" w:type="pct"/>
          </w:tcPr>
          <w:p w:rsidR="005B6EA3" w:rsidRPr="00747EAA" w:rsidRDefault="005B6EA3" w:rsidP="00BC368C">
            <w:pPr>
              <w:bidi w:val="0"/>
              <w:spacing w:after="200" w:line="276" w:lineRule="auto"/>
              <w:contextualSpacing/>
              <w:jc w:val="both"/>
              <w:rPr>
                <w:rFonts w:ascii="Times New Roman" w:eastAsia="Times New Roman" w:hAnsi="Times New Roman" w:cs="Times New Roman"/>
                <w:color w:val="000000" w:themeColor="text1"/>
                <w:sz w:val="24"/>
                <w:szCs w:val="24"/>
                <w:rtl/>
                <w:lang w:eastAsia="ru-RU"/>
              </w:rPr>
            </w:pPr>
            <w:r w:rsidRPr="00747EAA">
              <w:rPr>
                <w:rFonts w:ascii="Times New Roman" w:eastAsia="Times New Roman" w:hAnsi="Times New Roman" w:cs="Times New Roman"/>
                <w:color w:val="000000" w:themeColor="text1"/>
                <w:sz w:val="24"/>
                <w:szCs w:val="24"/>
                <w:lang w:eastAsia="ru-RU"/>
              </w:rPr>
              <w:t>It is necessary to add a new heading regarding the automatic updating of content in fields after changing in each table.</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rtl/>
                <w:lang w:eastAsia="ru-RU"/>
              </w:rPr>
            </w:pPr>
            <w:r w:rsidRPr="000D375C">
              <w:rPr>
                <w:rFonts w:ascii="Times New Roman" w:eastAsia="Times New Roman" w:hAnsi="Times New Roman" w:cs="Times New Roman"/>
                <w:color w:val="000000" w:themeColor="text1"/>
                <w:lang w:eastAsia="ru-RU"/>
              </w:rPr>
              <w:t>7</w:t>
            </w:r>
          </w:p>
        </w:tc>
      </w:tr>
      <w:tr w:rsidR="005B6EA3" w:rsidRPr="000D375C" w:rsidTr="000D375C">
        <w:trPr>
          <w:jc w:val="center"/>
        </w:trPr>
        <w:tc>
          <w:tcPr>
            <w:tcW w:w="2397" w:type="pct"/>
          </w:tcPr>
          <w:p w:rsidR="005B6EA3" w:rsidRPr="005B6EA3" w:rsidRDefault="005B6EA3" w:rsidP="0061268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Accepted. Done</w:t>
            </w:r>
          </w:p>
        </w:tc>
        <w:tc>
          <w:tcPr>
            <w:tcW w:w="2397" w:type="pct"/>
          </w:tcPr>
          <w:p w:rsidR="005B6EA3" w:rsidRPr="00747EAA" w:rsidRDefault="005B6EA3" w:rsidP="00BC368C">
            <w:pPr>
              <w:bidi w:val="0"/>
              <w:spacing w:after="200" w:line="276" w:lineRule="auto"/>
              <w:contextualSpacing/>
              <w:jc w:val="both"/>
              <w:rPr>
                <w:rFonts w:ascii="Times New Roman" w:eastAsia="Times New Roman" w:hAnsi="Times New Roman" w:cs="Times New Roman"/>
                <w:color w:val="000000" w:themeColor="text1"/>
                <w:sz w:val="24"/>
                <w:szCs w:val="24"/>
                <w:rtl/>
                <w:lang w:eastAsia="ru-RU"/>
              </w:rPr>
            </w:pPr>
            <w:r>
              <w:rPr>
                <w:rFonts w:ascii="Times New Roman" w:eastAsia="Times New Roman" w:hAnsi="Times New Roman" w:cs="Times New Roman"/>
                <w:color w:val="000000" w:themeColor="text1"/>
                <w:sz w:val="24"/>
                <w:szCs w:val="24"/>
                <w:lang w:eastAsia="ru-RU"/>
              </w:rPr>
              <w:t>The figures shall be revised on the basis of implemented corrections regarding the titles of fields and etc.</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rtl/>
                <w:lang w:eastAsia="ru-RU"/>
              </w:rPr>
            </w:pPr>
            <w:r w:rsidRPr="000D375C">
              <w:rPr>
                <w:rFonts w:ascii="Times New Roman" w:eastAsia="Times New Roman" w:hAnsi="Times New Roman" w:cs="Times New Roman"/>
                <w:color w:val="000000" w:themeColor="text1"/>
                <w:lang w:eastAsia="ru-RU"/>
              </w:rPr>
              <w:t>8</w:t>
            </w:r>
          </w:p>
        </w:tc>
      </w:tr>
      <w:tr w:rsidR="005B6EA3" w:rsidRPr="00320506" w:rsidTr="000D375C">
        <w:trPr>
          <w:jc w:val="center"/>
        </w:trPr>
        <w:tc>
          <w:tcPr>
            <w:tcW w:w="2397" w:type="pct"/>
          </w:tcPr>
          <w:p w:rsidR="005B6EA3" w:rsidRPr="005B6EA3" w:rsidRDefault="005B6EA3" w:rsidP="0061268C">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Accepted. This item will be clarified to the Customer at the meeting on Appendix B.G.</w:t>
            </w:r>
          </w:p>
        </w:tc>
        <w:tc>
          <w:tcPr>
            <w:tcW w:w="2397" w:type="pct"/>
          </w:tcPr>
          <w:p w:rsidR="005B6EA3" w:rsidRPr="00747EAA" w:rsidRDefault="005B6EA3" w:rsidP="00BC368C">
            <w:pPr>
              <w:bidi w:val="0"/>
              <w:spacing w:after="200" w:line="276" w:lineRule="auto"/>
              <w:contextualSpacing/>
              <w:jc w:val="both"/>
              <w:rPr>
                <w:rFonts w:ascii="Times New Roman" w:eastAsia="Times New Roman" w:hAnsi="Times New Roman" w:cs="Times New Roman"/>
                <w:color w:val="000000" w:themeColor="text1"/>
                <w:sz w:val="24"/>
                <w:szCs w:val="24"/>
                <w:rtl/>
                <w:lang w:eastAsia="ru-RU"/>
              </w:rPr>
            </w:pPr>
            <w:r>
              <w:rPr>
                <w:rFonts w:ascii="Times New Roman" w:eastAsia="Times New Roman" w:hAnsi="Times New Roman" w:cs="Times New Roman"/>
                <w:color w:val="000000" w:themeColor="text1"/>
                <w:sz w:val="24"/>
                <w:szCs w:val="24"/>
                <w:lang w:eastAsia="ru-RU"/>
              </w:rPr>
              <w:t>The difference between subsidiary tables with supplementary tables shall be clarified by the Contractor.</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rtl/>
                <w:lang w:eastAsia="ru-RU"/>
              </w:rPr>
            </w:pPr>
            <w:r w:rsidRPr="00320506">
              <w:rPr>
                <w:rFonts w:ascii="Times New Roman" w:eastAsia="Times New Roman" w:hAnsi="Times New Roman" w:cs="Times New Roman"/>
                <w:color w:val="000000" w:themeColor="text1"/>
                <w:lang w:val="ru-RU" w:eastAsia="ru-RU"/>
              </w:rPr>
              <w:t>9</w:t>
            </w:r>
          </w:p>
        </w:tc>
      </w:tr>
      <w:tr w:rsidR="005B6EA3" w:rsidRPr="000D375C" w:rsidTr="000D375C">
        <w:trPr>
          <w:jc w:val="center"/>
        </w:trPr>
        <w:tc>
          <w:tcPr>
            <w:tcW w:w="2397" w:type="pct"/>
          </w:tcPr>
          <w:p w:rsidR="005B6EA3" w:rsidRPr="005B6EA3" w:rsidRDefault="005B6EA3" w:rsidP="001F154F">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Not accepted. All tables of data bases include Selection Lists – these are fields, which al reference books are connected to. The reference books themselves are just regular tables of data bases, which contain information not related to any particular type of documents but include additional information that is often repeated and used in fields with Selection Lists.</w:t>
            </w:r>
          </w:p>
        </w:tc>
        <w:tc>
          <w:tcPr>
            <w:tcW w:w="2397" w:type="pct"/>
          </w:tcPr>
          <w:p w:rsidR="005B6EA3" w:rsidRPr="00747EAA" w:rsidRDefault="005B6EA3" w:rsidP="00BC368C">
            <w:pPr>
              <w:bidi w:val="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Item B.G.3.3: The term Reference Book is not clear; therefore it is suggested to change the mentioned term to the term Selection List.</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rtl/>
                <w:lang w:eastAsia="ru-RU"/>
              </w:rPr>
            </w:pPr>
            <w:r w:rsidRPr="000D375C">
              <w:rPr>
                <w:rFonts w:ascii="Times New Roman" w:eastAsia="Times New Roman" w:hAnsi="Times New Roman" w:cs="Times New Roman"/>
                <w:color w:val="000000" w:themeColor="text1"/>
                <w:lang w:eastAsia="ru-RU"/>
              </w:rPr>
              <w:t>10</w:t>
            </w:r>
          </w:p>
        </w:tc>
      </w:tr>
      <w:tr w:rsidR="005B6EA3" w:rsidRPr="000D375C" w:rsidTr="000D375C">
        <w:trPr>
          <w:jc w:val="center"/>
        </w:trPr>
        <w:tc>
          <w:tcPr>
            <w:tcW w:w="2397" w:type="pct"/>
          </w:tcPr>
          <w:p w:rsidR="005B6EA3" w:rsidRPr="005B6EA3" w:rsidRDefault="005B6EA3" w:rsidP="000E7810">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 xml:space="preserve">Not accepted. It’s unnecessary to describe within Addendum B.G </w:t>
            </w:r>
          </w:p>
          <w:p w:rsidR="005B6EA3" w:rsidRPr="005B6EA3" w:rsidRDefault="005B6EA3" w:rsidP="001F154F">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lastRenderedPageBreak/>
              <w:t>There are no separate import-export modules, there are just standard functions buttons, which will open simple screen forms. It is not required to develop separate detailed TA for standard functions. Functional work description will be stated in the instruction for the work with IMS subsystems.</w:t>
            </w:r>
          </w:p>
          <w:p w:rsidR="005B6EA3" w:rsidRPr="005B6EA3" w:rsidRDefault="005B6EA3" w:rsidP="000E7810">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 xml:space="preserve"> </w:t>
            </w:r>
          </w:p>
        </w:tc>
        <w:tc>
          <w:tcPr>
            <w:tcW w:w="2397" w:type="pct"/>
          </w:tcPr>
          <w:p w:rsidR="005B6EA3" w:rsidRDefault="005B6EA3" w:rsidP="00BC368C">
            <w:pPr>
              <w:bidi w:val="0"/>
              <w:contextualSpacing/>
              <w:jc w:val="both"/>
              <w:rPr>
                <w:rFonts w:ascii="Times New Roman" w:eastAsia="Times New Roman" w:hAnsi="Times New Roman" w:cs="Times New Roman"/>
                <w:color w:val="000000" w:themeColor="text1"/>
                <w:sz w:val="24"/>
                <w:szCs w:val="24"/>
                <w:lang w:eastAsia="ru-RU"/>
              </w:rPr>
            </w:pPr>
            <w:r w:rsidRPr="00B01207">
              <w:rPr>
                <w:rFonts w:ascii="Times New Roman" w:eastAsia="Times New Roman" w:hAnsi="Times New Roman" w:cs="Times New Roman"/>
                <w:color w:val="000000" w:themeColor="text1"/>
                <w:sz w:val="24"/>
                <w:szCs w:val="24"/>
                <w:lang w:eastAsia="ru-RU" w:bidi="fa-IR"/>
              </w:rPr>
              <w:lastRenderedPageBreak/>
              <w:t xml:space="preserve">It is necessary to provide detailed explanations regarding Modules </w:t>
            </w:r>
            <w:r w:rsidRPr="00B01207">
              <w:rPr>
                <w:rFonts w:ascii="Times New Roman" w:eastAsia="Times New Roman" w:hAnsi="Times New Roman" w:cs="Times New Roman"/>
                <w:color w:val="000000" w:themeColor="text1"/>
                <w:sz w:val="24"/>
                <w:szCs w:val="24"/>
                <w:lang w:eastAsia="ru-RU" w:bidi="fa-IR"/>
              </w:rPr>
              <w:lastRenderedPageBreak/>
              <w:t>such as “Import” and “Export” and also other modules witch are related to Attachment B</w:t>
            </w:r>
            <w:r>
              <w:rPr>
                <w:rFonts w:ascii="Times New Roman" w:eastAsia="Times New Roman" w:hAnsi="Times New Roman" w:cs="Times New Roman"/>
                <w:color w:val="000000" w:themeColor="text1"/>
                <w:sz w:val="24"/>
                <w:szCs w:val="24"/>
                <w:lang w:eastAsia="ru-RU" w:bidi="fa-IR"/>
              </w:rPr>
              <w:t>.</w:t>
            </w:r>
            <w:r w:rsidRPr="00B01207">
              <w:rPr>
                <w:rFonts w:ascii="Times New Roman" w:eastAsia="Times New Roman" w:hAnsi="Times New Roman" w:cs="Times New Roman"/>
                <w:color w:val="000000" w:themeColor="text1"/>
                <w:sz w:val="24"/>
                <w:szCs w:val="24"/>
                <w:lang w:eastAsia="ru-RU" w:bidi="fa-IR"/>
              </w:rPr>
              <w:t>G</w:t>
            </w:r>
            <w:r>
              <w:rPr>
                <w:rFonts w:ascii="Times New Roman" w:eastAsia="Times New Roman" w:hAnsi="Times New Roman" w:cs="Times New Roman"/>
                <w:color w:val="000000" w:themeColor="text1"/>
                <w:sz w:val="24"/>
                <w:szCs w:val="24"/>
                <w:lang w:eastAsia="ru-RU" w:bidi="fa-IR"/>
              </w:rPr>
              <w:t>.</w:t>
            </w:r>
            <w:r w:rsidRPr="00B01207">
              <w:rPr>
                <w:rFonts w:ascii="Times New Roman" w:eastAsia="Times New Roman" w:hAnsi="Times New Roman" w:cs="Times New Roman"/>
                <w:color w:val="000000" w:themeColor="text1"/>
                <w:sz w:val="24"/>
                <w:szCs w:val="24"/>
                <w:lang w:eastAsia="ru-RU" w:bidi="fa-IR"/>
              </w:rPr>
              <w:t xml:space="preserve"> within related detailed Technical Assignments.</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lang w:eastAsia="ru-RU"/>
              </w:rPr>
            </w:pPr>
            <w:r w:rsidRPr="000D375C">
              <w:rPr>
                <w:rFonts w:ascii="Times New Roman" w:eastAsia="Times New Roman" w:hAnsi="Times New Roman" w:cs="Times New Roman"/>
                <w:color w:val="000000" w:themeColor="text1"/>
                <w:lang w:eastAsia="ru-RU"/>
              </w:rPr>
              <w:lastRenderedPageBreak/>
              <w:t>11</w:t>
            </w:r>
          </w:p>
        </w:tc>
      </w:tr>
      <w:tr w:rsidR="005B6EA3" w:rsidRPr="000D375C" w:rsidTr="000D375C">
        <w:trPr>
          <w:jc w:val="center"/>
        </w:trPr>
        <w:tc>
          <w:tcPr>
            <w:tcW w:w="2397" w:type="pct"/>
          </w:tcPr>
          <w:p w:rsidR="005B6EA3" w:rsidRPr="005B6EA3" w:rsidRDefault="005B6EA3" w:rsidP="00E9685B">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lastRenderedPageBreak/>
              <w:t xml:space="preserve">Accepted. All text corrections are considered. </w:t>
            </w:r>
          </w:p>
          <w:p w:rsidR="005B6EA3" w:rsidRPr="005B6EA3" w:rsidRDefault="005B6EA3" w:rsidP="00EA7202">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All items needed to be clarified will be explained to the Customer at the meeting on Appendix B.G.</w:t>
            </w:r>
          </w:p>
        </w:tc>
        <w:tc>
          <w:tcPr>
            <w:tcW w:w="2397" w:type="pct"/>
          </w:tcPr>
          <w:p w:rsidR="005B6EA3" w:rsidRPr="00747EAA" w:rsidRDefault="005B6EA3" w:rsidP="00BC368C">
            <w:pPr>
              <w:bidi w:val="0"/>
              <w:contextualSpacing/>
              <w:jc w:val="both"/>
              <w:rPr>
                <w:rFonts w:ascii="Times New Roman" w:eastAsia="Times New Roman" w:hAnsi="Times New Roman" w:cs="Times New Roman"/>
                <w:color w:val="000000" w:themeColor="text1"/>
                <w:sz w:val="24"/>
                <w:szCs w:val="24"/>
                <w:lang w:eastAsia="ru-RU"/>
              </w:rPr>
            </w:pPr>
            <w:r w:rsidRPr="00350E45">
              <w:rPr>
                <w:rFonts w:ascii="Times New Roman" w:eastAsia="Times New Roman" w:hAnsi="Times New Roman" w:cs="Times New Roman"/>
                <w:color w:val="000000" w:themeColor="text1"/>
                <w:sz w:val="24"/>
                <w:szCs w:val="24"/>
                <w:lang w:eastAsia="ru-RU" w:bidi="fa-IR"/>
              </w:rPr>
              <w:t>The corrections specified throughout the text of documents shall be considered by the Contractor and modified. Meanwhile there are some ambiguities throughout the text of documents (highlighted parts) which shall be clarified by the Contractor and further discussed between the Parties.</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rtl/>
                <w:lang w:eastAsia="ru-RU"/>
              </w:rPr>
            </w:pPr>
            <w:r w:rsidRPr="000D375C">
              <w:rPr>
                <w:rFonts w:ascii="Times New Roman" w:eastAsia="Times New Roman" w:hAnsi="Times New Roman" w:cs="Times New Roman"/>
                <w:color w:val="000000" w:themeColor="text1"/>
                <w:lang w:eastAsia="ru-RU"/>
              </w:rPr>
              <w:t>12</w:t>
            </w:r>
          </w:p>
        </w:tc>
      </w:tr>
      <w:tr w:rsidR="005B6EA3" w:rsidRPr="00320A7E" w:rsidTr="000D375C">
        <w:trPr>
          <w:jc w:val="center"/>
        </w:trPr>
        <w:tc>
          <w:tcPr>
            <w:tcW w:w="2397" w:type="pct"/>
          </w:tcPr>
          <w:p w:rsidR="005B6EA3" w:rsidRPr="005B6EA3" w:rsidRDefault="005B6EA3" w:rsidP="00EA7202">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Accepted. The samples can be sent to your address, it is required to specify, which tables shall be sent and to which address (e-mail).</w:t>
            </w:r>
          </w:p>
        </w:tc>
        <w:tc>
          <w:tcPr>
            <w:tcW w:w="2397" w:type="pct"/>
          </w:tcPr>
          <w:p w:rsidR="005B6EA3" w:rsidRPr="00350E45" w:rsidRDefault="005B6EA3" w:rsidP="00BC368C">
            <w:pPr>
              <w:bidi w:val="0"/>
              <w:contextualSpacing/>
              <w:jc w:val="both"/>
              <w:rPr>
                <w:rFonts w:ascii="Times New Roman" w:eastAsia="Times New Roman" w:hAnsi="Times New Roman" w:cs="Times New Roman"/>
                <w:color w:val="000000" w:themeColor="text1"/>
                <w:sz w:val="24"/>
                <w:szCs w:val="24"/>
                <w:lang w:eastAsia="ru-RU"/>
              </w:rPr>
            </w:pPr>
            <w:r w:rsidRPr="003C52FF">
              <w:rPr>
                <w:rFonts w:ascii="Times New Roman" w:eastAsia="Times New Roman" w:hAnsi="Times New Roman" w:cs="Times New Roman"/>
                <w:color w:val="000000" w:themeColor="text1"/>
                <w:sz w:val="24"/>
                <w:szCs w:val="24"/>
                <w:lang w:eastAsia="ru-RU" w:bidi="fa-IR"/>
              </w:rPr>
              <w:t>Submission of examples about fields of tables may be useful for understanding the nature of databases</w:t>
            </w:r>
            <w:r>
              <w:rPr>
                <w:rFonts w:ascii="Times New Roman" w:hAnsi="Times New Roman" w:cs="Times New Roman"/>
              </w:rPr>
              <w:t>.</w:t>
            </w:r>
          </w:p>
        </w:tc>
        <w:tc>
          <w:tcPr>
            <w:tcW w:w="206" w:type="pct"/>
            <w:vAlign w:val="center"/>
          </w:tcPr>
          <w:p w:rsidR="005B6EA3" w:rsidRPr="00320A7E" w:rsidRDefault="005B6EA3" w:rsidP="005E1CBB">
            <w:pPr>
              <w:bidi w:val="0"/>
              <w:contextualSpacing/>
              <w:jc w:val="center"/>
              <w:rPr>
                <w:rFonts w:ascii="Times New Roman" w:eastAsia="Times New Roman" w:hAnsi="Times New Roman" w:cs="Times New Roman"/>
                <w:color w:val="000000" w:themeColor="text1"/>
                <w:lang w:val="ru-RU" w:eastAsia="ru-RU"/>
              </w:rPr>
            </w:pPr>
            <w:r w:rsidRPr="00320A7E">
              <w:rPr>
                <w:rFonts w:ascii="Times New Roman" w:eastAsia="Times New Roman" w:hAnsi="Times New Roman" w:cs="Times New Roman"/>
                <w:color w:val="000000" w:themeColor="text1"/>
                <w:lang w:val="ru-RU" w:eastAsia="ru-RU"/>
              </w:rPr>
              <w:t>13</w:t>
            </w:r>
          </w:p>
        </w:tc>
      </w:tr>
      <w:tr w:rsidR="005B6EA3" w:rsidRPr="000D375C" w:rsidTr="000D375C">
        <w:trPr>
          <w:jc w:val="center"/>
        </w:trPr>
        <w:tc>
          <w:tcPr>
            <w:tcW w:w="2397" w:type="pct"/>
          </w:tcPr>
          <w:p w:rsidR="005B6EA3" w:rsidRPr="005B6EA3" w:rsidRDefault="005B6EA3" w:rsidP="00EA7202">
            <w:pPr>
              <w:bidi w:val="0"/>
              <w:contextualSpacing/>
              <w:jc w:val="both"/>
              <w:rPr>
                <w:rFonts w:ascii="Times New Roman" w:eastAsia="Times New Roman" w:hAnsi="Times New Roman" w:cs="Times New Roman"/>
                <w:color w:val="000000" w:themeColor="text1"/>
                <w:sz w:val="24"/>
                <w:szCs w:val="24"/>
                <w:lang w:eastAsia="ru-RU"/>
              </w:rPr>
            </w:pPr>
            <w:r w:rsidRPr="005B6EA3">
              <w:rPr>
                <w:rFonts w:ascii="Times New Roman" w:eastAsia="Times New Roman" w:hAnsi="Times New Roman" w:cs="Times New Roman"/>
                <w:color w:val="000000" w:themeColor="text1"/>
                <w:sz w:val="24"/>
                <w:szCs w:val="24"/>
                <w:lang w:eastAsia="ru-RU"/>
              </w:rPr>
              <w:t>Not accepted. This wording already exists in document sections B.G.1.2  and B.G.2.2.3 </w:t>
            </w:r>
          </w:p>
        </w:tc>
        <w:tc>
          <w:tcPr>
            <w:tcW w:w="2397" w:type="pct"/>
          </w:tcPr>
          <w:p w:rsidR="005B6EA3" w:rsidRPr="003C52FF" w:rsidRDefault="005B6EA3" w:rsidP="00BC368C">
            <w:pPr>
              <w:bidi w:val="0"/>
              <w:contextualSpacing/>
              <w:jc w:val="both"/>
              <w:rPr>
                <w:rFonts w:ascii="Times New Roman" w:eastAsia="Times New Roman" w:hAnsi="Times New Roman" w:cs="Times New Roman"/>
                <w:color w:val="000000" w:themeColor="text1"/>
                <w:sz w:val="24"/>
                <w:szCs w:val="24"/>
                <w:lang w:eastAsia="ru-RU"/>
              </w:rPr>
            </w:pPr>
            <w:r w:rsidRPr="0064197B">
              <w:rPr>
                <w:rFonts w:ascii="Times New Roman" w:eastAsia="Times New Roman" w:hAnsi="Times New Roman" w:cs="Times New Roman"/>
                <w:color w:val="000000" w:themeColor="text1"/>
                <w:sz w:val="24"/>
                <w:szCs w:val="24"/>
                <w:lang w:eastAsia="ru-RU"/>
              </w:rPr>
              <w:t>An item shall be added explaining that the quantity and contents of fields will be correspondingly extended in the course of development of the Project, upon agreement of the Parties</w:t>
            </w:r>
            <w:r>
              <w:rPr>
                <w:rFonts w:ascii="Times New Roman" w:eastAsia="Times New Roman" w:hAnsi="Times New Roman" w:cs="Times New Roman"/>
                <w:color w:val="000000" w:themeColor="text1"/>
                <w:sz w:val="24"/>
                <w:szCs w:val="24"/>
                <w:lang w:eastAsia="ru-RU"/>
              </w:rPr>
              <w:t>.</w:t>
            </w:r>
          </w:p>
        </w:tc>
        <w:tc>
          <w:tcPr>
            <w:tcW w:w="206" w:type="pct"/>
            <w:vAlign w:val="center"/>
          </w:tcPr>
          <w:p w:rsidR="005B6EA3" w:rsidRPr="000D375C" w:rsidRDefault="005B6EA3" w:rsidP="005E1CBB">
            <w:pPr>
              <w:bidi w:val="0"/>
              <w:contextualSpacing/>
              <w:jc w:val="center"/>
              <w:rPr>
                <w:rFonts w:ascii="Times New Roman" w:eastAsia="Times New Roman" w:hAnsi="Times New Roman" w:cs="Times New Roman"/>
                <w:color w:val="000000" w:themeColor="text1"/>
                <w:lang w:eastAsia="ru-RU"/>
              </w:rPr>
            </w:pPr>
            <w:r w:rsidRPr="000D375C">
              <w:rPr>
                <w:rFonts w:ascii="Times New Roman" w:eastAsia="Times New Roman" w:hAnsi="Times New Roman" w:cs="Times New Roman"/>
                <w:color w:val="000000" w:themeColor="text1"/>
                <w:lang w:eastAsia="ru-RU"/>
              </w:rPr>
              <w:t>14</w:t>
            </w:r>
          </w:p>
        </w:tc>
      </w:tr>
    </w:tbl>
    <w:p w:rsidR="004A0F50" w:rsidRPr="000D375C" w:rsidRDefault="004A0F50">
      <w:pPr>
        <w:rPr>
          <w:rFonts w:ascii="Times New Roman" w:hAnsi="Times New Roman" w:cs="Times New Roman"/>
          <w:sz w:val="20"/>
          <w:szCs w:val="20"/>
        </w:rPr>
      </w:pPr>
    </w:p>
    <w:p w:rsidR="00801EE5" w:rsidRPr="000D375C" w:rsidRDefault="00801EE5">
      <w:pPr>
        <w:rPr>
          <w:rFonts w:ascii="Times New Roman" w:hAnsi="Times New Roman" w:cs="Times New Roman"/>
          <w:sz w:val="20"/>
          <w:szCs w:val="20"/>
        </w:rPr>
      </w:pPr>
    </w:p>
    <w:p w:rsidR="00801EE5" w:rsidRPr="000D375C" w:rsidRDefault="00801EE5">
      <w:pPr>
        <w:rPr>
          <w:rFonts w:ascii="Times New Roman" w:hAnsi="Times New Roman" w:cs="Times New Roman"/>
          <w:sz w:val="20"/>
          <w:szCs w:val="20"/>
        </w:rPr>
      </w:pPr>
    </w:p>
    <w:p w:rsidR="00801EE5" w:rsidRPr="000D375C" w:rsidRDefault="00801EE5">
      <w:pPr>
        <w:rPr>
          <w:rFonts w:ascii="Times New Roman" w:hAnsi="Times New Roman" w:cs="Times New Roman"/>
          <w:sz w:val="20"/>
          <w:szCs w:val="20"/>
        </w:rPr>
      </w:pPr>
    </w:p>
    <w:p w:rsidR="00801EE5" w:rsidRPr="000D375C" w:rsidRDefault="00801EE5">
      <w:pPr>
        <w:rPr>
          <w:rFonts w:ascii="Times New Roman" w:hAnsi="Times New Roman" w:cs="Times New Roman"/>
          <w:sz w:val="20"/>
          <w:szCs w:val="20"/>
        </w:rPr>
      </w:pPr>
    </w:p>
    <w:p w:rsidR="00801EE5" w:rsidRPr="000D375C" w:rsidRDefault="00801EE5">
      <w:pPr>
        <w:rPr>
          <w:rFonts w:ascii="Times New Roman" w:hAnsi="Times New Roman" w:cs="Times New Roman"/>
          <w:sz w:val="20"/>
          <w:szCs w:val="20"/>
        </w:rPr>
      </w:pPr>
    </w:p>
    <w:p w:rsidR="00801EE5" w:rsidRPr="000D375C" w:rsidRDefault="00801EE5">
      <w:pPr>
        <w:rPr>
          <w:rFonts w:ascii="Times New Roman" w:hAnsi="Times New Roman" w:cs="Times New Roman"/>
          <w:sz w:val="20"/>
          <w:szCs w:val="20"/>
        </w:rPr>
      </w:pPr>
    </w:p>
    <w:p w:rsidR="00801EE5" w:rsidRPr="000D375C" w:rsidRDefault="00801EE5">
      <w:pPr>
        <w:rPr>
          <w:rFonts w:ascii="Times New Roman" w:hAnsi="Times New Roman" w:cs="Times New Roman"/>
          <w:sz w:val="20"/>
          <w:szCs w:val="20"/>
        </w:rPr>
      </w:pPr>
    </w:p>
    <w:tbl>
      <w:tblPr>
        <w:bidiVisual/>
        <w:tblW w:w="15009"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3973"/>
        <w:gridCol w:w="5269"/>
        <w:gridCol w:w="1328"/>
        <w:gridCol w:w="417"/>
      </w:tblGrid>
      <w:tr w:rsidR="00DF45D0" w:rsidRPr="000D375C" w:rsidTr="009164BD">
        <w:trPr>
          <w:tblHeader/>
          <w:jc w:val="center"/>
        </w:trPr>
        <w:tc>
          <w:tcPr>
            <w:tcW w:w="5045" w:type="dxa"/>
            <w:vMerge w:val="restart"/>
            <w:tcBorders>
              <w:bottom w:val="single" w:sz="4" w:space="0" w:color="auto"/>
            </w:tcBorders>
            <w:vAlign w:val="center"/>
          </w:tcPr>
          <w:p w:rsidR="00DF45D0" w:rsidRPr="000D375C" w:rsidRDefault="005A00EF" w:rsidP="005A00EF">
            <w:pPr>
              <w:bidi w:val="0"/>
              <w:spacing w:line="240" w:lineRule="auto"/>
              <w:jc w:val="center"/>
              <w:rPr>
                <w:rFonts w:ascii="Times New Roman" w:hAnsi="Times New Roman" w:cs="Times New Roman"/>
                <w:b/>
                <w:bCs/>
                <w:sz w:val="20"/>
                <w:szCs w:val="20"/>
                <w:lang w:val="ru-RU"/>
              </w:rPr>
            </w:pPr>
            <w:r w:rsidRPr="00AE0261">
              <w:rPr>
                <w:rFonts w:ascii="Times New Roman" w:hAnsi="Times New Roman" w:cs="Times New Roman"/>
                <w:b/>
                <w:bCs/>
                <w:sz w:val="24"/>
                <w:szCs w:val="24"/>
              </w:rPr>
              <w:lastRenderedPageBreak/>
              <w:t>Comments</w:t>
            </w:r>
            <w:r w:rsidRPr="005B6EA3">
              <w:rPr>
                <w:rFonts w:ascii="Times New Roman" w:hAnsi="Times New Roman" w:cs="Times New Roman"/>
                <w:b/>
                <w:bCs/>
                <w:lang w:val="ru-RU"/>
              </w:rPr>
              <w:t xml:space="preserve"> </w:t>
            </w:r>
            <w:r w:rsidRPr="005B6EA3">
              <w:rPr>
                <w:rFonts w:ascii="Times New Roman" w:hAnsi="Times New Roman" w:cs="Times New Roman"/>
                <w:b/>
                <w:bCs/>
                <w:sz w:val="24"/>
                <w:szCs w:val="24"/>
              </w:rPr>
              <w:t>JSC ASE</w:t>
            </w:r>
          </w:p>
        </w:tc>
        <w:tc>
          <w:tcPr>
            <w:tcW w:w="9964" w:type="dxa"/>
            <w:gridSpan w:val="4"/>
            <w:vAlign w:val="center"/>
          </w:tcPr>
          <w:p w:rsidR="00DF45D0" w:rsidRPr="000D375C" w:rsidRDefault="005A00EF" w:rsidP="00BD5856">
            <w:pPr>
              <w:bidi w:val="0"/>
              <w:spacing w:line="240" w:lineRule="auto"/>
              <w:jc w:val="center"/>
              <w:rPr>
                <w:rFonts w:ascii="Times New Roman" w:hAnsi="Times New Roman" w:cs="Times New Roman"/>
                <w:b/>
                <w:bCs/>
                <w:sz w:val="20"/>
                <w:szCs w:val="20"/>
                <w:lang w:val="ru-RU"/>
              </w:rPr>
            </w:pPr>
            <w:r w:rsidRPr="00C07E21">
              <w:rPr>
                <w:rFonts w:ascii="Times New Roman" w:hAnsi="Times New Roman" w:cs="Times New Roman"/>
                <w:b/>
                <w:bCs/>
                <w:sz w:val="24"/>
                <w:szCs w:val="24"/>
              </w:rPr>
              <w:t>Specific Comments</w:t>
            </w:r>
          </w:p>
        </w:tc>
      </w:tr>
      <w:tr w:rsidR="009164BD" w:rsidRPr="000D375C" w:rsidTr="009164BD">
        <w:trPr>
          <w:trHeight w:val="942"/>
          <w:tblHeader/>
          <w:jc w:val="center"/>
        </w:trPr>
        <w:tc>
          <w:tcPr>
            <w:tcW w:w="5045" w:type="dxa"/>
            <w:vMerge/>
            <w:tcBorders>
              <w:bottom w:val="single" w:sz="4" w:space="0" w:color="auto"/>
            </w:tcBorders>
          </w:tcPr>
          <w:p w:rsidR="005A00EF" w:rsidRPr="000D375C" w:rsidRDefault="005A00EF" w:rsidP="006B5623">
            <w:pPr>
              <w:bidi w:val="0"/>
              <w:spacing w:line="240" w:lineRule="auto"/>
              <w:jc w:val="center"/>
              <w:rPr>
                <w:rFonts w:ascii="Times New Roman" w:hAnsi="Times New Roman" w:cs="Times New Roman"/>
                <w:b/>
                <w:bCs/>
                <w:sz w:val="20"/>
                <w:szCs w:val="20"/>
                <w:lang w:val="ru-RU"/>
              </w:rPr>
            </w:pPr>
          </w:p>
        </w:tc>
        <w:tc>
          <w:tcPr>
            <w:tcW w:w="4485" w:type="dxa"/>
            <w:vAlign w:val="center"/>
          </w:tcPr>
          <w:p w:rsidR="005A00EF" w:rsidRPr="006B33D4" w:rsidRDefault="005A00EF" w:rsidP="00BC368C">
            <w:pPr>
              <w:bidi w:val="0"/>
              <w:spacing w:line="240" w:lineRule="auto"/>
              <w:jc w:val="center"/>
              <w:rPr>
                <w:rFonts w:ascii="Times New Roman" w:hAnsi="Times New Roman" w:cs="Times New Roman"/>
                <w:b/>
                <w:bCs/>
                <w:rtl/>
              </w:rPr>
            </w:pPr>
            <w:r>
              <w:rPr>
                <w:rFonts w:ascii="Times New Roman" w:hAnsi="Times New Roman" w:cs="Times New Roman"/>
                <w:b/>
                <w:bCs/>
              </w:rPr>
              <w:t xml:space="preserve">The Principal Comment </w:t>
            </w:r>
          </w:p>
        </w:tc>
        <w:tc>
          <w:tcPr>
            <w:tcW w:w="3734" w:type="dxa"/>
            <w:vAlign w:val="center"/>
          </w:tcPr>
          <w:p w:rsidR="005A00EF" w:rsidRPr="006B33D4" w:rsidRDefault="005A00EF" w:rsidP="00BC368C">
            <w:pPr>
              <w:bidi w:val="0"/>
              <w:spacing w:line="240" w:lineRule="auto"/>
              <w:jc w:val="center"/>
              <w:rPr>
                <w:rFonts w:ascii="Times New Roman" w:hAnsi="Times New Roman" w:cs="Times New Roman"/>
                <w:b/>
                <w:bCs/>
              </w:rPr>
            </w:pPr>
            <w:r w:rsidRPr="006B33D4">
              <w:rPr>
                <w:rFonts w:ascii="Times New Roman" w:hAnsi="Times New Roman" w:cs="Times New Roman"/>
                <w:b/>
                <w:bCs/>
              </w:rPr>
              <w:t>Item Title</w:t>
            </w:r>
            <w:r>
              <w:rPr>
                <w:rFonts w:ascii="Times New Roman" w:hAnsi="Times New Roman" w:cs="Times New Roman"/>
                <w:b/>
                <w:bCs/>
              </w:rPr>
              <w:t xml:space="preserve"> as per Attachment</w:t>
            </w:r>
          </w:p>
        </w:tc>
        <w:tc>
          <w:tcPr>
            <w:tcW w:w="1328" w:type="dxa"/>
            <w:vAlign w:val="center"/>
          </w:tcPr>
          <w:p w:rsidR="005A00EF" w:rsidRPr="006B33D4" w:rsidRDefault="005A00EF" w:rsidP="00BC368C">
            <w:pPr>
              <w:bidi w:val="0"/>
              <w:spacing w:line="240" w:lineRule="auto"/>
              <w:jc w:val="center"/>
              <w:rPr>
                <w:rFonts w:ascii="Times New Roman" w:hAnsi="Times New Roman" w:cs="Times New Roman"/>
                <w:b/>
                <w:bCs/>
              </w:rPr>
            </w:pPr>
            <w:r w:rsidRPr="006B33D4">
              <w:rPr>
                <w:rFonts w:ascii="Times New Roman" w:hAnsi="Times New Roman" w:cs="Times New Roman"/>
                <w:b/>
                <w:bCs/>
              </w:rPr>
              <w:t>Item No.</w:t>
            </w:r>
            <w:r>
              <w:rPr>
                <w:rFonts w:ascii="Times New Roman" w:hAnsi="Times New Roman" w:cs="Times New Roman"/>
                <w:b/>
                <w:bCs/>
              </w:rPr>
              <w:t xml:space="preserve"> as per Attachment</w:t>
            </w:r>
          </w:p>
        </w:tc>
        <w:tc>
          <w:tcPr>
            <w:tcW w:w="417" w:type="dxa"/>
            <w:vAlign w:val="center"/>
          </w:tcPr>
          <w:p w:rsidR="005A00EF" w:rsidRPr="000D375C" w:rsidRDefault="005A00EF" w:rsidP="005E1CBB">
            <w:pPr>
              <w:bidi w:val="0"/>
              <w:spacing w:line="240" w:lineRule="auto"/>
              <w:jc w:val="center"/>
              <w:rPr>
                <w:rFonts w:ascii="Times New Roman" w:hAnsi="Times New Roman" w:cs="Times New Roman"/>
                <w:b/>
                <w:bCs/>
                <w:sz w:val="20"/>
                <w:szCs w:val="20"/>
                <w:lang w:val="ru-RU"/>
              </w:rPr>
            </w:pPr>
            <w:r w:rsidRPr="000D375C">
              <w:rPr>
                <w:rFonts w:ascii="Times New Roman" w:hAnsi="Times New Roman" w:cs="Times New Roman"/>
                <w:b/>
                <w:bCs/>
                <w:sz w:val="20"/>
                <w:szCs w:val="20"/>
                <w:lang w:val="ru-RU"/>
              </w:rPr>
              <w:t>№</w:t>
            </w:r>
          </w:p>
        </w:tc>
      </w:tr>
      <w:tr w:rsidR="009164BD" w:rsidRPr="000D375C" w:rsidTr="009164BD">
        <w:trPr>
          <w:jc w:val="center"/>
        </w:trPr>
        <w:tc>
          <w:tcPr>
            <w:tcW w:w="5045" w:type="dxa"/>
            <w:tcBorders>
              <w:top w:val="single" w:sz="4" w:space="0" w:color="auto"/>
            </w:tcBorders>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The comment does not require correction. This is just a statement of the fact that there are no requirements to obligatory presence of such fields in Appendix B.</w:t>
            </w:r>
          </w:p>
        </w:tc>
        <w:tc>
          <w:tcPr>
            <w:tcW w:w="4485" w:type="dxa"/>
            <w:vAlign w:val="center"/>
          </w:tcPr>
          <w:p w:rsidR="005A00EF" w:rsidRPr="006453D3"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In Item B.G.2.2.2 has been mentioned that “Appendix B does not contain any requirements for this field”. Specification of IMS or its databases is not explained in Appendix B. Therefore the requirements of hyperlinks or document codes shall be specified in another documents, such as TA for IMS or Attachment B.G.</w:t>
            </w:r>
          </w:p>
        </w:tc>
        <w:tc>
          <w:tcPr>
            <w:tcW w:w="3734" w:type="dxa"/>
            <w:vAlign w:val="center"/>
          </w:tcPr>
          <w:p w:rsid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686740">
              <w:rPr>
                <w:rFonts w:ascii="Times New Roman" w:eastAsia="Times New Roman" w:hAnsi="Times New Roman" w:cs="Times New Roman"/>
                <w:color w:val="000000" w:themeColor="text1"/>
                <w:sz w:val="24"/>
                <w:szCs w:val="24"/>
                <w:lang w:eastAsia="ru-RU"/>
              </w:rPr>
              <w:t>Hyperlink with the document (Appendix B does not contain any requirements for this field</w:t>
            </w:r>
            <w:r>
              <w:rPr>
                <w:rFonts w:ascii="Times New Roman" w:eastAsia="Times New Roman" w:hAnsi="Times New Roman" w:cs="Times New Roman"/>
                <w:color w:val="000000" w:themeColor="text1"/>
                <w:sz w:val="24"/>
                <w:szCs w:val="24"/>
                <w:lang w:eastAsia="ru-RU"/>
              </w:rPr>
              <w:t>)</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Item B.G.2.2.2</w:t>
            </w:r>
          </w:p>
        </w:tc>
        <w:tc>
          <w:tcPr>
            <w:tcW w:w="417" w:type="dxa"/>
            <w:vAlign w:val="center"/>
          </w:tcPr>
          <w:p w:rsidR="005A00EF" w:rsidRPr="000D375C" w:rsidRDefault="005A00EF" w:rsidP="00901E0A">
            <w:pPr>
              <w:bidi w:val="0"/>
              <w:spacing w:after="120" w:line="240" w:lineRule="auto"/>
              <w:contextualSpacing/>
              <w:jc w:val="center"/>
              <w:rPr>
                <w:rFonts w:ascii="Times New Roman" w:hAnsi="Times New Roman" w:cs="Times New Roman"/>
                <w:sz w:val="20"/>
                <w:szCs w:val="20"/>
                <w:lang w:bidi="ar-SA"/>
              </w:rPr>
            </w:pPr>
            <w:r w:rsidRPr="000D375C">
              <w:rPr>
                <w:rFonts w:ascii="Times New Roman" w:hAnsi="Times New Roman" w:cs="Times New Roman"/>
                <w:sz w:val="20"/>
                <w:szCs w:val="20"/>
                <w:lang w:bidi="ar-SA"/>
              </w:rPr>
              <w:t>1</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bookmarkStart w:id="0" w:name="_GoBack" w:colFirst="0" w:colLast="0"/>
            <w:r w:rsidRPr="005A00EF">
              <w:rPr>
                <w:rFonts w:ascii="Times New Roman" w:eastAsia="Times New Roman" w:hAnsi="Times New Roman" w:cs="Times New Roman"/>
                <w:color w:val="000000" w:themeColor="text1"/>
                <w:sz w:val="24"/>
                <w:szCs w:val="24"/>
                <w:lang w:eastAsia="ru-RU"/>
              </w:rPr>
              <w:t>Accepted. Corrected. The description and the code structure have been added.</w:t>
            </w:r>
          </w:p>
        </w:tc>
        <w:tc>
          <w:tcPr>
            <w:tcW w:w="4485" w:type="dxa"/>
            <w:vAlign w:val="center"/>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The structure of mentioned code shall be specified. In case that the mentioned code is provided on the basis of Guideline No. BU2.0120.0.0.QM.DC0003, the corrections added to the text shall be implemented by the Contractor. The Item shall be clarified by the Contractor.</w:t>
            </w:r>
          </w:p>
        </w:tc>
        <w:tc>
          <w:tcPr>
            <w:tcW w:w="3734" w:type="dxa"/>
            <w:vAlign w:val="center"/>
          </w:tcPr>
          <w:p w:rsidR="005A00EF" w:rsidRPr="00686740"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proofErr w:type="spellStart"/>
            <w:r w:rsidRPr="005A00EF">
              <w:rPr>
                <w:rFonts w:ascii="Times New Roman" w:eastAsia="Times New Roman" w:hAnsi="Times New Roman" w:cs="Times New Roman"/>
                <w:color w:val="000000" w:themeColor="text1"/>
                <w:sz w:val="24"/>
                <w:szCs w:val="24"/>
                <w:lang w:eastAsia="ru-RU"/>
              </w:rPr>
              <w:t>Documentcode</w:t>
            </w:r>
            <w:proofErr w:type="spellEnd"/>
            <w:r w:rsidRPr="005A00EF">
              <w:rPr>
                <w:rFonts w:ascii="Times New Roman" w:eastAsia="Times New Roman" w:hAnsi="Times New Roman" w:cs="Times New Roman"/>
                <w:color w:val="000000" w:themeColor="text1"/>
                <w:sz w:val="24"/>
                <w:szCs w:val="24"/>
                <w:lang w:eastAsia="ru-RU"/>
              </w:rPr>
              <w:t xml:space="preserve"> (</w:t>
            </w:r>
            <w:proofErr w:type="spellStart"/>
            <w:r w:rsidRPr="005A00EF">
              <w:rPr>
                <w:rFonts w:ascii="Times New Roman" w:eastAsia="Times New Roman" w:hAnsi="Times New Roman" w:cs="Times New Roman"/>
                <w:color w:val="000000" w:themeColor="text1"/>
                <w:sz w:val="24"/>
                <w:szCs w:val="24"/>
                <w:lang w:eastAsia="ru-RU"/>
              </w:rPr>
              <w:t>AppendixBdoesnotcontainany</w:t>
            </w:r>
            <w:proofErr w:type="spellEnd"/>
            <w:r w:rsidRPr="005A00EF">
              <w:rPr>
                <w:rFonts w:ascii="Times New Roman" w:eastAsia="Times New Roman" w:hAnsi="Times New Roman" w:cs="Times New Roman"/>
                <w:color w:val="000000" w:themeColor="text1"/>
                <w:sz w:val="24"/>
                <w:szCs w:val="24"/>
                <w:lang w:eastAsia="ru-RU"/>
              </w:rPr>
              <w:t xml:space="preserve"> requirements for this field) –the code is automatically generated by the system</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Item B.G.2.2.2</w:t>
            </w:r>
          </w:p>
        </w:tc>
        <w:tc>
          <w:tcPr>
            <w:tcW w:w="417" w:type="dxa"/>
            <w:vAlign w:val="center"/>
          </w:tcPr>
          <w:p w:rsidR="005A00EF" w:rsidRPr="000D375C" w:rsidRDefault="005A00EF" w:rsidP="005E1CBB">
            <w:pPr>
              <w:bidi w:val="0"/>
              <w:spacing w:after="120" w:line="240" w:lineRule="auto"/>
              <w:contextualSpacing/>
              <w:jc w:val="center"/>
              <w:rPr>
                <w:rFonts w:ascii="Times New Roman" w:hAnsi="Times New Roman" w:cs="Times New Roman"/>
                <w:sz w:val="20"/>
                <w:szCs w:val="20"/>
                <w:lang w:bidi="ar-SA"/>
              </w:rPr>
            </w:pPr>
            <w:r w:rsidRPr="000D375C">
              <w:rPr>
                <w:rFonts w:ascii="Times New Roman" w:hAnsi="Times New Roman" w:cs="Times New Roman"/>
                <w:sz w:val="20"/>
                <w:szCs w:val="20"/>
                <w:lang w:bidi="ar-SA"/>
              </w:rPr>
              <w:t>2</w:t>
            </w:r>
          </w:p>
        </w:tc>
      </w:tr>
      <w:bookmarkEnd w:id="0"/>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 xml:space="preserve">Not accepted. It is not reasonable to add in Addendum B.G such diagrams due to potential changes of the software, software requirements etc. </w:t>
            </w:r>
          </w:p>
        </w:tc>
        <w:tc>
          <w:tcPr>
            <w:tcW w:w="4485" w:type="dxa"/>
            <w:vAlign w:val="center"/>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 xml:space="preserve">It is necessary that schematic of IMS application windows and menus in B.G. are explained and presented completely in related detailed Technical Assignments. </w:t>
            </w:r>
          </w:p>
        </w:tc>
        <w:tc>
          <w:tcPr>
            <w:tcW w:w="3734" w:type="dxa"/>
            <w:vAlign w:val="center"/>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proofErr w:type="spellStart"/>
            <w:r w:rsidRPr="005A00EF">
              <w:rPr>
                <w:rFonts w:ascii="Times New Roman" w:eastAsia="Times New Roman" w:hAnsi="Times New Roman" w:cs="Times New Roman"/>
                <w:color w:val="000000" w:themeColor="text1"/>
                <w:sz w:val="24"/>
                <w:szCs w:val="24"/>
                <w:lang w:eastAsia="ru-RU"/>
              </w:rPr>
              <w:t>Openingofthesaveddocumentfromthesystemusingthe</w:t>
            </w:r>
            <w:proofErr w:type="spellEnd"/>
            <w:r w:rsidRPr="005A00EF">
              <w:rPr>
                <w:rFonts w:ascii="Times New Roman" w:eastAsia="Times New Roman" w:hAnsi="Times New Roman" w:cs="Times New Roman"/>
                <w:color w:val="000000" w:themeColor="text1"/>
                <w:sz w:val="24"/>
                <w:szCs w:val="24"/>
                <w:lang w:eastAsia="ru-RU"/>
              </w:rPr>
              <w:t xml:space="preserve"> </w:t>
            </w:r>
            <w:proofErr w:type="spellStart"/>
            <w:r w:rsidRPr="005A00EF">
              <w:rPr>
                <w:rFonts w:ascii="Times New Roman" w:eastAsia="Times New Roman" w:hAnsi="Times New Roman" w:cs="Times New Roman"/>
                <w:color w:val="000000" w:themeColor="text1"/>
                <w:sz w:val="24"/>
                <w:szCs w:val="24"/>
                <w:lang w:eastAsia="ru-RU"/>
              </w:rPr>
              <w:t>hyperlinkshall</w:t>
            </w:r>
            <w:proofErr w:type="spellEnd"/>
            <w:r w:rsidRPr="005A00EF">
              <w:rPr>
                <w:rFonts w:ascii="Times New Roman" w:eastAsia="Times New Roman" w:hAnsi="Times New Roman" w:cs="Times New Roman"/>
                <w:color w:val="000000" w:themeColor="text1"/>
                <w:sz w:val="24"/>
                <w:szCs w:val="24"/>
                <w:lang w:eastAsia="ru-RU"/>
              </w:rPr>
              <w:t xml:space="preserve"> be made by clicking on the document title</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Item B.G.2.2.4</w:t>
            </w:r>
          </w:p>
        </w:tc>
        <w:tc>
          <w:tcPr>
            <w:tcW w:w="417" w:type="dxa"/>
            <w:vAlign w:val="center"/>
          </w:tcPr>
          <w:p w:rsidR="005A00EF" w:rsidRPr="000D375C" w:rsidRDefault="005A00EF" w:rsidP="005E1CBB">
            <w:pPr>
              <w:bidi w:val="0"/>
              <w:spacing w:after="120" w:line="240" w:lineRule="auto"/>
              <w:contextualSpacing/>
              <w:jc w:val="center"/>
              <w:rPr>
                <w:rFonts w:ascii="Times New Roman" w:hAnsi="Times New Roman" w:cs="Times New Roman"/>
                <w:sz w:val="20"/>
                <w:szCs w:val="20"/>
                <w:lang w:bidi="ar-SA"/>
              </w:rPr>
            </w:pPr>
            <w:r w:rsidRPr="000D375C">
              <w:rPr>
                <w:rFonts w:ascii="Times New Roman" w:hAnsi="Times New Roman" w:cs="Times New Roman"/>
                <w:sz w:val="20"/>
                <w:szCs w:val="20"/>
                <w:lang w:bidi="ar-SA"/>
              </w:rPr>
              <w:t>3</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 xml:space="preserve">Not accepted. This structure is effective from the point of view of the Contractor’s Design unit and includes </w:t>
            </w:r>
            <w:r w:rsidRPr="005A00EF">
              <w:rPr>
                <w:rFonts w:ascii="Times New Roman" w:eastAsia="Times New Roman" w:hAnsi="Times New Roman" w:cs="Times New Roman"/>
                <w:color w:val="000000" w:themeColor="text1"/>
                <w:sz w:val="24"/>
                <w:szCs w:val="24"/>
                <w:lang w:eastAsia="ru-RU"/>
              </w:rPr>
              <w:lastRenderedPageBreak/>
              <w:t>all subsections described in this item in earlier revisions of the document.</w:t>
            </w:r>
          </w:p>
        </w:tc>
        <w:tc>
          <w:tcPr>
            <w:tcW w:w="4485" w:type="dxa"/>
            <w:vAlign w:val="center"/>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It is necessary to consider the previous agreements and </w:t>
            </w:r>
            <w:proofErr w:type="spellStart"/>
            <w:r>
              <w:rPr>
                <w:rFonts w:ascii="Times New Roman" w:eastAsia="Times New Roman" w:hAnsi="Times New Roman" w:cs="Times New Roman"/>
                <w:color w:val="000000" w:themeColor="text1"/>
                <w:sz w:val="24"/>
                <w:szCs w:val="24"/>
                <w:lang w:eastAsia="ru-RU"/>
              </w:rPr>
              <w:t>MoMs</w:t>
            </w:r>
            <w:proofErr w:type="spellEnd"/>
            <w:r>
              <w:rPr>
                <w:rFonts w:ascii="Times New Roman" w:eastAsia="Times New Roman" w:hAnsi="Times New Roman" w:cs="Times New Roman"/>
                <w:color w:val="000000" w:themeColor="text1"/>
                <w:sz w:val="24"/>
                <w:szCs w:val="24"/>
                <w:lang w:eastAsia="ru-RU"/>
              </w:rPr>
              <w:t xml:space="preserve"> regarding the classification of Design documents </w:t>
            </w:r>
            <w:r>
              <w:rPr>
                <w:rFonts w:ascii="Times New Roman" w:eastAsia="Times New Roman" w:hAnsi="Times New Roman" w:cs="Times New Roman"/>
                <w:color w:val="000000" w:themeColor="text1"/>
                <w:sz w:val="24"/>
                <w:szCs w:val="24"/>
                <w:lang w:eastAsia="ru-RU"/>
              </w:rPr>
              <w:lastRenderedPageBreak/>
              <w:t>and complete the mentioned Item.</w:t>
            </w:r>
          </w:p>
        </w:tc>
        <w:tc>
          <w:tcPr>
            <w:tcW w:w="3734" w:type="dxa"/>
            <w:vAlign w:val="center"/>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lastRenderedPageBreak/>
              <w:t>SECTION “DESIGN DOCUMENTS”</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Item B.G.3.2.2</w:t>
            </w:r>
          </w:p>
        </w:tc>
        <w:tc>
          <w:tcPr>
            <w:tcW w:w="417" w:type="dxa"/>
            <w:vAlign w:val="center"/>
          </w:tcPr>
          <w:p w:rsidR="005A00EF" w:rsidRPr="000D375C" w:rsidRDefault="005A00EF" w:rsidP="005E1CBB">
            <w:pPr>
              <w:bidi w:val="0"/>
              <w:spacing w:after="120" w:line="240" w:lineRule="auto"/>
              <w:contextualSpacing/>
              <w:jc w:val="center"/>
              <w:rPr>
                <w:rFonts w:ascii="Times New Roman" w:hAnsi="Times New Roman" w:cs="Times New Roman"/>
                <w:sz w:val="20"/>
                <w:szCs w:val="20"/>
                <w:lang w:bidi="ar-SA"/>
              </w:rPr>
            </w:pPr>
            <w:r w:rsidRPr="000D375C">
              <w:rPr>
                <w:rFonts w:ascii="Times New Roman" w:hAnsi="Times New Roman" w:cs="Times New Roman"/>
                <w:sz w:val="20"/>
                <w:szCs w:val="20"/>
                <w:lang w:bidi="ar-SA"/>
              </w:rPr>
              <w:t>4</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lastRenderedPageBreak/>
              <w:t>Accepted. Added.</w:t>
            </w:r>
          </w:p>
        </w:tc>
        <w:tc>
          <w:tcPr>
            <w:tcW w:w="4485" w:type="dxa"/>
            <w:vAlign w:val="center"/>
          </w:tcPr>
          <w:p w:rsid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It is necessary to add the following field to the mentioned Item:</w:t>
            </w:r>
          </w:p>
          <w:p w:rsidR="005A00EF"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Serial No. of Payment</w:t>
            </w:r>
          </w:p>
          <w:p w:rsidR="005A00EF"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Certificate No.</w:t>
            </w:r>
          </w:p>
        </w:tc>
        <w:tc>
          <w:tcPr>
            <w:tcW w:w="3734" w:type="dxa"/>
            <w:vAlign w:val="center"/>
          </w:tcPr>
          <w:p w:rsid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Payment schedule</w:t>
            </w:r>
            <w:r w:rsidRPr="00513A9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invoices to the Principal</w:t>
            </w:r>
            <w:r w:rsidRPr="00513A95">
              <w:rPr>
                <w:rFonts w:ascii="Times New Roman" w:eastAsia="Times New Roman" w:hAnsi="Times New Roman" w:cs="Times New Roman"/>
                <w:color w:val="000000" w:themeColor="text1"/>
                <w:sz w:val="24"/>
                <w:szCs w:val="24"/>
                <w:lang w:eastAsia="ru-RU"/>
              </w:rPr>
              <w:t>)</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Annex 1, Subsection 6, Table No. 37</w:t>
            </w:r>
          </w:p>
        </w:tc>
        <w:tc>
          <w:tcPr>
            <w:tcW w:w="417" w:type="dxa"/>
            <w:vAlign w:val="center"/>
          </w:tcPr>
          <w:p w:rsidR="005A00EF" w:rsidRPr="000D375C" w:rsidRDefault="005A00EF" w:rsidP="005E1CBB">
            <w:pPr>
              <w:bidi w:val="0"/>
              <w:spacing w:after="120" w:line="240" w:lineRule="auto"/>
              <w:contextualSpacing/>
              <w:jc w:val="center"/>
              <w:rPr>
                <w:rFonts w:ascii="Times New Roman" w:hAnsi="Times New Roman" w:cs="Times New Roman"/>
                <w:sz w:val="20"/>
                <w:szCs w:val="20"/>
                <w:lang w:bidi="ar-SA"/>
              </w:rPr>
            </w:pPr>
            <w:r w:rsidRPr="000D375C">
              <w:rPr>
                <w:rFonts w:ascii="Times New Roman" w:hAnsi="Times New Roman" w:cs="Times New Roman"/>
                <w:sz w:val="20"/>
                <w:szCs w:val="20"/>
                <w:lang w:bidi="ar-SA"/>
              </w:rPr>
              <w:t>5</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Not accepted.</w:t>
            </w:r>
          </w:p>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These fields already exist in the document – fields 7, 8, 9 of App. 1, Subsection 6,  Table No. 38</w:t>
            </w:r>
          </w:p>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In Appendix 1 Subsection 6, Table No. 37 there is field 22 – a feature of belonging to Appendix К, by means of the role system set up by this feature it is possible to single out from the table a List of payments into a separate table “List of payments under Appendix K”.</w:t>
            </w:r>
          </w:p>
        </w:tc>
        <w:tc>
          <w:tcPr>
            <w:tcW w:w="4485" w:type="dxa"/>
            <w:vAlign w:val="center"/>
          </w:tcPr>
          <w:p w:rsid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It is necessary to add a separate table regarding Appendix K (as explained in previous revision by the Principal)</w:t>
            </w:r>
          </w:p>
          <w:p w:rsid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It is necessary to add the following field to the List of Contracts:</w:t>
            </w:r>
          </w:p>
          <w:p w:rsidR="005A00EF"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Start date</w:t>
            </w:r>
          </w:p>
          <w:p w:rsidR="005A00EF"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Due Date</w:t>
            </w:r>
          </w:p>
          <w:p w:rsidR="005A00EF" w:rsidRPr="006453D3"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Duration of Contract</w:t>
            </w:r>
          </w:p>
        </w:tc>
        <w:tc>
          <w:tcPr>
            <w:tcW w:w="3734" w:type="dxa"/>
            <w:vAlign w:val="center"/>
          </w:tcPr>
          <w:p w:rsid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List of Contracts</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Annex 1, Subsection 6, Table No. 38</w:t>
            </w:r>
          </w:p>
        </w:tc>
        <w:tc>
          <w:tcPr>
            <w:tcW w:w="417" w:type="dxa"/>
            <w:vAlign w:val="center"/>
          </w:tcPr>
          <w:p w:rsidR="005A00EF" w:rsidRPr="000D375C" w:rsidRDefault="005A00EF" w:rsidP="005E1CBB">
            <w:pPr>
              <w:bidi w:val="0"/>
              <w:spacing w:after="120" w:line="240" w:lineRule="auto"/>
              <w:contextualSpacing/>
              <w:jc w:val="center"/>
              <w:rPr>
                <w:rFonts w:ascii="Times New Roman" w:hAnsi="Times New Roman" w:cs="Times New Roman"/>
                <w:sz w:val="20"/>
                <w:szCs w:val="20"/>
                <w:lang w:bidi="ar-SA"/>
              </w:rPr>
            </w:pPr>
            <w:r w:rsidRPr="000D375C">
              <w:rPr>
                <w:rFonts w:ascii="Times New Roman" w:hAnsi="Times New Roman" w:cs="Times New Roman"/>
                <w:sz w:val="20"/>
                <w:szCs w:val="20"/>
                <w:lang w:bidi="ar-SA"/>
              </w:rPr>
              <w:t>6</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Accepted, Fields are added.</w:t>
            </w:r>
          </w:p>
        </w:tc>
        <w:tc>
          <w:tcPr>
            <w:tcW w:w="4485" w:type="dxa"/>
            <w:vAlign w:val="center"/>
          </w:tcPr>
          <w:p w:rsidR="005A00EF" w:rsidRPr="006453D3"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rtl/>
                <w:lang w:eastAsia="ru-RU"/>
              </w:rPr>
            </w:pPr>
            <w:r w:rsidRPr="006453D3">
              <w:rPr>
                <w:rFonts w:ascii="Times New Roman" w:eastAsia="Times New Roman" w:hAnsi="Times New Roman" w:cs="Times New Roman"/>
                <w:color w:val="000000" w:themeColor="text1"/>
                <w:sz w:val="24"/>
                <w:szCs w:val="24"/>
                <w:lang w:eastAsia="ru-RU"/>
              </w:rPr>
              <w:t>It is required that Storage time or shelf Time  be added to the</w:t>
            </w:r>
            <w:r>
              <w:rPr>
                <w:rFonts w:ascii="Times New Roman" w:eastAsia="Times New Roman" w:hAnsi="Times New Roman" w:cs="Times New Roman"/>
                <w:color w:val="000000" w:themeColor="text1"/>
                <w:sz w:val="24"/>
                <w:szCs w:val="24"/>
                <w:lang w:eastAsia="ru-RU"/>
              </w:rPr>
              <w:t xml:space="preserve"> exclusive</w:t>
            </w:r>
            <w:r w:rsidRPr="006453D3">
              <w:rPr>
                <w:rFonts w:ascii="Times New Roman" w:eastAsia="Times New Roman" w:hAnsi="Times New Roman" w:cs="Times New Roman"/>
                <w:color w:val="000000" w:themeColor="text1"/>
                <w:sz w:val="24"/>
                <w:szCs w:val="24"/>
                <w:lang w:eastAsia="ru-RU"/>
              </w:rPr>
              <w:t xml:space="preserve"> user (main) field in table Nos.46 &amp; 49</w:t>
            </w:r>
          </w:p>
        </w:tc>
        <w:tc>
          <w:tcPr>
            <w:tcW w:w="3734" w:type="dxa"/>
            <w:vAlign w:val="center"/>
          </w:tcPr>
          <w:p w:rsid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SpecificationofeachlistofSpareandReplaceableParts</w:t>
            </w:r>
            <w:proofErr w:type="spellEnd"/>
            <w:r>
              <w:rPr>
                <w:rFonts w:ascii="Times New Roman" w:eastAsia="Times New Roman" w:hAnsi="Times New Roman" w:cs="Times New Roman"/>
                <w:color w:val="000000" w:themeColor="text1"/>
                <w:sz w:val="24"/>
                <w:szCs w:val="24"/>
                <w:lang w:eastAsia="ru-RU"/>
              </w:rPr>
              <w:t xml:space="preserve"> required for the Warranty Period </w:t>
            </w:r>
            <w:r w:rsidRPr="00FE259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Subsidiary table</w:t>
            </w:r>
            <w:r w:rsidRPr="00FE2596">
              <w:rPr>
                <w:rFonts w:ascii="Times New Roman" w:eastAsia="Times New Roman" w:hAnsi="Times New Roman" w:cs="Times New Roman"/>
                <w:color w:val="000000" w:themeColor="text1"/>
                <w:sz w:val="24"/>
                <w:szCs w:val="24"/>
                <w:lang w:eastAsia="ru-RU"/>
              </w:rPr>
              <w:t>);</w:t>
            </w:r>
          </w:p>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rtl/>
                <w:lang w:eastAsia="ru-RU"/>
              </w:rPr>
            </w:pPr>
            <w:proofErr w:type="spellStart"/>
            <w:r>
              <w:rPr>
                <w:rFonts w:ascii="Times New Roman" w:eastAsia="Times New Roman" w:hAnsi="Times New Roman" w:cs="Times New Roman"/>
                <w:color w:val="000000" w:themeColor="text1"/>
                <w:sz w:val="24"/>
                <w:szCs w:val="24"/>
                <w:lang w:eastAsia="ru-RU"/>
              </w:rPr>
              <w:t>SpecificationofeachlistofSpareandReplaceableParts</w:t>
            </w:r>
            <w:proofErr w:type="spellEnd"/>
            <w:r>
              <w:rPr>
                <w:rFonts w:ascii="Times New Roman" w:eastAsia="Times New Roman" w:hAnsi="Times New Roman" w:cs="Times New Roman"/>
                <w:color w:val="000000" w:themeColor="text1"/>
                <w:sz w:val="24"/>
                <w:szCs w:val="24"/>
                <w:lang w:eastAsia="ru-RU"/>
              </w:rPr>
              <w:t xml:space="preserve"> for the 5-year period of the Plant operation </w:t>
            </w:r>
            <w:r w:rsidRPr="00A9131D">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Subsidiary table</w:t>
            </w:r>
            <w:r w:rsidRPr="00A9131D">
              <w:rPr>
                <w:rFonts w:ascii="Times New Roman" w:eastAsia="Times New Roman" w:hAnsi="Times New Roman" w:cs="Times New Roman"/>
                <w:color w:val="000000" w:themeColor="text1"/>
                <w:sz w:val="24"/>
                <w:szCs w:val="24"/>
                <w:lang w:eastAsia="ru-RU"/>
              </w:rPr>
              <w:t>);</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Annex 1, Subsection 8, Table Nos. 46 &amp; 49</w:t>
            </w:r>
          </w:p>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rtl/>
                <w:lang w:eastAsia="ru-RU"/>
              </w:rPr>
            </w:pPr>
          </w:p>
        </w:tc>
        <w:tc>
          <w:tcPr>
            <w:tcW w:w="417" w:type="dxa"/>
            <w:vAlign w:val="center"/>
          </w:tcPr>
          <w:p w:rsidR="005A00EF" w:rsidRPr="000D375C" w:rsidRDefault="005A00EF" w:rsidP="005E1CBB">
            <w:pPr>
              <w:bidi w:val="0"/>
              <w:spacing w:after="120" w:line="240" w:lineRule="auto"/>
              <w:contextualSpacing/>
              <w:jc w:val="center"/>
              <w:rPr>
                <w:rFonts w:ascii="Times New Roman" w:hAnsi="Times New Roman" w:cs="Times New Roman"/>
                <w:sz w:val="20"/>
                <w:szCs w:val="20"/>
                <w:lang w:bidi="ar-SA"/>
              </w:rPr>
            </w:pPr>
            <w:r w:rsidRPr="000D375C">
              <w:rPr>
                <w:rFonts w:ascii="Times New Roman" w:hAnsi="Times New Roman" w:cs="Times New Roman"/>
                <w:sz w:val="20"/>
                <w:szCs w:val="20"/>
                <w:lang w:bidi="ar-SA"/>
              </w:rPr>
              <w:t>7</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Accepted.</w:t>
            </w:r>
          </w:p>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 xml:space="preserve">The Reference book for the status of equipment is added, items B.G.3.3.3.2, </w:t>
            </w:r>
            <w:r w:rsidRPr="005A00EF">
              <w:rPr>
                <w:rFonts w:ascii="Times New Roman" w:eastAsia="Times New Roman" w:hAnsi="Times New Roman" w:cs="Times New Roman"/>
                <w:color w:val="000000" w:themeColor="text1"/>
                <w:sz w:val="24"/>
                <w:szCs w:val="24"/>
                <w:lang w:eastAsia="ru-RU"/>
              </w:rPr>
              <w:lastRenderedPageBreak/>
              <w:t>B.G.3.3.3.1, Appendix 1are modified.</w:t>
            </w:r>
          </w:p>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Safety class field already exists (field 8 of table 86)</w:t>
            </w:r>
            <w:proofErr w:type="gramStart"/>
            <w:r w:rsidRPr="005A00EF">
              <w:rPr>
                <w:rFonts w:ascii="Times New Roman" w:eastAsia="Times New Roman" w:hAnsi="Times New Roman" w:cs="Times New Roman"/>
                <w:color w:val="000000" w:themeColor="text1"/>
                <w:sz w:val="24"/>
                <w:szCs w:val="24"/>
                <w:lang w:eastAsia="ru-RU"/>
              </w:rPr>
              <w:t>,</w:t>
            </w:r>
            <w:proofErr w:type="gramEnd"/>
            <w:r w:rsidRPr="005A00EF">
              <w:rPr>
                <w:rFonts w:ascii="Times New Roman" w:eastAsia="Times New Roman" w:hAnsi="Times New Roman" w:cs="Times New Roman"/>
                <w:color w:val="000000" w:themeColor="text1"/>
                <w:sz w:val="24"/>
                <w:szCs w:val="24"/>
                <w:lang w:eastAsia="ru-RU"/>
              </w:rPr>
              <w:t xml:space="preserve"> the reference book for safety classes is added to it. Items B.G.3.3.3.2, B.G.3.3.3.1, Appendix 1 have been modified.</w:t>
            </w:r>
          </w:p>
        </w:tc>
        <w:tc>
          <w:tcPr>
            <w:tcW w:w="4485" w:type="dxa"/>
            <w:vAlign w:val="center"/>
          </w:tcPr>
          <w:p w:rsidR="005A00EF" w:rsidRPr="007B3FB9"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lastRenderedPageBreak/>
              <w:t xml:space="preserve">It is required that status of equipment be added to user (main) field in table No.86(data for each specification) and </w:t>
            </w:r>
            <w:r w:rsidRPr="007B3FB9">
              <w:rPr>
                <w:rFonts w:ascii="Times New Roman" w:eastAsia="Times New Roman" w:hAnsi="Times New Roman" w:cs="Times New Roman"/>
                <w:color w:val="000000" w:themeColor="text1"/>
                <w:sz w:val="24"/>
                <w:szCs w:val="24"/>
                <w:lang w:eastAsia="ru-RU"/>
              </w:rPr>
              <w:lastRenderedPageBreak/>
              <w:t>the contents of this field shall be used as reference book (drop down list).</w:t>
            </w:r>
          </w:p>
          <w:p w:rsidR="005A00EF" w:rsidRPr="007B3FB9"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For the reference book(drop down list) of the equipment status:</w:t>
            </w:r>
          </w:p>
          <w:p w:rsidR="005A00EF" w:rsidRPr="007B3FB9"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Purchase order</w:t>
            </w:r>
          </w:p>
          <w:p w:rsidR="005A00EF" w:rsidRPr="007B3FB9"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Contracted</w:t>
            </w:r>
          </w:p>
          <w:p w:rsidR="005A00EF" w:rsidRPr="007B3FB9"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Being manufactured</w:t>
            </w:r>
          </w:p>
          <w:p w:rsidR="005A00EF" w:rsidRPr="007B3FB9"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Manufactured</w:t>
            </w:r>
          </w:p>
          <w:p w:rsidR="005A00EF" w:rsidRPr="007B3FB9"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In Preservation</w:t>
            </w:r>
          </w:p>
          <w:p w:rsidR="005A00EF" w:rsidRPr="007B3FB9"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Ready for Shipment</w:t>
            </w:r>
          </w:p>
          <w:p w:rsidR="005A00EF" w:rsidRPr="007B3FB9"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Shipment</w:t>
            </w:r>
          </w:p>
          <w:p w:rsidR="005A00EF" w:rsidRPr="007B3FB9"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Incoming control</w:t>
            </w:r>
          </w:p>
          <w:p w:rsidR="005A00EF" w:rsidRPr="007B3FB9"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In Warehouse</w:t>
            </w:r>
          </w:p>
          <w:p w:rsidR="005A00EF"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Installed</w:t>
            </w:r>
          </w:p>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0A33DF">
              <w:rPr>
                <w:rFonts w:ascii="Times New Roman" w:eastAsia="Times New Roman" w:hAnsi="Times New Roman" w:cs="Times New Roman"/>
                <w:color w:val="000000" w:themeColor="text1"/>
                <w:sz w:val="24"/>
                <w:szCs w:val="24"/>
                <w:lang w:eastAsia="ru-RU"/>
              </w:rPr>
              <w:t>It is required that safety class of equipment be added to user (main) field in table No.86( data for each specification) and the contents of this field shall be used as reference book (drop d</w:t>
            </w:r>
            <w:r w:rsidRPr="005A00EF">
              <w:rPr>
                <w:rFonts w:ascii="Times New Roman" w:eastAsia="Times New Roman" w:hAnsi="Times New Roman" w:cs="Times New Roman"/>
                <w:color w:val="000000" w:themeColor="text1"/>
                <w:sz w:val="24"/>
                <w:szCs w:val="24"/>
                <w:lang w:eastAsia="ru-RU"/>
              </w:rPr>
              <w:t>own list).</w:t>
            </w:r>
          </w:p>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For the reference book(drop down list) of the equipment safety class:</w:t>
            </w:r>
          </w:p>
          <w:p w:rsidR="005A00EF" w:rsidRPr="005E1CBB"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5E1CBB">
              <w:rPr>
                <w:rFonts w:ascii="Times New Roman" w:eastAsia="Times New Roman" w:hAnsi="Times New Roman" w:cs="Times New Roman"/>
                <w:color w:val="000000" w:themeColor="text1"/>
                <w:sz w:val="24"/>
                <w:szCs w:val="24"/>
                <w:lang w:eastAsia="ru-RU"/>
              </w:rPr>
              <w:t>Safety class according to OPB-88/97</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1</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2</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lastRenderedPageBreak/>
              <w:t>3</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4</w:t>
            </w:r>
          </w:p>
          <w:p w:rsidR="005A00EF" w:rsidRPr="005E1CBB"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5E1CBB">
              <w:rPr>
                <w:rFonts w:ascii="Times New Roman" w:eastAsia="Times New Roman" w:hAnsi="Times New Roman" w:cs="Times New Roman"/>
                <w:color w:val="000000" w:themeColor="text1"/>
                <w:sz w:val="24"/>
                <w:szCs w:val="24"/>
                <w:lang w:eastAsia="ru-RU"/>
              </w:rPr>
              <w:t>Classification designation according to OPB-88/97</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1N</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2N</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2NPC</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2NC</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3N</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w:t>
            </w:r>
          </w:p>
          <w:p w:rsidR="005A00EF" w:rsidRPr="005E1CBB" w:rsidRDefault="005A00EF" w:rsidP="005A00EF">
            <w:pPr>
              <w:pStyle w:val="a5"/>
              <w:numPr>
                <w:ilvl w:val="0"/>
                <w:numId w:val="11"/>
              </w:numPr>
              <w:bidi w:val="0"/>
              <w:spacing w:after="0" w:line="240" w:lineRule="auto"/>
              <w:ind w:left="396" w:hanging="283"/>
              <w:jc w:val="both"/>
              <w:rPr>
                <w:rFonts w:ascii="Times New Roman" w:eastAsia="Times New Roman" w:hAnsi="Times New Roman" w:cs="Times New Roman"/>
                <w:color w:val="000000" w:themeColor="text1"/>
                <w:sz w:val="24"/>
                <w:szCs w:val="24"/>
                <w:lang w:eastAsia="ru-RU"/>
              </w:rPr>
            </w:pPr>
            <w:r w:rsidRPr="005E1CBB">
              <w:rPr>
                <w:rFonts w:ascii="Times New Roman" w:eastAsia="Times New Roman" w:hAnsi="Times New Roman" w:cs="Times New Roman"/>
                <w:color w:val="000000" w:themeColor="text1"/>
                <w:sz w:val="24"/>
                <w:szCs w:val="24"/>
                <w:lang w:eastAsia="ru-RU"/>
              </w:rPr>
              <w:t>Category of seismic resistance</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I</w:t>
            </w:r>
          </w:p>
          <w:p w:rsidR="005A00EF" w:rsidRPr="005A00EF"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II</w:t>
            </w:r>
          </w:p>
          <w:p w:rsidR="005A00EF" w:rsidRPr="007B3FB9" w:rsidRDefault="005A00EF" w:rsidP="005A00EF">
            <w:pPr>
              <w:pStyle w:val="a5"/>
              <w:numPr>
                <w:ilvl w:val="1"/>
                <w:numId w:val="11"/>
              </w:numPr>
              <w:bidi w:val="0"/>
              <w:spacing w:after="0" w:line="240" w:lineRule="auto"/>
              <w:ind w:left="821" w:hanging="425"/>
              <w:jc w:val="both"/>
              <w:rPr>
                <w:rFonts w:ascii="Times New Roman" w:eastAsia="Times New Roman" w:hAnsi="Times New Roman" w:cs="Times New Roman"/>
                <w:color w:val="000000" w:themeColor="text1"/>
                <w:sz w:val="24"/>
                <w:szCs w:val="24"/>
                <w:rtl/>
                <w:lang w:eastAsia="ru-RU"/>
              </w:rPr>
            </w:pPr>
            <w:r w:rsidRPr="005A00EF">
              <w:rPr>
                <w:rFonts w:ascii="Times New Roman" w:eastAsia="Times New Roman" w:hAnsi="Times New Roman" w:cs="Times New Roman"/>
                <w:color w:val="000000" w:themeColor="text1"/>
                <w:sz w:val="24"/>
                <w:szCs w:val="24"/>
                <w:lang w:eastAsia="ru-RU"/>
              </w:rPr>
              <w:t>III</w:t>
            </w:r>
          </w:p>
        </w:tc>
        <w:tc>
          <w:tcPr>
            <w:tcW w:w="3734" w:type="dxa"/>
            <w:vAlign w:val="center"/>
          </w:tcPr>
          <w:p w:rsidR="005A00EF" w:rsidRPr="007B3FB9" w:rsidRDefault="005A00EF" w:rsidP="009164BD">
            <w:pPr>
              <w:bidi w:val="0"/>
              <w:spacing w:after="0" w:line="240" w:lineRule="auto"/>
              <w:contextualSpacing/>
              <w:rPr>
                <w:rFonts w:ascii="Times New Roman" w:eastAsia="Times New Roman" w:hAnsi="Times New Roman" w:cs="Times New Roman"/>
                <w:color w:val="000000" w:themeColor="text1"/>
                <w:sz w:val="24"/>
                <w:szCs w:val="24"/>
                <w:rtl/>
                <w:lang w:eastAsia="ru-RU"/>
              </w:rPr>
            </w:pPr>
            <w:r>
              <w:rPr>
                <w:rFonts w:ascii="Times New Roman" w:eastAsia="Times New Roman" w:hAnsi="Times New Roman" w:cs="Times New Roman"/>
                <w:color w:val="000000" w:themeColor="text1"/>
                <w:sz w:val="24"/>
                <w:szCs w:val="24"/>
                <w:lang w:eastAsia="ru-RU"/>
              </w:rPr>
              <w:lastRenderedPageBreak/>
              <w:t xml:space="preserve">Data for each specification </w:t>
            </w:r>
            <w:r w:rsidRPr="00494DF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Subsidiary table</w:t>
            </w:r>
            <w:r w:rsidRPr="00494DF8">
              <w:rPr>
                <w:rFonts w:ascii="Times New Roman" w:eastAsia="Times New Roman" w:hAnsi="Times New Roman" w:cs="Times New Roman"/>
                <w:color w:val="000000" w:themeColor="text1"/>
                <w:sz w:val="24"/>
                <w:szCs w:val="24"/>
                <w:lang w:eastAsia="ru-RU"/>
              </w:rPr>
              <w:t>)</w:t>
            </w:r>
          </w:p>
        </w:tc>
        <w:tc>
          <w:tcPr>
            <w:tcW w:w="1328" w:type="dxa"/>
            <w:vAlign w:val="center"/>
          </w:tcPr>
          <w:p w:rsidR="005A00EF" w:rsidRPr="007B3FB9"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 xml:space="preserve">Annex 1, </w:t>
            </w:r>
            <w:r w:rsidRPr="005A00EF">
              <w:rPr>
                <w:rFonts w:ascii="Times New Roman" w:eastAsia="Times New Roman" w:hAnsi="Times New Roman" w:cs="Times New Roman"/>
                <w:color w:val="000000" w:themeColor="text1"/>
                <w:sz w:val="24"/>
                <w:szCs w:val="24"/>
                <w:lang w:eastAsia="ru-RU"/>
              </w:rPr>
              <w:t xml:space="preserve">Subsection 13, </w:t>
            </w:r>
            <w:r>
              <w:rPr>
                <w:rFonts w:ascii="Times New Roman" w:eastAsia="Times New Roman" w:hAnsi="Times New Roman" w:cs="Times New Roman"/>
                <w:color w:val="000000" w:themeColor="text1"/>
                <w:sz w:val="24"/>
                <w:szCs w:val="24"/>
                <w:lang w:eastAsia="ru-RU"/>
              </w:rPr>
              <w:t xml:space="preserve">Table </w:t>
            </w:r>
            <w:r>
              <w:rPr>
                <w:rFonts w:ascii="Times New Roman" w:eastAsia="Times New Roman" w:hAnsi="Times New Roman" w:cs="Times New Roman"/>
                <w:color w:val="000000" w:themeColor="text1"/>
                <w:sz w:val="24"/>
                <w:szCs w:val="24"/>
                <w:lang w:eastAsia="ru-RU"/>
              </w:rPr>
              <w:lastRenderedPageBreak/>
              <w:t>No</w:t>
            </w:r>
            <w:r w:rsidRPr="007B3FB9">
              <w:rPr>
                <w:rFonts w:ascii="Times New Roman" w:eastAsia="Times New Roman" w:hAnsi="Times New Roman" w:cs="Times New Roman"/>
                <w:color w:val="000000" w:themeColor="text1"/>
                <w:sz w:val="24"/>
                <w:szCs w:val="24"/>
                <w:lang w:eastAsia="ru-RU"/>
              </w:rPr>
              <w:t>. 86</w:t>
            </w:r>
          </w:p>
          <w:p w:rsidR="005A00EF" w:rsidRPr="007B3FB9"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rtl/>
                <w:lang w:eastAsia="ru-RU"/>
              </w:rPr>
            </w:pPr>
          </w:p>
        </w:tc>
        <w:tc>
          <w:tcPr>
            <w:tcW w:w="417" w:type="dxa"/>
            <w:vAlign w:val="center"/>
          </w:tcPr>
          <w:p w:rsidR="005A00EF" w:rsidRPr="000D375C" w:rsidRDefault="005A00EF" w:rsidP="005E1CBB">
            <w:pPr>
              <w:bidi w:val="0"/>
              <w:spacing w:after="120" w:line="240" w:lineRule="auto"/>
              <w:contextualSpacing/>
              <w:jc w:val="center"/>
              <w:rPr>
                <w:rFonts w:ascii="Times New Roman" w:eastAsia="Times New Roman" w:hAnsi="Times New Roman" w:cs="Times New Roman"/>
                <w:color w:val="000000" w:themeColor="text1"/>
                <w:sz w:val="20"/>
                <w:szCs w:val="20"/>
                <w:lang w:eastAsia="ru-RU"/>
              </w:rPr>
            </w:pPr>
            <w:r w:rsidRPr="000D375C">
              <w:rPr>
                <w:rFonts w:ascii="Times New Roman" w:eastAsia="Times New Roman" w:hAnsi="Times New Roman" w:cs="Times New Roman"/>
                <w:color w:val="000000" w:themeColor="text1"/>
                <w:sz w:val="20"/>
                <w:szCs w:val="20"/>
                <w:lang w:eastAsia="ru-RU"/>
              </w:rPr>
              <w:lastRenderedPageBreak/>
              <w:t>8</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lastRenderedPageBreak/>
              <w:t>RA – Reclamation act, the document is to be opened on the basis of faults detection, when the factory defect of a product is acknowledged.</w:t>
            </w:r>
          </w:p>
        </w:tc>
        <w:tc>
          <w:tcPr>
            <w:tcW w:w="4485" w:type="dxa"/>
            <w:vAlign w:val="bottom"/>
          </w:tcPr>
          <w:p w:rsidR="005A00EF" w:rsidRPr="006B6DA6"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6B6DA6">
              <w:rPr>
                <w:rFonts w:ascii="Times New Roman" w:eastAsia="Times New Roman" w:hAnsi="Times New Roman" w:cs="Times New Roman"/>
                <w:color w:val="000000" w:themeColor="text1"/>
                <w:sz w:val="24"/>
                <w:szCs w:val="24"/>
                <w:lang w:eastAsia="ru-RU"/>
              </w:rPr>
              <w:t>It is necessary to clarify RA given in table No.89 (Fault detection reports)</w:t>
            </w:r>
          </w:p>
        </w:tc>
        <w:tc>
          <w:tcPr>
            <w:tcW w:w="3734" w:type="dxa"/>
            <w:vAlign w:val="center"/>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Faultdetectionreports</w:t>
            </w:r>
            <w:proofErr w:type="spellEnd"/>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 xml:space="preserve">Annex 1, </w:t>
            </w:r>
            <w:r w:rsidRPr="005A00EF">
              <w:rPr>
                <w:rFonts w:ascii="Times New Roman" w:eastAsia="Times New Roman" w:hAnsi="Times New Roman" w:cs="Times New Roman"/>
                <w:color w:val="000000" w:themeColor="text1"/>
                <w:sz w:val="24"/>
                <w:szCs w:val="24"/>
                <w:lang w:eastAsia="ru-RU"/>
              </w:rPr>
              <w:t xml:space="preserve">Subsection 13, </w:t>
            </w:r>
            <w:r>
              <w:rPr>
                <w:rFonts w:ascii="Times New Roman" w:eastAsia="Times New Roman" w:hAnsi="Times New Roman" w:cs="Times New Roman"/>
                <w:color w:val="000000" w:themeColor="text1"/>
                <w:sz w:val="24"/>
                <w:szCs w:val="24"/>
                <w:lang w:eastAsia="ru-RU"/>
              </w:rPr>
              <w:t>table No</w:t>
            </w:r>
            <w:r w:rsidRPr="007B3FB9">
              <w:rPr>
                <w:rFonts w:ascii="Times New Roman" w:eastAsia="Times New Roman" w:hAnsi="Times New Roman" w:cs="Times New Roman"/>
                <w:color w:val="000000" w:themeColor="text1"/>
                <w:sz w:val="24"/>
                <w:szCs w:val="24"/>
                <w:lang w:eastAsia="ru-RU"/>
              </w:rPr>
              <w:t>. 8</w:t>
            </w:r>
            <w:r>
              <w:rPr>
                <w:rFonts w:ascii="Times New Roman" w:eastAsia="Times New Roman" w:hAnsi="Times New Roman" w:cs="Times New Roman"/>
                <w:color w:val="000000" w:themeColor="text1"/>
                <w:sz w:val="24"/>
                <w:szCs w:val="24"/>
                <w:lang w:eastAsia="ru-RU"/>
              </w:rPr>
              <w:t>9</w:t>
            </w:r>
          </w:p>
        </w:tc>
        <w:tc>
          <w:tcPr>
            <w:tcW w:w="417" w:type="dxa"/>
            <w:vAlign w:val="center"/>
          </w:tcPr>
          <w:p w:rsidR="005A00EF" w:rsidRPr="000D375C" w:rsidRDefault="005A00EF" w:rsidP="005E1CBB">
            <w:pPr>
              <w:bidi w:val="0"/>
              <w:spacing w:after="120" w:line="240" w:lineRule="auto"/>
              <w:contextualSpacing/>
              <w:jc w:val="center"/>
              <w:rPr>
                <w:rFonts w:ascii="Times New Roman" w:eastAsia="Times New Roman" w:hAnsi="Times New Roman" w:cs="Times New Roman"/>
                <w:color w:val="000000" w:themeColor="text1"/>
                <w:sz w:val="20"/>
                <w:szCs w:val="20"/>
                <w:lang w:eastAsia="ru-RU"/>
              </w:rPr>
            </w:pPr>
            <w:r w:rsidRPr="000D375C">
              <w:rPr>
                <w:rFonts w:ascii="Times New Roman" w:eastAsia="Times New Roman" w:hAnsi="Times New Roman" w:cs="Times New Roman"/>
                <w:color w:val="000000" w:themeColor="text1"/>
                <w:sz w:val="20"/>
                <w:szCs w:val="20"/>
                <w:lang w:eastAsia="ru-RU"/>
              </w:rPr>
              <w:t>9</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Specification on table 84 – design demand in equipment / materials issued by the Contractor’s designers for purchasing the equipment for the unit construction.</w:t>
            </w:r>
          </w:p>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This item will be clarified to the Customer in more details during the meeting on Appendix B.G.</w:t>
            </w:r>
          </w:p>
        </w:tc>
        <w:tc>
          <w:tcPr>
            <w:tcW w:w="4485" w:type="dxa"/>
            <w:vAlign w:val="bottom"/>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6512FC">
              <w:rPr>
                <w:rFonts w:ascii="Times New Roman" w:eastAsia="Times New Roman" w:hAnsi="Times New Roman" w:cs="Times New Roman"/>
                <w:color w:val="000000" w:themeColor="text1"/>
                <w:sz w:val="24"/>
                <w:szCs w:val="24"/>
                <w:lang w:eastAsia="ru-RU"/>
              </w:rPr>
              <w:t>It is necessary to clarify Article given in table No.84 (Specifications for the equipment, articles and materials)</w:t>
            </w:r>
          </w:p>
        </w:tc>
        <w:tc>
          <w:tcPr>
            <w:tcW w:w="3734" w:type="dxa"/>
            <w:vAlign w:val="center"/>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Specifications for the equipment</w:t>
            </w:r>
            <w:r w:rsidRPr="00163F7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articles and materials</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7B3FB9">
              <w:rPr>
                <w:rFonts w:ascii="Times New Roman" w:eastAsia="Times New Roman" w:hAnsi="Times New Roman" w:cs="Times New Roman"/>
                <w:color w:val="000000" w:themeColor="text1"/>
                <w:sz w:val="24"/>
                <w:szCs w:val="24"/>
                <w:lang w:eastAsia="ru-RU"/>
              </w:rPr>
              <w:t xml:space="preserve">Annex 1, </w:t>
            </w:r>
            <w:r w:rsidRPr="005A00EF">
              <w:rPr>
                <w:rFonts w:ascii="Times New Roman" w:eastAsia="Times New Roman" w:hAnsi="Times New Roman" w:cs="Times New Roman"/>
                <w:color w:val="000000" w:themeColor="text1"/>
                <w:sz w:val="24"/>
                <w:szCs w:val="24"/>
                <w:lang w:eastAsia="ru-RU"/>
              </w:rPr>
              <w:t xml:space="preserve">Subsection 13, </w:t>
            </w:r>
            <w:r>
              <w:rPr>
                <w:rFonts w:ascii="Times New Roman" w:eastAsia="Times New Roman" w:hAnsi="Times New Roman" w:cs="Times New Roman"/>
                <w:color w:val="000000" w:themeColor="text1"/>
                <w:sz w:val="24"/>
                <w:szCs w:val="24"/>
                <w:lang w:eastAsia="ru-RU"/>
              </w:rPr>
              <w:t>Table</w:t>
            </w:r>
            <w:r w:rsidRPr="007B3FB9">
              <w:rPr>
                <w:rFonts w:ascii="Times New Roman" w:eastAsia="Times New Roman" w:hAnsi="Times New Roman" w:cs="Times New Roman"/>
                <w:color w:val="000000" w:themeColor="text1"/>
                <w:sz w:val="24"/>
                <w:szCs w:val="24"/>
                <w:lang w:eastAsia="ru-RU"/>
              </w:rPr>
              <w:t xml:space="preserve"> No. 8</w:t>
            </w:r>
            <w:r>
              <w:rPr>
                <w:rFonts w:ascii="Times New Roman" w:eastAsia="Times New Roman" w:hAnsi="Times New Roman" w:cs="Times New Roman"/>
                <w:color w:val="000000" w:themeColor="text1"/>
                <w:sz w:val="24"/>
                <w:szCs w:val="24"/>
                <w:lang w:eastAsia="ru-RU"/>
              </w:rPr>
              <w:t>4</w:t>
            </w:r>
          </w:p>
        </w:tc>
        <w:tc>
          <w:tcPr>
            <w:tcW w:w="417" w:type="dxa"/>
            <w:vAlign w:val="center"/>
          </w:tcPr>
          <w:p w:rsidR="005A00EF" w:rsidRPr="000D375C" w:rsidRDefault="005A00EF" w:rsidP="005E1CBB">
            <w:pPr>
              <w:bidi w:val="0"/>
              <w:spacing w:line="240" w:lineRule="auto"/>
              <w:contextualSpacing/>
              <w:jc w:val="center"/>
              <w:rPr>
                <w:rFonts w:ascii="Times New Roman" w:eastAsia="Times New Roman" w:hAnsi="Times New Roman" w:cs="Times New Roman"/>
                <w:color w:val="000000" w:themeColor="text1"/>
                <w:sz w:val="20"/>
                <w:szCs w:val="20"/>
                <w:lang w:eastAsia="ru-RU"/>
              </w:rPr>
            </w:pPr>
            <w:r w:rsidRPr="000D375C">
              <w:rPr>
                <w:rFonts w:ascii="Times New Roman" w:eastAsia="Times New Roman" w:hAnsi="Times New Roman" w:cs="Times New Roman"/>
                <w:color w:val="000000" w:themeColor="text1"/>
                <w:sz w:val="20"/>
                <w:szCs w:val="20"/>
                <w:lang w:eastAsia="ru-RU"/>
              </w:rPr>
              <w:t>10</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lastRenderedPageBreak/>
              <w:t xml:space="preserve">Not accepted. </w:t>
            </w:r>
            <w:proofErr w:type="spellStart"/>
            <w:r w:rsidRPr="005A00EF">
              <w:rPr>
                <w:rFonts w:ascii="Times New Roman" w:eastAsia="Times New Roman" w:hAnsi="Times New Roman" w:cs="Times New Roman"/>
                <w:color w:val="000000" w:themeColor="text1"/>
                <w:sz w:val="24"/>
                <w:szCs w:val="24"/>
                <w:lang w:eastAsia="ru-RU"/>
              </w:rPr>
              <w:t>Подразумевается</w:t>
            </w:r>
            <w:proofErr w:type="spellEnd"/>
            <w:r w:rsidRPr="005A00EF">
              <w:rPr>
                <w:rFonts w:ascii="Times New Roman" w:eastAsia="Times New Roman" w:hAnsi="Times New Roman" w:cs="Times New Roman"/>
                <w:color w:val="000000" w:themeColor="text1"/>
                <w:sz w:val="24"/>
                <w:szCs w:val="24"/>
                <w:lang w:eastAsia="ru-RU"/>
              </w:rPr>
              <w:t xml:space="preserve"> It is implied that the Equipment data base contains all equipment and materials, including the equipment, that do not have KKS codes.</w:t>
            </w:r>
          </w:p>
        </w:tc>
        <w:tc>
          <w:tcPr>
            <w:tcW w:w="4485" w:type="dxa"/>
            <w:vAlign w:val="bottom"/>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747EAA">
              <w:rPr>
                <w:rFonts w:ascii="Times New Roman" w:eastAsia="Times New Roman" w:hAnsi="Times New Roman" w:cs="Times New Roman"/>
                <w:color w:val="000000" w:themeColor="text1"/>
                <w:sz w:val="24"/>
                <w:szCs w:val="24"/>
                <w:lang w:eastAsia="ru-RU"/>
              </w:rPr>
              <w:t>It is required that List of equipment with MCS code be added to the Equipment data bases.</w:t>
            </w:r>
          </w:p>
        </w:tc>
        <w:tc>
          <w:tcPr>
            <w:tcW w:w="3734" w:type="dxa"/>
            <w:vAlign w:val="center"/>
          </w:tcPr>
          <w:p w:rsidR="005A00EF" w:rsidRPr="005A00EF" w:rsidRDefault="005A00EF" w:rsidP="009164BD">
            <w:pPr>
              <w:bidi w:val="0"/>
              <w:spacing w:after="0" w:line="240" w:lineRule="auto"/>
              <w:contextualSpacing/>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Equipment</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Subsection 13</w:t>
            </w:r>
          </w:p>
        </w:tc>
        <w:tc>
          <w:tcPr>
            <w:tcW w:w="417" w:type="dxa"/>
            <w:vAlign w:val="center"/>
          </w:tcPr>
          <w:p w:rsidR="005A00EF" w:rsidRPr="000D375C" w:rsidRDefault="005A00EF" w:rsidP="005E1CBB">
            <w:pPr>
              <w:bidi w:val="0"/>
              <w:spacing w:line="240" w:lineRule="auto"/>
              <w:contextualSpacing/>
              <w:jc w:val="center"/>
              <w:rPr>
                <w:rFonts w:ascii="Times New Roman" w:hAnsi="Times New Roman" w:cs="Times New Roman"/>
                <w:sz w:val="20"/>
                <w:szCs w:val="20"/>
              </w:rPr>
            </w:pPr>
            <w:r w:rsidRPr="000D375C">
              <w:rPr>
                <w:rFonts w:ascii="Times New Roman" w:hAnsi="Times New Roman" w:cs="Times New Roman"/>
                <w:sz w:val="20"/>
                <w:szCs w:val="20"/>
              </w:rPr>
              <w:t>11</w:t>
            </w:r>
          </w:p>
        </w:tc>
      </w:tr>
      <w:tr w:rsidR="009164BD" w:rsidRPr="008A4660"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Accepted. DB is added. Item B.G.3.2.18 and Appendix 1 are modified.</w:t>
            </w:r>
          </w:p>
        </w:tc>
        <w:tc>
          <w:tcPr>
            <w:tcW w:w="4485" w:type="dxa"/>
            <w:vAlign w:val="bottom"/>
          </w:tcPr>
          <w:p w:rsidR="005A00EF" w:rsidRPr="00747EAA" w:rsidRDefault="005A00EF" w:rsidP="009164BD">
            <w:pPr>
              <w:bidi w:val="0"/>
              <w:spacing w:after="0" w:line="240" w:lineRule="auto"/>
              <w:contextualSpacing/>
              <w:rPr>
                <w:rFonts w:ascii="Times New Roman" w:eastAsia="Times New Roman" w:hAnsi="Times New Roman" w:cs="Times New Roman"/>
                <w:color w:val="000000" w:themeColor="text1"/>
                <w:sz w:val="24"/>
                <w:szCs w:val="24"/>
                <w:lang w:eastAsia="ru-RU"/>
              </w:rPr>
            </w:pPr>
            <w:r w:rsidRPr="00747EAA">
              <w:rPr>
                <w:rFonts w:ascii="Times New Roman" w:eastAsia="Times New Roman" w:hAnsi="Times New Roman" w:cs="Times New Roman"/>
                <w:color w:val="000000" w:themeColor="text1"/>
                <w:sz w:val="24"/>
                <w:szCs w:val="24"/>
                <w:lang w:eastAsia="ru-RU"/>
              </w:rPr>
              <w:t>It is required that identification code for welded joints be added to the other data bases.</w:t>
            </w:r>
          </w:p>
        </w:tc>
        <w:tc>
          <w:tcPr>
            <w:tcW w:w="3734" w:type="dxa"/>
            <w:vAlign w:val="center"/>
          </w:tcPr>
          <w:p w:rsidR="005A00EF" w:rsidRPr="005A00EF" w:rsidRDefault="005A00EF" w:rsidP="009164BD">
            <w:pPr>
              <w:bidi w:val="0"/>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Other data bases</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Subsection  18</w:t>
            </w:r>
          </w:p>
        </w:tc>
        <w:tc>
          <w:tcPr>
            <w:tcW w:w="417" w:type="dxa"/>
            <w:vAlign w:val="center"/>
          </w:tcPr>
          <w:p w:rsidR="005A00EF" w:rsidRPr="008A4660" w:rsidRDefault="005A00EF" w:rsidP="005E1CBB">
            <w:pPr>
              <w:bidi w:val="0"/>
              <w:spacing w:line="240" w:lineRule="auto"/>
              <w:contextualSpacing/>
              <w:jc w:val="center"/>
              <w:rPr>
                <w:rFonts w:ascii="Times New Roman" w:hAnsi="Times New Roman" w:cs="Times New Roman"/>
                <w:sz w:val="20"/>
                <w:szCs w:val="20"/>
                <w:lang w:val="ru-RU"/>
              </w:rPr>
            </w:pPr>
            <w:r w:rsidRPr="008A4660">
              <w:rPr>
                <w:rFonts w:ascii="Times New Roman" w:hAnsi="Times New Roman" w:cs="Times New Roman"/>
                <w:sz w:val="20"/>
                <w:szCs w:val="20"/>
                <w:lang w:val="ru-RU"/>
              </w:rPr>
              <w:t>12</w:t>
            </w:r>
          </w:p>
        </w:tc>
      </w:tr>
      <w:tr w:rsidR="009164BD" w:rsidRPr="000D375C" w:rsidTr="009164BD">
        <w:trPr>
          <w:jc w:val="center"/>
        </w:trPr>
        <w:tc>
          <w:tcPr>
            <w:tcW w:w="5045" w:type="dxa"/>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Accepted. DB is added. Item B.G.3.2.18 and Appendix 1 are modified</w:t>
            </w:r>
          </w:p>
        </w:tc>
        <w:tc>
          <w:tcPr>
            <w:tcW w:w="4485" w:type="dxa"/>
            <w:vAlign w:val="bottom"/>
          </w:tcPr>
          <w:p w:rsidR="005A00EF" w:rsidRPr="00747EAA"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It is necessary to add an Item regarding the Database for registration of events and accidents.</w:t>
            </w:r>
          </w:p>
        </w:tc>
        <w:tc>
          <w:tcPr>
            <w:tcW w:w="3734" w:type="dxa"/>
            <w:vAlign w:val="center"/>
          </w:tcPr>
          <w:p w:rsidR="005A00EF" w:rsidRPr="005A00EF" w:rsidRDefault="005A00EF" w:rsidP="005A00EF">
            <w:pPr>
              <w:bidi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w:t>
            </w:r>
          </w:p>
        </w:tc>
        <w:tc>
          <w:tcPr>
            <w:tcW w:w="1328" w:type="dxa"/>
            <w:vAlign w:val="center"/>
          </w:tcPr>
          <w:p w:rsidR="005A00EF" w:rsidRPr="005A00EF" w:rsidRDefault="005A00EF" w:rsidP="005A00EF">
            <w:pPr>
              <w:bidi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5A00EF">
              <w:rPr>
                <w:rFonts w:ascii="Times New Roman" w:eastAsia="Times New Roman" w:hAnsi="Times New Roman" w:cs="Times New Roman"/>
                <w:color w:val="000000" w:themeColor="text1"/>
                <w:sz w:val="24"/>
                <w:szCs w:val="24"/>
                <w:lang w:eastAsia="ru-RU"/>
              </w:rPr>
              <w:t>-</w:t>
            </w:r>
          </w:p>
        </w:tc>
        <w:tc>
          <w:tcPr>
            <w:tcW w:w="417" w:type="dxa"/>
            <w:vAlign w:val="center"/>
          </w:tcPr>
          <w:p w:rsidR="005A00EF" w:rsidRPr="000D375C" w:rsidRDefault="005A00EF" w:rsidP="005E1CBB">
            <w:pPr>
              <w:bidi w:val="0"/>
              <w:spacing w:line="240" w:lineRule="auto"/>
              <w:contextualSpacing/>
              <w:jc w:val="center"/>
              <w:rPr>
                <w:rFonts w:ascii="Times New Roman" w:hAnsi="Times New Roman" w:cs="Times New Roman"/>
                <w:sz w:val="20"/>
                <w:szCs w:val="20"/>
              </w:rPr>
            </w:pPr>
            <w:r w:rsidRPr="000D375C">
              <w:rPr>
                <w:rFonts w:ascii="Times New Roman" w:hAnsi="Times New Roman" w:cs="Times New Roman"/>
                <w:sz w:val="20"/>
                <w:szCs w:val="20"/>
              </w:rPr>
              <w:t>13</w:t>
            </w:r>
          </w:p>
        </w:tc>
      </w:tr>
    </w:tbl>
    <w:p w:rsidR="00C83F47" w:rsidRPr="000D375C" w:rsidRDefault="00C83F47">
      <w:pPr>
        <w:rPr>
          <w:rFonts w:ascii="Times New Roman" w:hAnsi="Times New Roman" w:cs="Times New Roman"/>
          <w:sz w:val="20"/>
          <w:szCs w:val="20"/>
        </w:rPr>
      </w:pPr>
    </w:p>
    <w:sectPr w:rsidR="00C83F47" w:rsidRPr="000D375C" w:rsidSect="000D375C">
      <w:headerReference w:type="default" r:id="rId8"/>
      <w:footerReference w:type="default" r:id="rId9"/>
      <w:pgSz w:w="16838" w:h="11906" w:orient="landscape"/>
      <w:pgMar w:top="1440" w:right="1871" w:bottom="1440" w:left="992"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9A" w:rsidRDefault="0046669A" w:rsidP="00A81EE4">
      <w:pPr>
        <w:spacing w:after="0" w:line="240" w:lineRule="auto"/>
      </w:pPr>
      <w:r>
        <w:separator/>
      </w:r>
    </w:p>
  </w:endnote>
  <w:endnote w:type="continuationSeparator" w:id="0">
    <w:p w:rsidR="0046669A" w:rsidRDefault="0046669A" w:rsidP="00A8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171787"/>
      <w:docPartObj>
        <w:docPartGallery w:val="Page Numbers (Bottom of Page)"/>
        <w:docPartUnique/>
      </w:docPartObj>
    </w:sdtPr>
    <w:sdtEndPr>
      <w:rPr>
        <w:noProof/>
      </w:rPr>
    </w:sdtEndPr>
    <w:sdtContent>
      <w:p w:rsidR="00EC7AB1" w:rsidRDefault="0046669A" w:rsidP="005E1CBB">
        <w:pPr>
          <w:pStyle w:val="a8"/>
          <w:bidi w:val="0"/>
          <w:jc w:val="center"/>
        </w:pPr>
        <w:r>
          <w:fldChar w:fldCharType="begin"/>
        </w:r>
        <w:r>
          <w:instrText xml:space="preserve"> PAGE   \* MERGEFORMAT </w:instrText>
        </w:r>
        <w:r>
          <w:fldChar w:fldCharType="separate"/>
        </w:r>
        <w:r w:rsidR="009164BD">
          <w:rPr>
            <w:noProof/>
          </w:rPr>
          <w:t>1</w:t>
        </w:r>
        <w:r>
          <w:rPr>
            <w:noProof/>
          </w:rPr>
          <w:fldChar w:fldCharType="end"/>
        </w:r>
      </w:p>
    </w:sdtContent>
  </w:sdt>
  <w:p w:rsidR="00EC7AB1" w:rsidRDefault="00EC7A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9A" w:rsidRDefault="0046669A" w:rsidP="00A81EE4">
      <w:pPr>
        <w:spacing w:after="0" w:line="240" w:lineRule="auto"/>
      </w:pPr>
      <w:r>
        <w:separator/>
      </w:r>
    </w:p>
  </w:footnote>
  <w:footnote w:type="continuationSeparator" w:id="0">
    <w:p w:rsidR="0046669A" w:rsidRDefault="0046669A" w:rsidP="00A81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bottom w:val="double" w:sz="4" w:space="0" w:color="auto"/>
      </w:tblBorders>
      <w:tblLook w:val="0000" w:firstRow="0" w:lastRow="0" w:firstColumn="0" w:lastColumn="0" w:noHBand="0" w:noVBand="0"/>
    </w:tblPr>
    <w:tblGrid>
      <w:gridCol w:w="5273"/>
      <w:gridCol w:w="4375"/>
    </w:tblGrid>
    <w:tr w:rsidR="00EC7AB1" w:rsidRPr="00877189" w:rsidTr="006B5623">
      <w:trPr>
        <w:jc w:val="center"/>
      </w:trPr>
      <w:tc>
        <w:tcPr>
          <w:tcW w:w="5273" w:type="dxa"/>
          <w:vAlign w:val="center"/>
        </w:tcPr>
        <w:p w:rsidR="00EC7AB1" w:rsidRPr="00425D1C" w:rsidRDefault="00EC7AB1" w:rsidP="006B5623">
          <w:pPr>
            <w:autoSpaceDE w:val="0"/>
            <w:autoSpaceDN w:val="0"/>
            <w:adjustRightInd w:val="0"/>
            <w:spacing w:after="240"/>
            <w:jc w:val="right"/>
            <w:rPr>
              <w:rFonts w:ascii="Times New Roman" w:eastAsia="Times New Roman" w:hAnsi="Times New Roman" w:cs="Times New Roman"/>
              <w:b/>
              <w:bCs/>
              <w:i/>
              <w:iCs/>
              <w:sz w:val="20"/>
              <w:szCs w:val="20"/>
              <w:rtl/>
            </w:rPr>
          </w:pPr>
        </w:p>
      </w:tc>
      <w:tc>
        <w:tcPr>
          <w:tcW w:w="4375" w:type="dxa"/>
          <w:vAlign w:val="center"/>
        </w:tcPr>
        <w:p w:rsidR="00EC7AB1" w:rsidRPr="00877189" w:rsidRDefault="009164BD" w:rsidP="00877189">
          <w:pPr>
            <w:autoSpaceDE w:val="0"/>
            <w:autoSpaceDN w:val="0"/>
            <w:adjustRightInd w:val="0"/>
            <w:spacing w:after="240"/>
            <w:rPr>
              <w:rFonts w:ascii="Times New Roman" w:eastAsia="Times New Roman" w:hAnsi="Times New Roman" w:cs="Times New Roman"/>
              <w:b/>
              <w:bCs/>
              <w:sz w:val="20"/>
              <w:szCs w:val="20"/>
              <w:rtl/>
              <w:lang w:val="ru-RU"/>
            </w:rPr>
          </w:pPr>
          <w:r>
            <w:rPr>
              <w:rFonts w:ascii="Times New Roman" w:eastAsia="Times New Roman" w:hAnsi="Times New Roman" w:cs="Times New Roman"/>
              <w:b/>
              <w:bCs/>
              <w:sz w:val="20"/>
              <w:szCs w:val="20"/>
            </w:rPr>
            <w:t>List of Comments on Attachment B.G.  Rev.5</w:t>
          </w:r>
        </w:p>
      </w:tc>
    </w:tr>
  </w:tbl>
  <w:p w:rsidR="00EC7AB1" w:rsidRPr="00877189" w:rsidRDefault="00EC7AB1">
    <w:pPr>
      <w:pStyle w:val="a6"/>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512"/>
    <w:multiLevelType w:val="hybridMultilevel"/>
    <w:tmpl w:val="29A88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B16802"/>
    <w:multiLevelType w:val="hybridMultilevel"/>
    <w:tmpl w:val="DA348B38"/>
    <w:lvl w:ilvl="0" w:tplc="E94E128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CD39ED"/>
    <w:multiLevelType w:val="hybridMultilevel"/>
    <w:tmpl w:val="A5EC0022"/>
    <w:lvl w:ilvl="0" w:tplc="69E62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C4342"/>
    <w:multiLevelType w:val="hybridMultilevel"/>
    <w:tmpl w:val="E13A2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77B7E"/>
    <w:multiLevelType w:val="hybridMultilevel"/>
    <w:tmpl w:val="8BD02558"/>
    <w:lvl w:ilvl="0" w:tplc="04190001">
      <w:start w:val="1"/>
      <w:numFmt w:val="bullet"/>
      <w:lvlText w:val=""/>
      <w:lvlJc w:val="left"/>
      <w:pPr>
        <w:ind w:left="1415" w:hanging="705"/>
      </w:pPr>
      <w:rPr>
        <w:rFonts w:ascii="Symbol" w:hAnsi="Symbol" w:hint="default"/>
      </w:rPr>
    </w:lvl>
    <w:lvl w:ilvl="1" w:tplc="0409000B">
      <w:start w:val="1"/>
      <w:numFmt w:val="bullet"/>
      <w:lvlText w:val=""/>
      <w:lvlJc w:val="left"/>
      <w:pPr>
        <w:ind w:left="1789" w:hanging="360"/>
      </w:pPr>
      <w:rPr>
        <w:rFonts w:ascii="Wingdings" w:hAnsi="Wingding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2DE8912E">
      <w:start w:val="1"/>
      <w:numFmt w:val="bullet"/>
      <w:lvlText w:val=""/>
      <w:lvlJc w:val="left"/>
      <w:pPr>
        <w:ind w:left="3949" w:hanging="360"/>
      </w:pPr>
      <w:rPr>
        <w:rFonts w:ascii="Symbol" w:hAnsi="Symbol" w:hint="default"/>
      </w:r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076251"/>
    <w:multiLevelType w:val="hybridMultilevel"/>
    <w:tmpl w:val="F0882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71744A"/>
    <w:multiLevelType w:val="hybridMultilevel"/>
    <w:tmpl w:val="2B302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25BC6"/>
    <w:multiLevelType w:val="hybridMultilevel"/>
    <w:tmpl w:val="9C7A89C0"/>
    <w:lvl w:ilvl="0" w:tplc="17CEB1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DF281F"/>
    <w:multiLevelType w:val="hybridMultilevel"/>
    <w:tmpl w:val="C6AE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33D2D"/>
    <w:multiLevelType w:val="multilevel"/>
    <w:tmpl w:val="29FC2C0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63D538F0"/>
    <w:multiLevelType w:val="hybridMultilevel"/>
    <w:tmpl w:val="226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E5792"/>
    <w:multiLevelType w:val="hybridMultilevel"/>
    <w:tmpl w:val="6D58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DA288B"/>
    <w:multiLevelType w:val="hybridMultilevel"/>
    <w:tmpl w:val="109C8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372C7C"/>
    <w:multiLevelType w:val="hybridMultilevel"/>
    <w:tmpl w:val="B074EB04"/>
    <w:lvl w:ilvl="0" w:tplc="CCD80E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5"/>
  </w:num>
  <w:num w:numId="5">
    <w:abstractNumId w:val="1"/>
  </w:num>
  <w:num w:numId="6">
    <w:abstractNumId w:val="11"/>
  </w:num>
  <w:num w:numId="7">
    <w:abstractNumId w:val="6"/>
  </w:num>
  <w:num w:numId="8">
    <w:abstractNumId w:val="12"/>
  </w:num>
  <w:num w:numId="9">
    <w:abstractNumId w:val="8"/>
  </w:num>
  <w:num w:numId="10">
    <w:abstractNumId w:val="3"/>
  </w:num>
  <w:num w:numId="11">
    <w:abstractNumId w:val="4"/>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C6"/>
    <w:rsid w:val="00003C28"/>
    <w:rsid w:val="00007D2D"/>
    <w:rsid w:val="0001144C"/>
    <w:rsid w:val="000145EF"/>
    <w:rsid w:val="00015DD4"/>
    <w:rsid w:val="00016364"/>
    <w:rsid w:val="00025EA5"/>
    <w:rsid w:val="0003689D"/>
    <w:rsid w:val="00041628"/>
    <w:rsid w:val="000429DD"/>
    <w:rsid w:val="00047EAF"/>
    <w:rsid w:val="00065E98"/>
    <w:rsid w:val="000A239A"/>
    <w:rsid w:val="000A33DF"/>
    <w:rsid w:val="000B0CC2"/>
    <w:rsid w:val="000B57E6"/>
    <w:rsid w:val="000D375C"/>
    <w:rsid w:val="000D4299"/>
    <w:rsid w:val="000E6D03"/>
    <w:rsid w:val="000E7810"/>
    <w:rsid w:val="000F5058"/>
    <w:rsid w:val="000F6242"/>
    <w:rsid w:val="001009A2"/>
    <w:rsid w:val="001030CC"/>
    <w:rsid w:val="001110CE"/>
    <w:rsid w:val="00111A34"/>
    <w:rsid w:val="00116FC7"/>
    <w:rsid w:val="00144CC3"/>
    <w:rsid w:val="00147262"/>
    <w:rsid w:val="00151E80"/>
    <w:rsid w:val="00153E16"/>
    <w:rsid w:val="00181D62"/>
    <w:rsid w:val="00182CD0"/>
    <w:rsid w:val="00194A58"/>
    <w:rsid w:val="001B6CFA"/>
    <w:rsid w:val="001D23AC"/>
    <w:rsid w:val="001D3301"/>
    <w:rsid w:val="001D40F8"/>
    <w:rsid w:val="001E1AF5"/>
    <w:rsid w:val="001E43A2"/>
    <w:rsid w:val="001F154F"/>
    <w:rsid w:val="00205E67"/>
    <w:rsid w:val="0020671B"/>
    <w:rsid w:val="002117A4"/>
    <w:rsid w:val="00212DDD"/>
    <w:rsid w:val="00224554"/>
    <w:rsid w:val="002454ED"/>
    <w:rsid w:val="002560F0"/>
    <w:rsid w:val="002647F8"/>
    <w:rsid w:val="00276F9C"/>
    <w:rsid w:val="00284D71"/>
    <w:rsid w:val="00293FEB"/>
    <w:rsid w:val="0029507F"/>
    <w:rsid w:val="002A2F94"/>
    <w:rsid w:val="002A3F0A"/>
    <w:rsid w:val="002A4515"/>
    <w:rsid w:val="002A574E"/>
    <w:rsid w:val="002A732D"/>
    <w:rsid w:val="002C5DE0"/>
    <w:rsid w:val="002D3FFD"/>
    <w:rsid w:val="002E2B68"/>
    <w:rsid w:val="002E55B5"/>
    <w:rsid w:val="002F3E31"/>
    <w:rsid w:val="0030388A"/>
    <w:rsid w:val="00305D1D"/>
    <w:rsid w:val="00307B52"/>
    <w:rsid w:val="003157D0"/>
    <w:rsid w:val="00317039"/>
    <w:rsid w:val="00320506"/>
    <w:rsid w:val="00320A7E"/>
    <w:rsid w:val="00320D4E"/>
    <w:rsid w:val="003265A6"/>
    <w:rsid w:val="003300F2"/>
    <w:rsid w:val="00331C6C"/>
    <w:rsid w:val="00332500"/>
    <w:rsid w:val="00335E01"/>
    <w:rsid w:val="003374E4"/>
    <w:rsid w:val="00347375"/>
    <w:rsid w:val="00350E45"/>
    <w:rsid w:val="00352415"/>
    <w:rsid w:val="00360AEA"/>
    <w:rsid w:val="003658F4"/>
    <w:rsid w:val="00366E41"/>
    <w:rsid w:val="00381BB3"/>
    <w:rsid w:val="00382C36"/>
    <w:rsid w:val="003A5BEB"/>
    <w:rsid w:val="003B3C63"/>
    <w:rsid w:val="003C4C7E"/>
    <w:rsid w:val="003C52FF"/>
    <w:rsid w:val="003F254B"/>
    <w:rsid w:val="003F712B"/>
    <w:rsid w:val="00410DBF"/>
    <w:rsid w:val="00425EE9"/>
    <w:rsid w:val="00427B81"/>
    <w:rsid w:val="0044284E"/>
    <w:rsid w:val="0044707B"/>
    <w:rsid w:val="004513F4"/>
    <w:rsid w:val="00456351"/>
    <w:rsid w:val="0046669A"/>
    <w:rsid w:val="0047410D"/>
    <w:rsid w:val="00483455"/>
    <w:rsid w:val="004A0F50"/>
    <w:rsid w:val="004B3F22"/>
    <w:rsid w:val="004B7C9D"/>
    <w:rsid w:val="004D3EA5"/>
    <w:rsid w:val="004D6497"/>
    <w:rsid w:val="004E0C8B"/>
    <w:rsid w:val="004E45EB"/>
    <w:rsid w:val="004E6687"/>
    <w:rsid w:val="004E7908"/>
    <w:rsid w:val="004F3D93"/>
    <w:rsid w:val="004F531A"/>
    <w:rsid w:val="005002F6"/>
    <w:rsid w:val="0051092B"/>
    <w:rsid w:val="00514C3E"/>
    <w:rsid w:val="00521723"/>
    <w:rsid w:val="005413F3"/>
    <w:rsid w:val="00546148"/>
    <w:rsid w:val="00550429"/>
    <w:rsid w:val="00555099"/>
    <w:rsid w:val="005610B1"/>
    <w:rsid w:val="005760EB"/>
    <w:rsid w:val="00590AA2"/>
    <w:rsid w:val="005924A8"/>
    <w:rsid w:val="005A00EF"/>
    <w:rsid w:val="005A0C2F"/>
    <w:rsid w:val="005A1C35"/>
    <w:rsid w:val="005A2EA7"/>
    <w:rsid w:val="005A7435"/>
    <w:rsid w:val="005B6EA3"/>
    <w:rsid w:val="005C77D2"/>
    <w:rsid w:val="005D638F"/>
    <w:rsid w:val="005E0A2F"/>
    <w:rsid w:val="005E0A30"/>
    <w:rsid w:val="005E1CBB"/>
    <w:rsid w:val="005E4738"/>
    <w:rsid w:val="005E76F3"/>
    <w:rsid w:val="005F6A67"/>
    <w:rsid w:val="00603B1A"/>
    <w:rsid w:val="00604D05"/>
    <w:rsid w:val="00605D87"/>
    <w:rsid w:val="0061268C"/>
    <w:rsid w:val="00612EB2"/>
    <w:rsid w:val="00621DC1"/>
    <w:rsid w:val="0064197B"/>
    <w:rsid w:val="00642AA9"/>
    <w:rsid w:val="006453D3"/>
    <w:rsid w:val="006512FC"/>
    <w:rsid w:val="00667CC9"/>
    <w:rsid w:val="00672F08"/>
    <w:rsid w:val="006733D8"/>
    <w:rsid w:val="00674A08"/>
    <w:rsid w:val="00674C76"/>
    <w:rsid w:val="00680074"/>
    <w:rsid w:val="00685329"/>
    <w:rsid w:val="00686682"/>
    <w:rsid w:val="00686740"/>
    <w:rsid w:val="0069459C"/>
    <w:rsid w:val="00697315"/>
    <w:rsid w:val="006A7ACB"/>
    <w:rsid w:val="006B5623"/>
    <w:rsid w:val="006B6DA6"/>
    <w:rsid w:val="006D2BD3"/>
    <w:rsid w:val="006D67D4"/>
    <w:rsid w:val="006E0B39"/>
    <w:rsid w:val="006E4982"/>
    <w:rsid w:val="00704DD2"/>
    <w:rsid w:val="00705877"/>
    <w:rsid w:val="007164E4"/>
    <w:rsid w:val="0072235A"/>
    <w:rsid w:val="00732571"/>
    <w:rsid w:val="00733582"/>
    <w:rsid w:val="0073516C"/>
    <w:rsid w:val="00747EAA"/>
    <w:rsid w:val="00751AE5"/>
    <w:rsid w:val="00764681"/>
    <w:rsid w:val="007665BD"/>
    <w:rsid w:val="007715EA"/>
    <w:rsid w:val="0077358A"/>
    <w:rsid w:val="00773AE7"/>
    <w:rsid w:val="00776B6F"/>
    <w:rsid w:val="007876C6"/>
    <w:rsid w:val="0079556A"/>
    <w:rsid w:val="007A064C"/>
    <w:rsid w:val="007A4819"/>
    <w:rsid w:val="007A78C1"/>
    <w:rsid w:val="007B0113"/>
    <w:rsid w:val="007B3FB9"/>
    <w:rsid w:val="007B6E5B"/>
    <w:rsid w:val="007D10EA"/>
    <w:rsid w:val="007E6A21"/>
    <w:rsid w:val="007F316D"/>
    <w:rsid w:val="007F3E37"/>
    <w:rsid w:val="007F594A"/>
    <w:rsid w:val="00801EE5"/>
    <w:rsid w:val="00806CAE"/>
    <w:rsid w:val="00821A63"/>
    <w:rsid w:val="00840B19"/>
    <w:rsid w:val="00854F01"/>
    <w:rsid w:val="008551C6"/>
    <w:rsid w:val="00856FB3"/>
    <w:rsid w:val="00857B8C"/>
    <w:rsid w:val="0086261C"/>
    <w:rsid w:val="00863B5B"/>
    <w:rsid w:val="008643CF"/>
    <w:rsid w:val="00877189"/>
    <w:rsid w:val="00890801"/>
    <w:rsid w:val="0089149D"/>
    <w:rsid w:val="008915ED"/>
    <w:rsid w:val="008934C5"/>
    <w:rsid w:val="008959EA"/>
    <w:rsid w:val="00897CF6"/>
    <w:rsid w:val="008A4660"/>
    <w:rsid w:val="008A5E0E"/>
    <w:rsid w:val="008A79C6"/>
    <w:rsid w:val="008B412D"/>
    <w:rsid w:val="008B7D02"/>
    <w:rsid w:val="008C568D"/>
    <w:rsid w:val="008D3724"/>
    <w:rsid w:val="008E06A6"/>
    <w:rsid w:val="008E230F"/>
    <w:rsid w:val="008E5292"/>
    <w:rsid w:val="008F1057"/>
    <w:rsid w:val="0090113C"/>
    <w:rsid w:val="00901E0A"/>
    <w:rsid w:val="00911A3B"/>
    <w:rsid w:val="00913073"/>
    <w:rsid w:val="009164BD"/>
    <w:rsid w:val="00932F15"/>
    <w:rsid w:val="00950FFC"/>
    <w:rsid w:val="0095340E"/>
    <w:rsid w:val="00957E91"/>
    <w:rsid w:val="009666FF"/>
    <w:rsid w:val="00966BF3"/>
    <w:rsid w:val="00967191"/>
    <w:rsid w:val="009736D8"/>
    <w:rsid w:val="00983535"/>
    <w:rsid w:val="009863E3"/>
    <w:rsid w:val="00990FF2"/>
    <w:rsid w:val="009A7CB2"/>
    <w:rsid w:val="009A7F87"/>
    <w:rsid w:val="009B2072"/>
    <w:rsid w:val="009C566C"/>
    <w:rsid w:val="009D6C74"/>
    <w:rsid w:val="009E2CAB"/>
    <w:rsid w:val="009F6790"/>
    <w:rsid w:val="00A127DC"/>
    <w:rsid w:val="00A37815"/>
    <w:rsid w:val="00A42087"/>
    <w:rsid w:val="00A51979"/>
    <w:rsid w:val="00A56961"/>
    <w:rsid w:val="00A62ABA"/>
    <w:rsid w:val="00A808E7"/>
    <w:rsid w:val="00A81EE4"/>
    <w:rsid w:val="00A930EA"/>
    <w:rsid w:val="00A93925"/>
    <w:rsid w:val="00AA054D"/>
    <w:rsid w:val="00AA17AD"/>
    <w:rsid w:val="00AB7E23"/>
    <w:rsid w:val="00AC1927"/>
    <w:rsid w:val="00AC2565"/>
    <w:rsid w:val="00AC32CA"/>
    <w:rsid w:val="00AD5EB0"/>
    <w:rsid w:val="00AD69D2"/>
    <w:rsid w:val="00AE0261"/>
    <w:rsid w:val="00AE7B9D"/>
    <w:rsid w:val="00AF6E25"/>
    <w:rsid w:val="00AF71AA"/>
    <w:rsid w:val="00B01207"/>
    <w:rsid w:val="00B015C1"/>
    <w:rsid w:val="00B03A91"/>
    <w:rsid w:val="00B22357"/>
    <w:rsid w:val="00B24C69"/>
    <w:rsid w:val="00B26444"/>
    <w:rsid w:val="00B526B3"/>
    <w:rsid w:val="00B55A14"/>
    <w:rsid w:val="00B660B0"/>
    <w:rsid w:val="00B721D5"/>
    <w:rsid w:val="00B768E1"/>
    <w:rsid w:val="00B8311F"/>
    <w:rsid w:val="00B84EA7"/>
    <w:rsid w:val="00B84F0A"/>
    <w:rsid w:val="00B85147"/>
    <w:rsid w:val="00B91E28"/>
    <w:rsid w:val="00B923DB"/>
    <w:rsid w:val="00BA070E"/>
    <w:rsid w:val="00BA0B9C"/>
    <w:rsid w:val="00BA50BF"/>
    <w:rsid w:val="00BA6967"/>
    <w:rsid w:val="00BB5DEA"/>
    <w:rsid w:val="00BB7000"/>
    <w:rsid w:val="00BC5567"/>
    <w:rsid w:val="00BD0EC6"/>
    <w:rsid w:val="00BD2767"/>
    <w:rsid w:val="00BD2D15"/>
    <w:rsid w:val="00BD5856"/>
    <w:rsid w:val="00C07E21"/>
    <w:rsid w:val="00C136AE"/>
    <w:rsid w:val="00C13D16"/>
    <w:rsid w:val="00C30032"/>
    <w:rsid w:val="00C31F06"/>
    <w:rsid w:val="00C35309"/>
    <w:rsid w:val="00C47866"/>
    <w:rsid w:val="00C51A42"/>
    <w:rsid w:val="00C61DA2"/>
    <w:rsid w:val="00C7449A"/>
    <w:rsid w:val="00C80D9E"/>
    <w:rsid w:val="00C82C2D"/>
    <w:rsid w:val="00C83F47"/>
    <w:rsid w:val="00C92E08"/>
    <w:rsid w:val="00C95961"/>
    <w:rsid w:val="00C97FFD"/>
    <w:rsid w:val="00CA3718"/>
    <w:rsid w:val="00CA478A"/>
    <w:rsid w:val="00CB607B"/>
    <w:rsid w:val="00CC2050"/>
    <w:rsid w:val="00CD4442"/>
    <w:rsid w:val="00CE55AC"/>
    <w:rsid w:val="00CF45F0"/>
    <w:rsid w:val="00D131AE"/>
    <w:rsid w:val="00D14982"/>
    <w:rsid w:val="00D15BEA"/>
    <w:rsid w:val="00D22119"/>
    <w:rsid w:val="00D415EB"/>
    <w:rsid w:val="00D51186"/>
    <w:rsid w:val="00D5795C"/>
    <w:rsid w:val="00D62285"/>
    <w:rsid w:val="00D66C77"/>
    <w:rsid w:val="00D677E0"/>
    <w:rsid w:val="00D7175D"/>
    <w:rsid w:val="00D748B4"/>
    <w:rsid w:val="00D75BB7"/>
    <w:rsid w:val="00D779A5"/>
    <w:rsid w:val="00D821D5"/>
    <w:rsid w:val="00D92DD8"/>
    <w:rsid w:val="00D95392"/>
    <w:rsid w:val="00DA2DD3"/>
    <w:rsid w:val="00DB36F0"/>
    <w:rsid w:val="00DC56B5"/>
    <w:rsid w:val="00DD3E47"/>
    <w:rsid w:val="00DE0DC6"/>
    <w:rsid w:val="00DE515B"/>
    <w:rsid w:val="00DF247B"/>
    <w:rsid w:val="00DF45D0"/>
    <w:rsid w:val="00E03BAC"/>
    <w:rsid w:val="00E07A54"/>
    <w:rsid w:val="00E17A7F"/>
    <w:rsid w:val="00E31713"/>
    <w:rsid w:val="00E31EEA"/>
    <w:rsid w:val="00E3555F"/>
    <w:rsid w:val="00E403E3"/>
    <w:rsid w:val="00E46A29"/>
    <w:rsid w:val="00E62784"/>
    <w:rsid w:val="00E66489"/>
    <w:rsid w:val="00E77850"/>
    <w:rsid w:val="00E824F4"/>
    <w:rsid w:val="00E91A88"/>
    <w:rsid w:val="00E95968"/>
    <w:rsid w:val="00E9685B"/>
    <w:rsid w:val="00EA3D3B"/>
    <w:rsid w:val="00EA7202"/>
    <w:rsid w:val="00EB3D4B"/>
    <w:rsid w:val="00EC0147"/>
    <w:rsid w:val="00EC7AB1"/>
    <w:rsid w:val="00ED4A4E"/>
    <w:rsid w:val="00ED5C8F"/>
    <w:rsid w:val="00EE0B31"/>
    <w:rsid w:val="00EF27DF"/>
    <w:rsid w:val="00F008EF"/>
    <w:rsid w:val="00F13430"/>
    <w:rsid w:val="00F20C3C"/>
    <w:rsid w:val="00F26F46"/>
    <w:rsid w:val="00F32580"/>
    <w:rsid w:val="00F36552"/>
    <w:rsid w:val="00F4683A"/>
    <w:rsid w:val="00F54586"/>
    <w:rsid w:val="00F546DF"/>
    <w:rsid w:val="00F577A1"/>
    <w:rsid w:val="00F70EA5"/>
    <w:rsid w:val="00F71237"/>
    <w:rsid w:val="00F74691"/>
    <w:rsid w:val="00F81FC9"/>
    <w:rsid w:val="00FA1B5C"/>
    <w:rsid w:val="00FA63BC"/>
    <w:rsid w:val="00FC06C0"/>
    <w:rsid w:val="00FC11B8"/>
    <w:rsid w:val="00FC2F7B"/>
    <w:rsid w:val="00FC3401"/>
    <w:rsid w:val="00FC4277"/>
    <w:rsid w:val="00FD6684"/>
    <w:rsid w:val="00FD6F83"/>
    <w:rsid w:val="00FD7BAE"/>
    <w:rsid w:val="00FE364D"/>
    <w:rsid w:val="00FF62EC"/>
    <w:rsid w:val="00FF7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4691"/>
    <w:pPr>
      <w:bidi/>
    </w:pPr>
    <w:rPr>
      <w:rFonts w:ascii="Calibri" w:eastAsia="Calibri" w:hAnsi="Calibri"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74691"/>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B84F0A"/>
    <w:pPr>
      <w:ind w:left="720"/>
      <w:contextualSpacing/>
    </w:pPr>
  </w:style>
  <w:style w:type="paragraph" w:styleId="a6">
    <w:name w:val="header"/>
    <w:basedOn w:val="a0"/>
    <w:link w:val="a7"/>
    <w:unhideWhenUsed/>
    <w:rsid w:val="00A81EE4"/>
    <w:pPr>
      <w:tabs>
        <w:tab w:val="center" w:pos="4680"/>
        <w:tab w:val="right" w:pos="9360"/>
      </w:tabs>
      <w:spacing w:after="0" w:line="240" w:lineRule="auto"/>
    </w:pPr>
  </w:style>
  <w:style w:type="character" w:customStyle="1" w:styleId="a7">
    <w:name w:val="Верхний колонтитул Знак"/>
    <w:basedOn w:val="a1"/>
    <w:link w:val="a6"/>
    <w:rsid w:val="00A81EE4"/>
    <w:rPr>
      <w:rFonts w:ascii="Calibri" w:eastAsia="Calibri" w:hAnsi="Calibri" w:cs="Arial"/>
    </w:rPr>
  </w:style>
  <w:style w:type="paragraph" w:styleId="a8">
    <w:name w:val="footer"/>
    <w:basedOn w:val="a0"/>
    <w:link w:val="a9"/>
    <w:uiPriority w:val="99"/>
    <w:unhideWhenUsed/>
    <w:rsid w:val="00A81EE4"/>
    <w:pPr>
      <w:tabs>
        <w:tab w:val="center" w:pos="4680"/>
        <w:tab w:val="right" w:pos="9360"/>
      </w:tabs>
      <w:spacing w:after="0" w:line="240" w:lineRule="auto"/>
    </w:pPr>
  </w:style>
  <w:style w:type="character" w:customStyle="1" w:styleId="a9">
    <w:name w:val="Нижний колонтитул Знак"/>
    <w:basedOn w:val="a1"/>
    <w:link w:val="a8"/>
    <w:uiPriority w:val="99"/>
    <w:rsid w:val="00A81EE4"/>
    <w:rPr>
      <w:rFonts w:ascii="Calibri" w:eastAsia="Calibri" w:hAnsi="Calibri" w:cs="Arial"/>
    </w:rPr>
  </w:style>
  <w:style w:type="paragraph" w:styleId="a">
    <w:name w:val="List"/>
    <w:basedOn w:val="a0"/>
    <w:link w:val="aa"/>
    <w:autoRedefine/>
    <w:rsid w:val="003658F4"/>
    <w:pPr>
      <w:numPr>
        <w:numId w:val="13"/>
      </w:numPr>
      <w:bidi w:val="0"/>
      <w:spacing w:after="0" w:line="240" w:lineRule="auto"/>
      <w:jc w:val="both"/>
    </w:pPr>
    <w:rPr>
      <w:rFonts w:ascii="Times New Roman" w:eastAsia="Times New Roman" w:hAnsi="Times New Roman" w:cs="Times New Roman"/>
      <w:snapToGrid w:val="0"/>
      <w:sz w:val="24"/>
      <w:szCs w:val="24"/>
      <w:lang w:eastAsia="ru-RU" w:bidi="ar-SA"/>
    </w:rPr>
  </w:style>
  <w:style w:type="character" w:customStyle="1" w:styleId="aa">
    <w:name w:val="Список Знак"/>
    <w:link w:val="a"/>
    <w:rsid w:val="003658F4"/>
    <w:rPr>
      <w:rFonts w:ascii="Times New Roman" w:eastAsia="Times New Roman" w:hAnsi="Times New Roman" w:cs="Times New Roman"/>
      <w:snapToGrid w:val="0"/>
      <w:sz w:val="24"/>
      <w:szCs w:val="24"/>
      <w:lang w:eastAsia="ru-RU" w:bidi="ar-SA"/>
    </w:rPr>
  </w:style>
  <w:style w:type="paragraph" w:styleId="ab">
    <w:name w:val="Balloon Text"/>
    <w:basedOn w:val="a0"/>
    <w:link w:val="ac"/>
    <w:uiPriority w:val="99"/>
    <w:semiHidden/>
    <w:unhideWhenUsed/>
    <w:rsid w:val="00BA0B9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BA0B9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4691"/>
    <w:pPr>
      <w:bidi/>
    </w:pPr>
    <w:rPr>
      <w:rFonts w:ascii="Calibri" w:eastAsia="Calibri" w:hAnsi="Calibri"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74691"/>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B84F0A"/>
    <w:pPr>
      <w:ind w:left="720"/>
      <w:contextualSpacing/>
    </w:pPr>
  </w:style>
  <w:style w:type="paragraph" w:styleId="a6">
    <w:name w:val="header"/>
    <w:basedOn w:val="a0"/>
    <w:link w:val="a7"/>
    <w:unhideWhenUsed/>
    <w:rsid w:val="00A81EE4"/>
    <w:pPr>
      <w:tabs>
        <w:tab w:val="center" w:pos="4680"/>
        <w:tab w:val="right" w:pos="9360"/>
      </w:tabs>
      <w:spacing w:after="0" w:line="240" w:lineRule="auto"/>
    </w:pPr>
  </w:style>
  <w:style w:type="character" w:customStyle="1" w:styleId="a7">
    <w:name w:val="Верхний колонтитул Знак"/>
    <w:basedOn w:val="a1"/>
    <w:link w:val="a6"/>
    <w:rsid w:val="00A81EE4"/>
    <w:rPr>
      <w:rFonts w:ascii="Calibri" w:eastAsia="Calibri" w:hAnsi="Calibri" w:cs="Arial"/>
    </w:rPr>
  </w:style>
  <w:style w:type="paragraph" w:styleId="a8">
    <w:name w:val="footer"/>
    <w:basedOn w:val="a0"/>
    <w:link w:val="a9"/>
    <w:uiPriority w:val="99"/>
    <w:unhideWhenUsed/>
    <w:rsid w:val="00A81EE4"/>
    <w:pPr>
      <w:tabs>
        <w:tab w:val="center" w:pos="4680"/>
        <w:tab w:val="right" w:pos="9360"/>
      </w:tabs>
      <w:spacing w:after="0" w:line="240" w:lineRule="auto"/>
    </w:pPr>
  </w:style>
  <w:style w:type="character" w:customStyle="1" w:styleId="a9">
    <w:name w:val="Нижний колонтитул Знак"/>
    <w:basedOn w:val="a1"/>
    <w:link w:val="a8"/>
    <w:uiPriority w:val="99"/>
    <w:rsid w:val="00A81EE4"/>
    <w:rPr>
      <w:rFonts w:ascii="Calibri" w:eastAsia="Calibri" w:hAnsi="Calibri" w:cs="Arial"/>
    </w:rPr>
  </w:style>
  <w:style w:type="paragraph" w:styleId="a">
    <w:name w:val="List"/>
    <w:basedOn w:val="a0"/>
    <w:link w:val="aa"/>
    <w:autoRedefine/>
    <w:rsid w:val="003658F4"/>
    <w:pPr>
      <w:numPr>
        <w:numId w:val="13"/>
      </w:numPr>
      <w:bidi w:val="0"/>
      <w:spacing w:after="0" w:line="240" w:lineRule="auto"/>
      <w:jc w:val="both"/>
    </w:pPr>
    <w:rPr>
      <w:rFonts w:ascii="Times New Roman" w:eastAsia="Times New Roman" w:hAnsi="Times New Roman" w:cs="Times New Roman"/>
      <w:snapToGrid w:val="0"/>
      <w:sz w:val="24"/>
      <w:szCs w:val="24"/>
      <w:lang w:eastAsia="ru-RU" w:bidi="ar-SA"/>
    </w:rPr>
  </w:style>
  <w:style w:type="character" w:customStyle="1" w:styleId="aa">
    <w:name w:val="Список Знак"/>
    <w:link w:val="a"/>
    <w:rsid w:val="003658F4"/>
    <w:rPr>
      <w:rFonts w:ascii="Times New Roman" w:eastAsia="Times New Roman" w:hAnsi="Times New Roman" w:cs="Times New Roman"/>
      <w:snapToGrid w:val="0"/>
      <w:sz w:val="24"/>
      <w:szCs w:val="24"/>
      <w:lang w:eastAsia="ru-RU" w:bidi="ar-SA"/>
    </w:rPr>
  </w:style>
  <w:style w:type="paragraph" w:styleId="ab">
    <w:name w:val="Balloon Text"/>
    <w:basedOn w:val="a0"/>
    <w:link w:val="ac"/>
    <w:uiPriority w:val="99"/>
    <w:semiHidden/>
    <w:unhideWhenUsed/>
    <w:rsid w:val="00BA0B9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BA0B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1861</Words>
  <Characters>10608</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Talebzadeh Ahmadreza</dc:creator>
  <cp:lastModifiedBy>Шевелёв Андрей Николаевич</cp:lastModifiedBy>
  <cp:revision>2</cp:revision>
  <cp:lastPrinted>2016-07-20T11:58:00Z</cp:lastPrinted>
  <dcterms:created xsi:type="dcterms:W3CDTF">2016-07-29T06:59:00Z</dcterms:created>
  <dcterms:modified xsi:type="dcterms:W3CDTF">2016-07-29T06:59:00Z</dcterms:modified>
</cp:coreProperties>
</file>