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3C" w:rsidRDefault="00D5703C" w:rsidP="00D5703C">
      <w:pPr>
        <w:spacing w:line="480" w:lineRule="auto"/>
        <w:jc w:val="center"/>
        <w:rPr>
          <w:sz w:val="28"/>
          <w:szCs w:val="28"/>
        </w:rPr>
      </w:pPr>
      <w:bookmarkStart w:id="0" w:name="_Toc460245398"/>
      <w:bookmarkStart w:id="1" w:name="_Ref459980390"/>
      <w:r>
        <w:rPr>
          <w:sz w:val="28"/>
          <w:szCs w:val="28"/>
        </w:rPr>
        <w:t>СОДЕРЖАНИЕ</w:t>
      </w:r>
    </w:p>
    <w:p w:rsidR="0091017A" w:rsidRDefault="00D5703C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7735398" w:history="1">
        <w:r w:rsidR="0091017A" w:rsidRPr="00AD3F24">
          <w:rPr>
            <w:rStyle w:val="ae"/>
          </w:rPr>
          <w:t>1</w:t>
        </w:r>
        <w:r w:rsidR="0091017A"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="0091017A" w:rsidRPr="00AD3F24">
          <w:rPr>
            <w:rStyle w:val="ae"/>
          </w:rPr>
          <w:t>Анализ текущих данных по кампании №4 на АЭС Бушер-1</w:t>
        </w:r>
        <w:r w:rsidR="0091017A">
          <w:rPr>
            <w:webHidden/>
          </w:rPr>
          <w:tab/>
        </w:r>
        <w:r w:rsidR="0091017A">
          <w:rPr>
            <w:webHidden/>
          </w:rPr>
          <w:fldChar w:fldCharType="begin"/>
        </w:r>
        <w:r w:rsidR="0091017A">
          <w:rPr>
            <w:webHidden/>
          </w:rPr>
          <w:instrText xml:space="preserve"> PAGEREF _Toc497735398 \h </w:instrText>
        </w:r>
        <w:r w:rsidR="0091017A">
          <w:rPr>
            <w:webHidden/>
          </w:rPr>
        </w:r>
        <w:r w:rsidR="0091017A">
          <w:rPr>
            <w:webHidden/>
          </w:rPr>
          <w:fldChar w:fldCharType="separate"/>
        </w:r>
        <w:r w:rsidR="0091017A">
          <w:rPr>
            <w:webHidden/>
          </w:rPr>
          <w:t>6</w:t>
        </w:r>
        <w:r w:rsidR="0091017A">
          <w:rPr>
            <w:webHidden/>
          </w:rPr>
          <w:fldChar w:fldCharType="end"/>
        </w:r>
      </w:hyperlink>
    </w:p>
    <w:p w:rsidR="0091017A" w:rsidRDefault="0091017A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7735399" w:history="1">
        <w:r w:rsidRPr="00AD3F24">
          <w:rPr>
            <w:rStyle w:val="a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Pr="00AD3F24">
          <w:rPr>
            <w:rStyle w:val="ae"/>
          </w:rPr>
          <w:t>Параметры работы реактора и активность теплоносителя в 1</w:t>
        </w:r>
        <w:r w:rsidRPr="00AD3F24">
          <w:rPr>
            <w:rStyle w:val="ae"/>
            <w:vertAlign w:val="superscript"/>
          </w:rPr>
          <w:t>-ом</w:t>
        </w:r>
        <w:r w:rsidRPr="00AD3F24">
          <w:rPr>
            <w:rStyle w:val="ae"/>
          </w:rPr>
          <w:t xml:space="preserve"> контуре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_Toc497735399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1017A" w:rsidRDefault="0091017A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7735400" w:history="1">
        <w:r w:rsidRPr="00AD3F24">
          <w:rPr>
            <w:rStyle w:val="a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Pr="00AD3F24">
          <w:rPr>
            <w:rStyle w:val="ae"/>
          </w:rPr>
          <w:t>Состояние топлив</w:t>
        </w:r>
        <w:r w:rsidRPr="00AD3F24">
          <w:rPr>
            <w:rStyle w:val="ae"/>
          </w:rPr>
          <w:t>а</w:t>
        </w:r>
        <w:r w:rsidRPr="00AD3F24">
          <w:rPr>
            <w:rStyle w:val="ae"/>
          </w:rPr>
          <w:t xml:space="preserve"> до 21 сентября 2017 г.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_Toc497735400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1017A" w:rsidRDefault="0091017A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7735401" w:history="1">
        <w:r w:rsidRPr="00AD3F24">
          <w:rPr>
            <w:rStyle w:val="a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Pr="00AD3F24">
          <w:rPr>
            <w:rStyle w:val="ae"/>
          </w:rPr>
          <w:t>Текущее состояние топлива в активной зоне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_Toc497735401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1017A" w:rsidRDefault="0091017A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7735402" w:history="1">
        <w:r w:rsidRPr="00AD3F24">
          <w:rPr>
            <w:rStyle w:val="a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Pr="00AD3F24">
          <w:rPr>
            <w:rStyle w:val="ae"/>
          </w:rPr>
          <w:t>Выводы и рекомендации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_Toc497735402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91017A" w:rsidRDefault="0091017A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497735403" w:history="1">
        <w:r w:rsidRPr="00AD3F24">
          <w:rPr>
            <w:rStyle w:val="ae"/>
          </w:rPr>
          <w:t>Список использованных источников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_Toc497735403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301389" w:rsidRDefault="00D5703C" w:rsidP="00D5703C">
      <w:r>
        <w:fldChar w:fldCharType="end"/>
      </w:r>
      <w:r w:rsidR="00301389">
        <w:br w:type="page"/>
      </w:r>
    </w:p>
    <w:p w:rsidR="00301389" w:rsidRPr="00DA4F1A" w:rsidRDefault="00301389" w:rsidP="00301389">
      <w:pPr>
        <w:pStyle w:val="af"/>
        <w:jc w:val="center"/>
        <w:rPr>
          <w:bCs/>
          <w:sz w:val="28"/>
          <w:szCs w:val="28"/>
        </w:rPr>
      </w:pPr>
      <w:r w:rsidRPr="000873C4">
        <w:rPr>
          <w:bCs/>
          <w:sz w:val="28"/>
          <w:szCs w:val="28"/>
        </w:rPr>
        <w:lastRenderedPageBreak/>
        <w:t>СПИСОК СОКРАЩЕНИЙ</w:t>
      </w:r>
    </w:p>
    <w:p w:rsidR="00301389" w:rsidRDefault="00301389" w:rsidP="00301389">
      <w:pPr>
        <w:pStyle w:val="a7"/>
        <w:keepNext w:val="0"/>
        <w:spacing w:after="0"/>
        <w:outlineLvl w:val="9"/>
        <w:rPr>
          <w:caps/>
          <w:sz w:val="24"/>
        </w:rPr>
      </w:pPr>
    </w:p>
    <w:p w:rsidR="00301389" w:rsidRPr="006E70E2" w:rsidRDefault="00301389" w:rsidP="00301389">
      <w:pPr>
        <w:pStyle w:val="af"/>
      </w:pPr>
      <w:r w:rsidRPr="006E70E2">
        <w:t>АЭС</w:t>
      </w:r>
      <w:r w:rsidRPr="006E70E2">
        <w:tab/>
        <w:t>–</w:t>
      </w:r>
      <w:r w:rsidRPr="006E70E2">
        <w:tab/>
        <w:t>Атомная электрическая станция</w:t>
      </w:r>
    </w:p>
    <w:p w:rsidR="00301389" w:rsidRPr="006E70E2" w:rsidRDefault="00301389" w:rsidP="00301389">
      <w:pPr>
        <w:pStyle w:val="af"/>
      </w:pPr>
      <w:r w:rsidRPr="006E70E2">
        <w:t>ВВЭР</w:t>
      </w:r>
      <w:r w:rsidRPr="006E70E2">
        <w:tab/>
        <w:t>–</w:t>
      </w:r>
      <w:r w:rsidRPr="006E70E2">
        <w:tab/>
        <w:t>Водо-водяной энергетический реактор</w:t>
      </w:r>
    </w:p>
    <w:p w:rsidR="00301389" w:rsidRPr="006E70E2" w:rsidRDefault="00301389" w:rsidP="00301389">
      <w:pPr>
        <w:pStyle w:val="af"/>
      </w:pPr>
      <w:r w:rsidRPr="006E70E2">
        <w:t>ИРГ</w:t>
      </w:r>
      <w:r w:rsidRPr="006E70E2">
        <w:tab/>
        <w:t>–</w:t>
      </w:r>
      <w:r w:rsidRPr="006E70E2">
        <w:tab/>
        <w:t>Инертные радиоактивные газы</w:t>
      </w:r>
    </w:p>
    <w:p w:rsidR="00301389" w:rsidRPr="006E70E2" w:rsidRDefault="00301389" w:rsidP="00301389">
      <w:pPr>
        <w:pStyle w:val="af"/>
      </w:pPr>
      <w:r w:rsidRPr="006E70E2">
        <w:t>КГО</w:t>
      </w:r>
      <w:r w:rsidRPr="006E70E2">
        <w:tab/>
        <w:t>–</w:t>
      </w:r>
      <w:r w:rsidRPr="006E70E2">
        <w:tab/>
        <w:t>Контроль герметичности оболочек (твэлов)</w:t>
      </w:r>
    </w:p>
    <w:p w:rsidR="00301389" w:rsidRDefault="00301389" w:rsidP="00301389">
      <w:pPr>
        <w:pStyle w:val="af"/>
      </w:pPr>
      <w:r w:rsidRPr="00EE5256">
        <w:t>ППР</w:t>
      </w:r>
      <w:r w:rsidRPr="00EE5256">
        <w:tab/>
        <w:t>–</w:t>
      </w:r>
      <w:r w:rsidRPr="00EE5256">
        <w:tab/>
      </w:r>
      <w:r>
        <w:rPr>
          <w:sz w:val="26"/>
          <w:szCs w:val="26"/>
        </w:rPr>
        <w:t xml:space="preserve">Планово-предупредительный </w:t>
      </w:r>
      <w:r w:rsidRPr="00EE5256">
        <w:t>ремонт</w:t>
      </w:r>
    </w:p>
    <w:p w:rsidR="00301389" w:rsidRPr="00EE5256" w:rsidRDefault="00301389" w:rsidP="00301389">
      <w:pPr>
        <w:pStyle w:val="af"/>
      </w:pPr>
      <w:r>
        <w:t>РУ</w:t>
      </w:r>
      <w:r>
        <w:tab/>
        <w:t>–</w:t>
      </w:r>
      <w:r>
        <w:tab/>
        <w:t>Реакторная установка</w:t>
      </w:r>
    </w:p>
    <w:p w:rsidR="00301389" w:rsidRDefault="00301389" w:rsidP="00301389">
      <w:pPr>
        <w:pStyle w:val="af"/>
      </w:pPr>
      <w:r>
        <w:t>ТВС</w:t>
      </w:r>
      <w:r>
        <w:tab/>
        <w:t>–</w:t>
      </w:r>
      <w:r>
        <w:tab/>
        <w:t>Тепловыделяющая сборка</w:t>
      </w:r>
    </w:p>
    <w:p w:rsidR="00301389" w:rsidRDefault="00712425" w:rsidP="00301389">
      <w:pPr>
        <w:pStyle w:val="af"/>
      </w:pPr>
      <w:r>
        <w:t>СОДС</w:t>
      </w:r>
      <w:r w:rsidR="00301389">
        <w:tab/>
        <w:t>–</w:t>
      </w:r>
      <w:r w:rsidR="00301389">
        <w:tab/>
      </w:r>
      <w:r>
        <w:t>Система обнаружения дефектных сборок</w:t>
      </w:r>
    </w:p>
    <w:p w:rsidR="00301389" w:rsidRPr="00301389" w:rsidRDefault="00301389" w:rsidP="00D5703C"/>
    <w:p w:rsidR="00D5703C" w:rsidRDefault="00D5703C">
      <w:pPr>
        <w:rPr>
          <w:bCs/>
          <w:smallCaps/>
          <w:kern w:val="32"/>
          <w:sz w:val="28"/>
          <w:szCs w:val="32"/>
        </w:rPr>
      </w:pPr>
      <w:r>
        <w:br w:type="page"/>
      </w:r>
    </w:p>
    <w:p w:rsidR="00D5703C" w:rsidRPr="00D055B3" w:rsidRDefault="00D055B3" w:rsidP="00D055B3">
      <w:pPr>
        <w:pStyle w:val="1"/>
        <w:rPr>
          <w:szCs w:val="28"/>
        </w:rPr>
      </w:pPr>
      <w:bookmarkStart w:id="2" w:name="_Toc497735398"/>
      <w:bookmarkEnd w:id="0"/>
      <w:bookmarkEnd w:id="1"/>
      <w:r w:rsidRPr="00D055B3">
        <w:rPr>
          <w:szCs w:val="28"/>
        </w:rPr>
        <w:lastRenderedPageBreak/>
        <w:t xml:space="preserve">Анализ текущих данных </w:t>
      </w:r>
      <w:r>
        <w:rPr>
          <w:szCs w:val="28"/>
        </w:rPr>
        <w:t xml:space="preserve">по </w:t>
      </w:r>
      <w:r w:rsidRPr="00D055B3">
        <w:rPr>
          <w:szCs w:val="28"/>
        </w:rPr>
        <w:t xml:space="preserve">кампании №4 на </w:t>
      </w:r>
      <w:r w:rsidR="00CE6624" w:rsidRPr="00D055B3">
        <w:rPr>
          <w:szCs w:val="28"/>
        </w:rPr>
        <w:t xml:space="preserve">АЭС </w:t>
      </w:r>
      <w:r w:rsidRPr="00D055B3">
        <w:rPr>
          <w:szCs w:val="28"/>
        </w:rPr>
        <w:t>Бушер</w:t>
      </w:r>
      <w:r w:rsidR="00CE6624" w:rsidRPr="00D055B3">
        <w:rPr>
          <w:szCs w:val="28"/>
        </w:rPr>
        <w:t>-1</w:t>
      </w:r>
      <w:bookmarkEnd w:id="2"/>
    </w:p>
    <w:p w:rsidR="00EE4149" w:rsidRPr="00EE4149" w:rsidRDefault="00CE6624" w:rsidP="00CE6624">
      <w:pPr>
        <w:pStyle w:val="2"/>
      </w:pPr>
      <w:bookmarkStart w:id="3" w:name="_Toc497735399"/>
      <w:r w:rsidRPr="00CE6624">
        <w:t>Параметры работы реактора и активность теплоносителя в 1</w:t>
      </w:r>
      <w:r w:rsidRPr="00B559C2">
        <w:rPr>
          <w:vertAlign w:val="superscript"/>
        </w:rPr>
        <w:t>-ом</w:t>
      </w:r>
      <w:r w:rsidRPr="00CE6624">
        <w:t xml:space="preserve"> контуре</w:t>
      </w:r>
      <w:bookmarkEnd w:id="3"/>
    </w:p>
    <w:p w:rsidR="00144A5C" w:rsidRDefault="00144A5C" w:rsidP="00144A5C">
      <w:pPr>
        <w:pStyle w:val="a5"/>
      </w:pPr>
      <w:bookmarkStart w:id="4" w:name="_Ref468699052"/>
      <w:bookmarkStart w:id="5" w:name="_Toc477875161"/>
      <w:bookmarkStart w:id="6" w:name="_Toc457489643"/>
      <w:bookmarkStart w:id="7" w:name="_Toc374367638"/>
      <w:r>
        <w:t>Основные</w:t>
      </w:r>
      <w:r w:rsidRPr="00D93194">
        <w:t xml:space="preserve"> параметр</w:t>
      </w:r>
      <w:r>
        <w:t>ы</w:t>
      </w:r>
      <w:r w:rsidRPr="00D93194">
        <w:t xml:space="preserve"> работы энергоблока №</w:t>
      </w:r>
      <w:r w:rsidRPr="006254D1">
        <w:t>1</w:t>
      </w:r>
      <w:r w:rsidR="00B559C2">
        <w:t>,</w:t>
      </w:r>
      <w:r w:rsidRPr="00D93194">
        <w:t xml:space="preserve"> активности </w:t>
      </w:r>
      <w:r w:rsidR="00B559C2">
        <w:t xml:space="preserve">и соотношения активностей </w:t>
      </w:r>
      <w:r>
        <w:t xml:space="preserve">реперных радионуклидов в </w:t>
      </w:r>
      <w:r w:rsidRPr="00D93194">
        <w:t>теп</w:t>
      </w:r>
      <w:r>
        <w:t xml:space="preserve">лоносителе в ходе </w:t>
      </w:r>
      <w:r w:rsidRPr="00D20A7E">
        <w:t>4</w:t>
      </w:r>
      <w:r w:rsidRPr="00D93194">
        <w:rPr>
          <w:vertAlign w:val="superscript"/>
        </w:rPr>
        <w:t>-</w:t>
      </w:r>
      <w:r>
        <w:rPr>
          <w:vertAlign w:val="superscript"/>
        </w:rPr>
        <w:t>о</w:t>
      </w:r>
      <w:r w:rsidRPr="00D93194">
        <w:rPr>
          <w:vertAlign w:val="superscript"/>
        </w:rPr>
        <w:t>й</w:t>
      </w:r>
      <w:r w:rsidRPr="00093BCA">
        <w:t xml:space="preserve"> </w:t>
      </w:r>
      <w:r w:rsidRPr="00D93194">
        <w:t xml:space="preserve">кампании </w:t>
      </w:r>
      <w:r w:rsidR="00B559C2">
        <w:t>за период с 1 </w:t>
      </w:r>
      <w:r>
        <w:t xml:space="preserve">апреля по </w:t>
      </w:r>
      <w:r w:rsidRPr="0079361E">
        <w:t>15</w:t>
      </w:r>
      <w:r>
        <w:t xml:space="preserve"> октября</w:t>
      </w:r>
      <w:r w:rsidRPr="00D93194">
        <w:t xml:space="preserve"> 201</w:t>
      </w:r>
      <w:r>
        <w:t>7</w:t>
      </w:r>
      <w:r w:rsidRPr="00D93194">
        <w:t> г.</w:t>
      </w:r>
      <w:r>
        <w:t xml:space="preserve"> </w:t>
      </w:r>
      <w:r w:rsidRPr="00D93194">
        <w:t>показаны на рисунках</w:t>
      </w:r>
      <w:r>
        <w:t xml:space="preserve"> </w:t>
      </w:r>
      <w:r>
        <w:fldChar w:fldCharType="begin"/>
      </w:r>
      <w:r>
        <w:instrText xml:space="preserve"> REF Бушер_1_ТК4_йоды \h </w:instrText>
      </w:r>
      <w:r>
        <w:fldChar w:fldCharType="separate"/>
      </w:r>
      <w:r w:rsidR="0091017A">
        <w:t>1</w:t>
      </w:r>
      <w:r>
        <w:fldChar w:fldCharType="end"/>
      </w:r>
      <w:r>
        <w:t>-</w:t>
      </w:r>
      <w:r>
        <w:fldChar w:fldCharType="begin"/>
      </w:r>
      <w:r>
        <w:instrText xml:space="preserve"> REF  Бушер_1_ТК4_отн_Xe_I \h </w:instrText>
      </w:r>
      <w:r>
        <w:fldChar w:fldCharType="separate"/>
      </w:r>
      <w:r w:rsidR="0091017A" w:rsidRPr="00BD60A5">
        <w:t>7</w:t>
      </w:r>
      <w:r>
        <w:fldChar w:fldCharType="end"/>
      </w:r>
      <w:r w:rsidRPr="00D93194">
        <w:t>.</w:t>
      </w:r>
    </w:p>
    <w:p w:rsidR="00144A5C" w:rsidRDefault="00144A5C" w:rsidP="00144A5C"/>
    <w:p w:rsidR="00144A5C" w:rsidRDefault="00144A5C" w:rsidP="00144A5C">
      <w:pPr>
        <w:pStyle w:val="a5"/>
        <w:ind w:firstLine="0"/>
      </w:pPr>
      <w:r>
        <w:rPr>
          <w:noProof/>
        </w:rPr>
        <w:drawing>
          <wp:inline distT="0" distB="0" distL="0" distR="0" wp14:anchorId="149B298E" wp14:editId="1F95E1F0">
            <wp:extent cx="5939790" cy="3328035"/>
            <wp:effectExtent l="0" t="0" r="381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EM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32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5C" w:rsidRPr="00BD60A5" w:rsidRDefault="00144A5C" w:rsidP="00BD60A5">
      <w:pPr>
        <w:pStyle w:val="a9"/>
        <w:spacing w:before="120"/>
      </w:pPr>
      <w:r>
        <w:t xml:space="preserve">Рисунок </w:t>
      </w:r>
      <w:bookmarkStart w:id="8" w:name="Бушер_1_ТК4_йоды"/>
      <w:r>
        <w:t>1</w:t>
      </w:r>
      <w:bookmarkEnd w:id="8"/>
      <w:r>
        <w:t xml:space="preserve"> – П</w:t>
      </w:r>
      <w:r w:rsidRPr="007019D9">
        <w:t>араметры работы блока</w:t>
      </w:r>
      <w:r>
        <w:t xml:space="preserve"> и</w:t>
      </w:r>
      <w:r w:rsidRPr="007019D9">
        <w:t xml:space="preserve"> активности </w:t>
      </w:r>
      <w:r>
        <w:t xml:space="preserve">(Ки/кг) </w:t>
      </w:r>
      <w:r w:rsidRPr="007019D9">
        <w:t xml:space="preserve">радионуклидов йода </w:t>
      </w:r>
      <w:r>
        <w:t>во время кампании №4 на АЭС Бушер-1</w:t>
      </w:r>
    </w:p>
    <w:p w:rsidR="00144A5C" w:rsidRPr="00415DFD" w:rsidRDefault="00144A5C" w:rsidP="00144A5C">
      <w:pPr>
        <w:pStyle w:val="a9"/>
        <w:spacing w:before="120"/>
        <w:ind w:left="0"/>
        <w:jc w:val="left"/>
      </w:pPr>
    </w:p>
    <w:p w:rsidR="00144A5C" w:rsidRDefault="00144A5C" w:rsidP="00144A5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Соотношение приведенных активностей</w:t>
      </w:r>
    </w:p>
    <w:p w:rsidR="00144A5C" w:rsidRDefault="00BD60A5" w:rsidP="00144A5C">
      <w:r>
        <w:rPr>
          <w:noProof/>
          <w:lang w:eastAsia="ru-RU"/>
        </w:rPr>
        <w:drawing>
          <wp:inline distT="0" distB="0" distL="0" distR="0" wp14:anchorId="54097440" wp14:editId="09BDA0B5">
            <wp:extent cx="6342558" cy="1469525"/>
            <wp:effectExtent l="0" t="0" r="0" b="0"/>
            <wp:docPr id="1179" name="Рисунок 1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11" t="4456" r="8349"/>
                    <a:stretch/>
                  </pic:blipFill>
                  <pic:spPr bwMode="auto">
                    <a:xfrm>
                      <a:off x="0" y="0"/>
                      <a:ext cx="6347277" cy="1470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4A5C" w:rsidRDefault="00144A5C" w:rsidP="00144A5C">
      <w:pPr>
        <w:pStyle w:val="a9"/>
        <w:spacing w:before="120"/>
      </w:pPr>
      <w:r>
        <w:t xml:space="preserve">Рисунок </w:t>
      </w:r>
      <w:bookmarkStart w:id="9" w:name="Бушер_1_ТК4_отн_прив_акт"/>
      <w:r w:rsidR="00BD60A5" w:rsidRPr="00BD60A5">
        <w:t>2</w:t>
      </w:r>
      <w:bookmarkEnd w:id="9"/>
      <w:r>
        <w:t xml:space="preserve"> – С</w:t>
      </w:r>
      <w:r w:rsidRPr="007019D9">
        <w:t xml:space="preserve">оотношение </w:t>
      </w:r>
      <w:r w:rsidRPr="00B94929">
        <w:t>приведенных активностей</w:t>
      </w:r>
      <w:r>
        <w:t xml:space="preserve"> радионуклидов йода при работе реактора в стационарных условиях во время кампании №4 на АЭС Бушер-1; вертикальная ось </w:t>
      </w:r>
      <w:r w:rsidRPr="00061CB8">
        <w:t>справа</w:t>
      </w:r>
      <w:r>
        <w:t xml:space="preserve"> – тепловая мощность РУ (МВт)</w:t>
      </w:r>
    </w:p>
    <w:p w:rsidR="00144A5C" w:rsidRDefault="00144A5C" w:rsidP="00144A5C"/>
    <w:p w:rsidR="00144A5C" w:rsidRDefault="00144A5C" w:rsidP="00144A5C">
      <w:r>
        <w:rPr>
          <w:noProof/>
          <w:lang w:eastAsia="ru-RU"/>
        </w:rPr>
        <w:lastRenderedPageBreak/>
        <w:drawing>
          <wp:inline distT="0" distB="0" distL="0" distR="0" wp14:anchorId="4ACAF0FB" wp14:editId="668BB3FC">
            <wp:extent cx="5939790" cy="1671955"/>
            <wp:effectExtent l="0" t="0" r="3810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EM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5C" w:rsidRDefault="00144A5C" w:rsidP="00144A5C">
      <w:pPr>
        <w:pStyle w:val="a9"/>
        <w:spacing w:before="120"/>
      </w:pPr>
      <w:r>
        <w:t xml:space="preserve">Рисунок </w:t>
      </w:r>
      <w:bookmarkStart w:id="10" w:name="Бушер_1_ТК4_цезий"/>
      <w:r w:rsidR="00BD60A5" w:rsidRPr="00BD60A5">
        <w:t>3</w:t>
      </w:r>
      <w:bookmarkEnd w:id="10"/>
      <w:r>
        <w:t xml:space="preserve"> – А</w:t>
      </w:r>
      <w:r w:rsidRPr="00492614">
        <w:t xml:space="preserve">ктивности (Ки/кг) радионуклидов цезия в </w:t>
      </w:r>
      <w:r>
        <w:t xml:space="preserve">теплоносителе первого контура </w:t>
      </w:r>
      <w:r w:rsidRPr="007019D9">
        <w:t>блока</w:t>
      </w:r>
      <w:r>
        <w:t xml:space="preserve"> №1 в ходе 4</w:t>
      </w:r>
      <w:r w:rsidRPr="00314EA2">
        <w:rPr>
          <w:vertAlign w:val="superscript"/>
        </w:rPr>
        <w:t>-</w:t>
      </w:r>
      <w:r w:rsidRPr="003D2FD4">
        <w:rPr>
          <w:vertAlign w:val="superscript"/>
        </w:rPr>
        <w:t>ой</w:t>
      </w:r>
      <w:r w:rsidRPr="006A4A24">
        <w:t xml:space="preserve"> кампании</w:t>
      </w:r>
    </w:p>
    <w:p w:rsidR="00144A5C" w:rsidRDefault="00144A5C" w:rsidP="00144A5C"/>
    <w:p w:rsidR="00144A5C" w:rsidRDefault="00144A5C" w:rsidP="00144A5C">
      <w:r>
        <w:rPr>
          <w:noProof/>
          <w:lang w:eastAsia="ru-RU"/>
        </w:rPr>
        <w:drawing>
          <wp:inline distT="0" distB="0" distL="0" distR="0" wp14:anchorId="1884AC7B" wp14:editId="34D9ADAC">
            <wp:extent cx="5939790" cy="1671955"/>
            <wp:effectExtent l="0" t="0" r="381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EM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5C" w:rsidRDefault="00144A5C" w:rsidP="00144A5C">
      <w:pPr>
        <w:pStyle w:val="a9"/>
        <w:spacing w:before="120"/>
      </w:pPr>
      <w:r>
        <w:t xml:space="preserve">Рисунок </w:t>
      </w:r>
      <w:bookmarkStart w:id="11" w:name="Бушер_1_ТК4_газы"/>
      <w:r w:rsidR="00BD60A5" w:rsidRPr="00BD60A5">
        <w:t>4</w:t>
      </w:r>
      <w:bookmarkEnd w:id="11"/>
      <w:r>
        <w:t xml:space="preserve"> – А</w:t>
      </w:r>
      <w:r w:rsidRPr="00492614">
        <w:t>ктивности (Ки/кг) газовых продуктов деления в теплоносителе первого контура</w:t>
      </w:r>
      <w:r>
        <w:t xml:space="preserve"> </w:t>
      </w:r>
      <w:r w:rsidRPr="007019D9">
        <w:t>блока</w:t>
      </w:r>
      <w:r>
        <w:t xml:space="preserve"> №1 во время 4</w:t>
      </w:r>
      <w:r w:rsidRPr="00314EA2">
        <w:rPr>
          <w:vertAlign w:val="superscript"/>
        </w:rPr>
        <w:t>-ой</w:t>
      </w:r>
      <w:r w:rsidRPr="006A4A24">
        <w:t xml:space="preserve"> кампании</w:t>
      </w:r>
    </w:p>
    <w:p w:rsidR="00144A5C" w:rsidRDefault="00144A5C" w:rsidP="00144A5C"/>
    <w:p w:rsidR="00144A5C" w:rsidRDefault="00144A5C" w:rsidP="00144A5C">
      <w:r>
        <w:rPr>
          <w:noProof/>
          <w:lang w:eastAsia="ru-RU"/>
        </w:rPr>
        <w:drawing>
          <wp:inline distT="0" distB="0" distL="0" distR="0" wp14:anchorId="1DE861CC" wp14:editId="76FC9F6E">
            <wp:extent cx="5939790" cy="1671955"/>
            <wp:effectExtent l="0" t="0" r="3810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EM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5C" w:rsidRDefault="00144A5C" w:rsidP="00144A5C">
      <w:pPr>
        <w:pStyle w:val="a9"/>
        <w:spacing w:before="120"/>
      </w:pPr>
      <w:r>
        <w:t xml:space="preserve">Рисунок </w:t>
      </w:r>
      <w:bookmarkStart w:id="12" w:name="Бушер_1_ТК4_корр"/>
      <w:r w:rsidR="00BD60A5" w:rsidRPr="00BD60A5">
        <w:t>5</w:t>
      </w:r>
      <w:bookmarkEnd w:id="12"/>
      <w:r>
        <w:t xml:space="preserve"> – Активности (Ки/кг) активационных и коррозионных продуктов в теплоносителе первого контура во время 4</w:t>
      </w:r>
      <w:r>
        <w:rPr>
          <w:vertAlign w:val="superscript"/>
        </w:rPr>
        <w:t>-ой</w:t>
      </w:r>
      <w:r>
        <w:t xml:space="preserve"> кампании на АЭС Бушер-1</w:t>
      </w:r>
    </w:p>
    <w:p w:rsidR="00144A5C" w:rsidRDefault="00144A5C" w:rsidP="00144A5C"/>
    <w:p w:rsidR="00144A5C" w:rsidRDefault="00144A5C" w:rsidP="00144A5C">
      <w:pPr>
        <w:pStyle w:val="a5"/>
        <w:ind w:firstLine="0"/>
      </w:pPr>
      <w:r>
        <w:rPr>
          <w:noProof/>
        </w:rPr>
        <w:drawing>
          <wp:inline distT="0" distB="0" distL="0" distR="0" wp14:anchorId="547D345F" wp14:editId="624F12A0">
            <wp:extent cx="5939790" cy="1671955"/>
            <wp:effectExtent l="0" t="0" r="3810" b="444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EM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5C" w:rsidRDefault="00144A5C" w:rsidP="00144A5C">
      <w:pPr>
        <w:pStyle w:val="a9"/>
        <w:spacing w:before="120"/>
      </w:pPr>
      <w:r>
        <w:t xml:space="preserve">Рисунок </w:t>
      </w:r>
      <w:bookmarkStart w:id="13" w:name="Бушер_1_ТК4_отн_ИРГ"/>
      <w:r w:rsidR="00BD60A5" w:rsidRPr="00BD60A5">
        <w:t>6</w:t>
      </w:r>
      <w:bookmarkEnd w:id="13"/>
      <w:r>
        <w:t xml:space="preserve"> – О</w:t>
      </w:r>
      <w:r w:rsidRPr="007019D9">
        <w:t xml:space="preserve">тношение </w:t>
      </w:r>
      <w:r w:rsidRPr="00B94929">
        <w:t>активностей</w:t>
      </w:r>
      <w:r>
        <w:t xml:space="preserve"> ИРГ во время кампании №4 на АЭС Бушер-1</w:t>
      </w:r>
    </w:p>
    <w:p w:rsidR="00144A5C" w:rsidRDefault="00144A5C" w:rsidP="00144A5C"/>
    <w:p w:rsidR="00144A5C" w:rsidRDefault="00144A5C" w:rsidP="00144A5C">
      <w:pPr>
        <w:jc w:val="center"/>
        <w:rPr>
          <w:rFonts w:ascii="Arial" w:hAnsi="Arial" w:cs="Arial"/>
          <w:sz w:val="20"/>
          <w:szCs w:val="20"/>
        </w:rPr>
      </w:pPr>
      <w:r w:rsidRPr="004B7406">
        <w:rPr>
          <w:rFonts w:ascii="Arial" w:hAnsi="Arial" w:cs="Arial"/>
          <w:sz w:val="20"/>
          <w:szCs w:val="20"/>
        </w:rPr>
        <w:lastRenderedPageBreak/>
        <w:t xml:space="preserve">Отношения активностей </w:t>
      </w:r>
      <w:proofErr w:type="spellStart"/>
      <w:r w:rsidRPr="004B7406">
        <w:rPr>
          <w:rFonts w:ascii="Arial" w:hAnsi="Arial" w:cs="Arial"/>
          <w:sz w:val="20"/>
          <w:szCs w:val="20"/>
        </w:rPr>
        <w:t>Xe</w:t>
      </w:r>
      <w:proofErr w:type="spellEnd"/>
      <w:r w:rsidRPr="004B7406">
        <w:rPr>
          <w:rFonts w:ascii="Arial" w:hAnsi="Arial" w:cs="Arial"/>
          <w:sz w:val="20"/>
          <w:szCs w:val="20"/>
        </w:rPr>
        <w:t>/I</w:t>
      </w:r>
    </w:p>
    <w:p w:rsidR="00144A5C" w:rsidRDefault="00144A5C" w:rsidP="00144A5C">
      <w:pPr>
        <w:pStyle w:val="a5"/>
        <w:ind w:firstLine="0"/>
      </w:pPr>
      <w:r>
        <w:rPr>
          <w:noProof/>
        </w:rPr>
        <w:drawing>
          <wp:inline distT="0" distB="0" distL="0" distR="0" wp14:anchorId="0E8A7678" wp14:editId="70EF941C">
            <wp:extent cx="6376351" cy="1679250"/>
            <wp:effectExtent l="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44" t="2920" r="8870" b="2697"/>
                    <a:stretch/>
                  </pic:blipFill>
                  <pic:spPr bwMode="auto">
                    <a:xfrm>
                      <a:off x="0" y="0"/>
                      <a:ext cx="6396701" cy="168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4A5C" w:rsidRDefault="00144A5C" w:rsidP="00144A5C">
      <w:pPr>
        <w:pStyle w:val="a9"/>
        <w:spacing w:before="120"/>
      </w:pPr>
      <w:r>
        <w:t xml:space="preserve">Рисунок </w:t>
      </w:r>
      <w:bookmarkStart w:id="14" w:name="Бушер_1_ТК4_отн_Xe_I"/>
      <w:r w:rsidR="00BD60A5" w:rsidRPr="00BD60A5">
        <w:t>7</w:t>
      </w:r>
      <w:bookmarkEnd w:id="14"/>
      <w:r>
        <w:t xml:space="preserve"> – О</w:t>
      </w:r>
      <w:r w:rsidRPr="007019D9">
        <w:t>тношени</w:t>
      </w:r>
      <w:r>
        <w:t>я</w:t>
      </w:r>
      <w:r w:rsidRPr="007019D9">
        <w:t xml:space="preserve"> </w:t>
      </w:r>
      <w:r w:rsidRPr="00B94929">
        <w:t>активностей</w:t>
      </w:r>
      <w:r>
        <w:t xml:space="preserve"> </w:t>
      </w:r>
      <w:proofErr w:type="spellStart"/>
      <w:r>
        <w:rPr>
          <w:lang w:val="en-US"/>
        </w:rPr>
        <w:t>Xe</w:t>
      </w:r>
      <w:proofErr w:type="spellEnd"/>
      <w:r w:rsidRPr="004B7406">
        <w:t>/</w:t>
      </w:r>
      <w:r>
        <w:rPr>
          <w:lang w:val="en-US"/>
        </w:rPr>
        <w:t>I</w:t>
      </w:r>
      <w:r w:rsidRPr="004B7406">
        <w:t xml:space="preserve"> </w:t>
      </w:r>
      <w:r>
        <w:t xml:space="preserve">во время кампании №4 на АЭС Бушер-1; вертикальная ось </w:t>
      </w:r>
      <w:r w:rsidRPr="00061CB8">
        <w:t>справа</w:t>
      </w:r>
      <w:r>
        <w:t xml:space="preserve"> – тепловая мощность РУ (МВт)</w:t>
      </w:r>
    </w:p>
    <w:p w:rsidR="00144A5C" w:rsidRDefault="00144A5C" w:rsidP="00144A5C"/>
    <w:p w:rsidR="00144A5C" w:rsidRDefault="00144A5C" w:rsidP="00144A5C"/>
    <w:p w:rsidR="00144A5C" w:rsidRDefault="00144A5C" w:rsidP="00144A5C">
      <w:pPr>
        <w:pStyle w:val="2"/>
      </w:pPr>
      <w:bookmarkStart w:id="15" w:name="_Ref488923219"/>
      <w:bookmarkStart w:id="16" w:name="_Toc497735400"/>
      <w:bookmarkStart w:id="17" w:name="_GoBack"/>
      <w:bookmarkEnd w:id="17"/>
      <w:r>
        <w:t>Состояние топлива до 21 сентября 2017 г.</w:t>
      </w:r>
      <w:bookmarkEnd w:id="15"/>
      <w:bookmarkEnd w:id="16"/>
    </w:p>
    <w:p w:rsidR="006C1EC6" w:rsidRDefault="00144A5C" w:rsidP="00144A5C">
      <w:pPr>
        <w:pStyle w:val="a5"/>
        <w:rPr>
          <w:lang w:val="en-US"/>
        </w:rPr>
      </w:pPr>
      <w:r>
        <w:t xml:space="preserve">Данные по кампании №4 на АЭС Бушер-1 за период с 1 апреля по </w:t>
      </w:r>
      <w:r w:rsidRPr="00F10523">
        <w:t>31</w:t>
      </w:r>
      <w:r>
        <w:t xml:space="preserve"> июля</w:t>
      </w:r>
      <w:r w:rsidRPr="00D93194">
        <w:t xml:space="preserve"> 201</w:t>
      </w:r>
      <w:r>
        <w:t>7</w:t>
      </w:r>
      <w:r w:rsidRPr="00D93194">
        <w:t> г.</w:t>
      </w:r>
      <w:r>
        <w:t xml:space="preserve"> были проанализированы в</w:t>
      </w:r>
      <w:r w:rsidR="00F33E0B">
        <w:t xml:space="preserve"> технической справке </w:t>
      </w:r>
      <w:r w:rsidR="00F33E0B" w:rsidRPr="00F33E0B">
        <w:t>[</w:t>
      </w:r>
      <w:r w:rsidR="00F33E0B">
        <w:fldChar w:fldCharType="begin"/>
      </w:r>
      <w:r w:rsidR="00F33E0B">
        <w:instrText xml:space="preserve"> REF _Ref497395997 \r \h </w:instrText>
      </w:r>
      <w:r w:rsidR="00F33E0B">
        <w:fldChar w:fldCharType="separate"/>
      </w:r>
      <w:r w:rsidR="0091017A">
        <w:t>1</w:t>
      </w:r>
      <w:r w:rsidR="00F33E0B">
        <w:fldChar w:fldCharType="end"/>
      </w:r>
      <w:r w:rsidR="00F33E0B" w:rsidRPr="00F33E0B">
        <w:t>]</w:t>
      </w:r>
      <w:r w:rsidR="00F33E0B">
        <w:t>.</w:t>
      </w:r>
      <w:r>
        <w:t xml:space="preserve"> </w:t>
      </w:r>
      <w:r w:rsidR="00F33E0B">
        <w:t>После</w:t>
      </w:r>
      <w:r w:rsidR="00B559C2">
        <w:t xml:space="preserve"> этого были дополнительно проанализированы </w:t>
      </w:r>
      <w:r w:rsidR="00F33E0B">
        <w:t>данные за период с 31 июля по 2</w:t>
      </w:r>
      <w:r w:rsidR="00F33E0B" w:rsidRPr="00F10523">
        <w:t>1</w:t>
      </w:r>
      <w:r w:rsidR="00F33E0B">
        <w:t xml:space="preserve"> сентября</w:t>
      </w:r>
      <w:r w:rsidR="00F33E0B" w:rsidRPr="00D93194">
        <w:t xml:space="preserve"> 201</w:t>
      </w:r>
      <w:r w:rsidR="00F33E0B">
        <w:t>7</w:t>
      </w:r>
      <w:r w:rsidR="00F33E0B" w:rsidRPr="00D93194">
        <w:t> г.</w:t>
      </w:r>
      <w:r w:rsidR="00F33E0B">
        <w:t xml:space="preserve"> </w:t>
      </w:r>
    </w:p>
    <w:p w:rsidR="00144A5C" w:rsidRDefault="00144A5C" w:rsidP="00144A5C">
      <w:pPr>
        <w:pStyle w:val="a5"/>
      </w:pPr>
      <w:r>
        <w:t>Были сделаны следующие выводы.</w:t>
      </w:r>
    </w:p>
    <w:p w:rsidR="00144A5C" w:rsidRDefault="00144A5C" w:rsidP="00144A5C">
      <w:pPr>
        <w:pStyle w:val="a5"/>
      </w:pPr>
      <w:r>
        <w:t>По состоянию на 31</w:t>
      </w:r>
      <w:r w:rsidRPr="00080698">
        <w:t xml:space="preserve"> </w:t>
      </w:r>
      <w:r>
        <w:t>июля</w:t>
      </w:r>
      <w:r w:rsidRPr="00D93194">
        <w:t xml:space="preserve"> 201</w:t>
      </w:r>
      <w:r>
        <w:t>7</w:t>
      </w:r>
      <w:r w:rsidRPr="00D93194">
        <w:t> г.</w:t>
      </w:r>
      <w:r>
        <w:t xml:space="preserve"> в активной зоне </w:t>
      </w:r>
      <w:r w:rsidRPr="00F74137">
        <w:t>АЭС Бушер</w:t>
      </w:r>
      <w:r>
        <w:t>-</w:t>
      </w:r>
      <w:r w:rsidRPr="00F74137">
        <w:t xml:space="preserve">1 </w:t>
      </w:r>
      <w:proofErr w:type="gramStart"/>
      <w:r>
        <w:t>имелся</w:t>
      </w:r>
      <w:proofErr w:type="gramEnd"/>
      <w:r w:rsidRPr="00F74137">
        <w:t xml:space="preserve"> по меньшей мере 1 негерметичный твэл.</w:t>
      </w:r>
      <w:r>
        <w:t xml:space="preserve"> Всего в</w:t>
      </w:r>
      <w:r w:rsidR="00B559C2">
        <w:t xml:space="preserve"> активной зоне было не больше 2 </w:t>
      </w:r>
      <w:proofErr w:type="gramStart"/>
      <w:r>
        <w:t>негерметичных</w:t>
      </w:r>
      <w:proofErr w:type="gramEnd"/>
      <w:r>
        <w:t xml:space="preserve"> твэлов. Признаки выноса топливной композиции </w:t>
      </w:r>
      <w:proofErr w:type="gramStart"/>
      <w:r>
        <w:t>из</w:t>
      </w:r>
      <w:proofErr w:type="gramEnd"/>
      <w:r>
        <w:t xml:space="preserve"> негерметичного твэла в теплоноситель отсутствовали. </w:t>
      </w:r>
    </w:p>
    <w:p w:rsidR="00CE6624" w:rsidRPr="00DC691C" w:rsidRDefault="00CE6624" w:rsidP="00B559C2"/>
    <w:p w:rsidR="00CE6624" w:rsidRDefault="00CE6624" w:rsidP="00CE6624">
      <w:pPr>
        <w:pStyle w:val="2"/>
        <w:snapToGrid/>
      </w:pPr>
      <w:bookmarkStart w:id="18" w:name="_Toc497735401"/>
      <w:r>
        <w:t>Текущее состояние топлива</w:t>
      </w:r>
      <w:r w:rsidR="00B559C2">
        <w:t xml:space="preserve"> в активной зоне</w:t>
      </w:r>
      <w:bookmarkEnd w:id="18"/>
    </w:p>
    <w:p w:rsidR="00A22572" w:rsidRDefault="00B559C2" w:rsidP="00144A5C">
      <w:pPr>
        <w:pStyle w:val="a5"/>
      </w:pPr>
      <w:r>
        <w:t xml:space="preserve">Ниже рассмотрены </w:t>
      </w:r>
      <w:r w:rsidR="00144A5C">
        <w:t>данные по кампании №4 на АЭС Бушер-1 за пер</w:t>
      </w:r>
      <w:r w:rsidR="00A22572">
        <w:t>иод с 21 </w:t>
      </w:r>
      <w:r w:rsidR="00144A5C">
        <w:t>сентября</w:t>
      </w:r>
      <w:r w:rsidR="00144A5C" w:rsidRPr="00D93194">
        <w:t xml:space="preserve"> </w:t>
      </w:r>
      <w:r w:rsidR="00144A5C">
        <w:t xml:space="preserve">по 15 октября </w:t>
      </w:r>
      <w:r w:rsidR="00144A5C" w:rsidRPr="00D93194">
        <w:t>201</w:t>
      </w:r>
      <w:r w:rsidR="00144A5C">
        <w:t>7</w:t>
      </w:r>
      <w:r w:rsidR="00144A5C" w:rsidRPr="00D93194">
        <w:t> г.</w:t>
      </w:r>
    </w:p>
    <w:p w:rsidR="00F15364" w:rsidRDefault="00144A5C" w:rsidP="00144A5C">
      <w:pPr>
        <w:pStyle w:val="a5"/>
      </w:pPr>
      <w:r>
        <w:t>В течение анализируемого периода два</w:t>
      </w:r>
      <w:r w:rsidR="00A22572">
        <w:t xml:space="preserve">жды значимо снижалась </w:t>
      </w:r>
      <w:r>
        <w:t>мощност</w:t>
      </w:r>
      <w:r w:rsidR="00A22572">
        <w:t xml:space="preserve">ь РУ: </w:t>
      </w:r>
      <w:r>
        <w:t xml:space="preserve">25-26 сентября </w:t>
      </w:r>
      <w:r w:rsidR="006C1EC6" w:rsidRPr="006C1EC6">
        <w:t xml:space="preserve">– </w:t>
      </w:r>
      <w:r>
        <w:t>примерно на</w:t>
      </w:r>
      <w:r w:rsidRPr="00B81059">
        <w:t xml:space="preserve"> 70%</w:t>
      </w:r>
      <w:r w:rsidR="006C1EC6">
        <w:t>,</w:t>
      </w:r>
      <w:r w:rsidRPr="00B81059">
        <w:t xml:space="preserve"> </w:t>
      </w:r>
      <w:r>
        <w:t xml:space="preserve">и 5-6 октября </w:t>
      </w:r>
      <w:r w:rsidR="006C1EC6" w:rsidRPr="006C1EC6">
        <w:t xml:space="preserve">– </w:t>
      </w:r>
      <w:r>
        <w:t xml:space="preserve">более чем на 20%. В остальное время реактор работал на номинальной мощности. Снижение мощности сопровождалось спайк-эффектами по </w:t>
      </w:r>
      <w:r w:rsidRPr="00A238A2">
        <w:rPr>
          <w:vertAlign w:val="superscript"/>
        </w:rPr>
        <w:t>131</w:t>
      </w:r>
      <w:r>
        <w:rPr>
          <w:lang w:val="en-US"/>
        </w:rPr>
        <w:t>I</w:t>
      </w:r>
      <w:r>
        <w:t xml:space="preserve"> и по </w:t>
      </w:r>
      <w:r w:rsidR="00A22572">
        <w:t>ИРГ.</w:t>
      </w:r>
      <w:r>
        <w:t xml:space="preserve"> </w:t>
      </w:r>
      <w:r w:rsidR="00A22572">
        <w:t xml:space="preserve">На этих интервалах </w:t>
      </w:r>
      <w:r>
        <w:t xml:space="preserve">также </w:t>
      </w:r>
      <w:r w:rsidR="00A22572">
        <w:t xml:space="preserve">временно </w:t>
      </w:r>
      <w:r>
        <w:t>повыш</w:t>
      </w:r>
      <w:r w:rsidR="00A22572">
        <w:t>ались</w:t>
      </w:r>
      <w:r>
        <w:t xml:space="preserve"> значени</w:t>
      </w:r>
      <w:r w:rsidR="00A22572">
        <w:t>я</w:t>
      </w:r>
      <w:r>
        <w:t xml:space="preserve"> отношений приведенных активностей </w:t>
      </w:r>
      <w:r w:rsidRPr="00A238A2">
        <w:rPr>
          <w:vertAlign w:val="superscript"/>
        </w:rPr>
        <w:t>131</w:t>
      </w:r>
      <w:r>
        <w:rPr>
          <w:lang w:val="en-US"/>
        </w:rPr>
        <w:t>I</w:t>
      </w:r>
      <w:r w:rsidRPr="00A238A2">
        <w:t>/</w:t>
      </w:r>
      <w:r w:rsidRPr="00A238A2">
        <w:rPr>
          <w:vertAlign w:val="superscript"/>
        </w:rPr>
        <w:t>134</w:t>
      </w:r>
      <w:r>
        <w:rPr>
          <w:lang w:val="en-US"/>
        </w:rPr>
        <w:t>I</w:t>
      </w:r>
      <w:r>
        <w:t>, отношени</w:t>
      </w:r>
      <w:r w:rsidR="006C1EC6">
        <w:t>я</w:t>
      </w:r>
      <w:r w:rsidRPr="00A238A2">
        <w:t xml:space="preserve"> </w:t>
      </w:r>
      <w:r>
        <w:t>активностей</w:t>
      </w:r>
      <w:r w:rsidRPr="00A238A2">
        <w:t xml:space="preserve"> </w:t>
      </w:r>
      <w:r w:rsidRPr="00BD6412">
        <w:rPr>
          <w:vertAlign w:val="superscript"/>
        </w:rPr>
        <w:t>88</w:t>
      </w:r>
      <w:proofErr w:type="spellStart"/>
      <w:r w:rsidRPr="00BD6412">
        <w:rPr>
          <w:vertAlign w:val="superscript"/>
          <w:lang w:val="en-US"/>
        </w:rPr>
        <w:t>m</w:t>
      </w:r>
      <w:r>
        <w:rPr>
          <w:lang w:val="en-US"/>
        </w:rPr>
        <w:t>Kr</w:t>
      </w:r>
      <w:proofErr w:type="spellEnd"/>
      <w:r w:rsidRPr="00A238A2">
        <w:t>/</w:t>
      </w:r>
      <w:r w:rsidRPr="00BD6412">
        <w:rPr>
          <w:vertAlign w:val="superscript"/>
        </w:rPr>
        <w:t>135</w:t>
      </w:r>
      <w:proofErr w:type="spellStart"/>
      <w:r>
        <w:rPr>
          <w:lang w:val="en-US"/>
        </w:rPr>
        <w:t>Xe</w:t>
      </w:r>
      <w:proofErr w:type="spellEnd"/>
      <w:r>
        <w:t xml:space="preserve"> и отношений</w:t>
      </w:r>
      <w:r w:rsidRPr="00A238A2">
        <w:t xml:space="preserve"> </w:t>
      </w:r>
      <w:r>
        <w:t>активностей</w:t>
      </w:r>
      <w:r w:rsidRPr="00A238A2">
        <w:t xml:space="preserve"> </w:t>
      </w:r>
      <w:r>
        <w:t>ксенонов к йодам.</w:t>
      </w:r>
      <w:r w:rsidRPr="00A238A2">
        <w:t xml:space="preserve"> </w:t>
      </w:r>
      <w:r w:rsidR="00F15364">
        <w:t>По</w:t>
      </w:r>
      <w:r w:rsidR="00A22572">
        <w:t xml:space="preserve"> возвращении РУ в номинальный режим после каждого маневра </w:t>
      </w:r>
      <w:r w:rsidR="00F15364">
        <w:t xml:space="preserve">активности и отношения активностей </w:t>
      </w:r>
      <w:r w:rsidR="00A22572">
        <w:t xml:space="preserve">реперных радионуклидов </w:t>
      </w:r>
      <w:r w:rsidR="009E16CD">
        <w:t>выходили</w:t>
      </w:r>
      <w:r w:rsidR="00F15364">
        <w:t xml:space="preserve"> на предшествующий уровень. </w:t>
      </w:r>
      <w:r w:rsidR="00A22572">
        <w:t>Э</w:t>
      </w:r>
      <w:r>
        <w:t xml:space="preserve">то свидетельствует </w:t>
      </w:r>
      <w:r w:rsidR="009E16CD">
        <w:t xml:space="preserve">о том, что радиационное состояние энергоблока оставалось стабильным, и </w:t>
      </w:r>
      <w:proofErr w:type="gramStart"/>
      <w:r>
        <w:t>новых</w:t>
      </w:r>
      <w:proofErr w:type="gramEnd"/>
      <w:r>
        <w:t xml:space="preserve"> разгерметизаций не произошло.</w:t>
      </w:r>
    </w:p>
    <w:p w:rsidR="009E16CD" w:rsidRPr="009E16CD" w:rsidRDefault="00F15364" w:rsidP="009E16CD">
      <w:pPr>
        <w:pStyle w:val="a5"/>
      </w:pPr>
      <w:r>
        <w:t>В</w:t>
      </w:r>
      <w:r w:rsidR="00144A5C">
        <w:t xml:space="preserve"> течение </w:t>
      </w:r>
      <w:r w:rsidR="009E16CD">
        <w:t xml:space="preserve">всей кампании активности долгоживущих цезиев </w:t>
      </w:r>
      <w:r w:rsidR="009E16CD" w:rsidRPr="009E16CD">
        <w:rPr>
          <w:vertAlign w:val="superscript"/>
        </w:rPr>
        <w:t>134</w:t>
      </w:r>
      <w:r w:rsidR="009E16CD">
        <w:rPr>
          <w:lang w:val="en-US"/>
        </w:rPr>
        <w:t>Cs</w:t>
      </w:r>
      <w:r w:rsidR="009E16CD">
        <w:t xml:space="preserve"> и </w:t>
      </w:r>
      <w:r w:rsidR="009E16CD" w:rsidRPr="009E16CD">
        <w:rPr>
          <w:vertAlign w:val="superscript"/>
        </w:rPr>
        <w:t>13</w:t>
      </w:r>
      <w:r w:rsidR="009E16CD">
        <w:rPr>
          <w:vertAlign w:val="superscript"/>
        </w:rPr>
        <w:t>7</w:t>
      </w:r>
      <w:r w:rsidR="009E16CD">
        <w:rPr>
          <w:lang w:val="en-US"/>
        </w:rPr>
        <w:t>Cs</w:t>
      </w:r>
      <w:r w:rsidR="009E16CD">
        <w:t xml:space="preserve"> находились на низком фоновом уровне </w:t>
      </w:r>
      <w:r w:rsidR="008D6052">
        <w:t>(</w:t>
      </w:r>
      <w:r w:rsidR="009E16CD">
        <w:t>не выше ~ 2</w:t>
      </w:r>
      <w:r w:rsidR="009E16CD">
        <w:sym w:font="Symbol" w:char="F0D7"/>
      </w:r>
      <w:r w:rsidR="009E16CD">
        <w:t>10</w:t>
      </w:r>
      <w:r w:rsidR="009E16CD" w:rsidRPr="009E16CD">
        <w:rPr>
          <w:vertAlign w:val="superscript"/>
        </w:rPr>
        <w:t>–8</w:t>
      </w:r>
      <w:r w:rsidR="009E16CD">
        <w:t xml:space="preserve"> Ки/кг</w:t>
      </w:r>
      <w:r w:rsidR="008D6052">
        <w:t>)</w:t>
      </w:r>
      <w:r w:rsidR="009E16CD">
        <w:t xml:space="preserve">. Активности </w:t>
      </w:r>
      <w:r w:rsidR="009E16CD" w:rsidRPr="009E16CD">
        <w:rPr>
          <w:vertAlign w:val="superscript"/>
        </w:rPr>
        <w:t>134</w:t>
      </w:r>
      <w:r w:rsidR="009E16CD">
        <w:rPr>
          <w:lang w:val="en-US"/>
        </w:rPr>
        <w:t>Cs</w:t>
      </w:r>
      <w:r w:rsidR="009E16CD">
        <w:t xml:space="preserve"> и </w:t>
      </w:r>
      <w:r w:rsidR="009E16CD" w:rsidRPr="009E16CD">
        <w:rPr>
          <w:vertAlign w:val="superscript"/>
        </w:rPr>
        <w:t>13</w:t>
      </w:r>
      <w:r w:rsidR="009E16CD">
        <w:rPr>
          <w:vertAlign w:val="superscript"/>
        </w:rPr>
        <w:t>7</w:t>
      </w:r>
      <w:r w:rsidR="009E16CD">
        <w:rPr>
          <w:lang w:val="en-US"/>
        </w:rPr>
        <w:t>Cs</w:t>
      </w:r>
      <w:r w:rsidR="009E16CD">
        <w:t xml:space="preserve"> </w:t>
      </w:r>
      <w:r w:rsidR="009E16CD">
        <w:lastRenderedPageBreak/>
        <w:t xml:space="preserve">значимо не повышались ни в момент разгерметизации в мае 2017 г., ни при снижениях мощности РУ в сентябре-октябре 2017 г. Это может свидетельствовать о невысоком выгорании топлива </w:t>
      </w:r>
      <w:proofErr w:type="gramStart"/>
      <w:r w:rsidR="009E16CD">
        <w:t>в</w:t>
      </w:r>
      <w:proofErr w:type="gramEnd"/>
      <w:r w:rsidR="009E16CD">
        <w:t xml:space="preserve"> негерметичном твэле (т</w:t>
      </w:r>
      <w:r w:rsidR="006C1EC6">
        <w:t>в</w:t>
      </w:r>
      <w:r w:rsidR="009E16CD">
        <w:t xml:space="preserve">элах). При небольших выгораниях цезий не успевает накопиться в топливе в достаточном количестве. Поэтому при выбросах активности во время спайк-эффектов не превышается даже низкий фоновый уровень. На этом основании можно полагать, что </w:t>
      </w:r>
      <w:proofErr w:type="gramStart"/>
      <w:r w:rsidR="009E16CD">
        <w:t>негерметичный</w:t>
      </w:r>
      <w:proofErr w:type="gramEnd"/>
      <w:r w:rsidR="009E16CD">
        <w:t xml:space="preserve"> твэл (твэлы) находится в ТВС 1</w:t>
      </w:r>
      <w:r w:rsidR="00500D6D" w:rsidRPr="009E16CD">
        <w:rPr>
          <w:vertAlign w:val="superscript"/>
        </w:rPr>
        <w:t>-го</w:t>
      </w:r>
      <w:r w:rsidR="009E16CD">
        <w:t xml:space="preserve"> или 2</w:t>
      </w:r>
      <w:r w:rsidR="009E16CD" w:rsidRPr="009E16CD">
        <w:rPr>
          <w:vertAlign w:val="superscript"/>
        </w:rPr>
        <w:t>-го</w:t>
      </w:r>
      <w:r w:rsidR="009E16CD">
        <w:t xml:space="preserve"> года эксплуатации.</w:t>
      </w:r>
    </w:p>
    <w:p w:rsidR="00F15364" w:rsidRPr="00F15364" w:rsidRDefault="00F15364" w:rsidP="00144A5C">
      <w:pPr>
        <w:pStyle w:val="a5"/>
      </w:pPr>
      <w:r>
        <w:t xml:space="preserve">Мониторинг </w:t>
      </w:r>
      <w:r w:rsidRPr="00F15364">
        <w:t xml:space="preserve">загрязненности активной зоны </w:t>
      </w:r>
      <w:r>
        <w:t xml:space="preserve">по методике </w:t>
      </w:r>
      <w:r w:rsidRPr="00F15364">
        <w:t>[</w:t>
      </w:r>
      <w:r>
        <w:fldChar w:fldCharType="begin"/>
      </w:r>
      <w:r>
        <w:instrText xml:space="preserve"> REF _Ref478467173 \r \h </w:instrText>
      </w:r>
      <w:r>
        <w:fldChar w:fldCharType="separate"/>
      </w:r>
      <w:r w:rsidR="0091017A">
        <w:t>2</w:t>
      </w:r>
      <w:r>
        <w:fldChar w:fldCharType="end"/>
      </w:r>
      <w:r w:rsidRPr="00F15364">
        <w:t>,</w:t>
      </w:r>
      <w:r>
        <w:fldChar w:fldCharType="begin"/>
      </w:r>
      <w:r>
        <w:instrText xml:space="preserve"> REF _Ref474863395 \r \h </w:instrText>
      </w:r>
      <w:r>
        <w:fldChar w:fldCharType="separate"/>
      </w:r>
      <w:r w:rsidR="0091017A">
        <w:t>3</w:t>
      </w:r>
      <w:r>
        <w:fldChar w:fldCharType="end"/>
      </w:r>
      <w:r w:rsidRPr="00F15364">
        <w:t xml:space="preserve">] </w:t>
      </w:r>
      <w:r w:rsidR="00500D6D">
        <w:t>показал, что в</w:t>
      </w:r>
      <w:r w:rsidR="009B0DF6" w:rsidRPr="00F85B8C">
        <w:t>ыно</w:t>
      </w:r>
      <w:r w:rsidR="00500D6D">
        <w:t>са топливной композиции</w:t>
      </w:r>
      <w:r w:rsidR="009B0DF6">
        <w:t xml:space="preserve"> в первый контур не </w:t>
      </w:r>
      <w:r w:rsidR="00500D6D">
        <w:t>было</w:t>
      </w:r>
      <w:r w:rsidR="009B0DF6">
        <w:t xml:space="preserve"> в течение всей кампании.</w:t>
      </w:r>
    </w:p>
    <w:p w:rsidR="00CE6624" w:rsidRDefault="00CE6624" w:rsidP="009E16CD"/>
    <w:p w:rsidR="00CE6624" w:rsidRDefault="00CE6624" w:rsidP="00CE6624">
      <w:pPr>
        <w:pStyle w:val="2"/>
        <w:snapToGrid/>
      </w:pPr>
      <w:bookmarkStart w:id="19" w:name="_Toc497735402"/>
      <w:r>
        <w:t>Вывод</w:t>
      </w:r>
      <w:r w:rsidR="00B559C2">
        <w:t>ы</w:t>
      </w:r>
      <w:r w:rsidR="00500D6D">
        <w:t xml:space="preserve"> и рекомендации</w:t>
      </w:r>
      <w:bookmarkEnd w:id="19"/>
    </w:p>
    <w:p w:rsidR="00500D6D" w:rsidRDefault="00144A5C" w:rsidP="00144A5C">
      <w:pPr>
        <w:pStyle w:val="a5"/>
      </w:pPr>
      <w:r w:rsidRPr="00EF70C3">
        <w:t xml:space="preserve">По состоянию на </w:t>
      </w:r>
      <w:r>
        <w:t>15</w:t>
      </w:r>
      <w:r w:rsidRPr="00EF70C3">
        <w:t xml:space="preserve"> </w:t>
      </w:r>
      <w:r>
        <w:t>октября</w:t>
      </w:r>
      <w:r w:rsidRPr="00EF70C3">
        <w:t xml:space="preserve"> 2017 г. в активной зоне АЭС Бушер-1 </w:t>
      </w:r>
      <w:r w:rsidR="00500D6D">
        <w:t xml:space="preserve">с наибольшей вероятностью </w:t>
      </w:r>
      <w:r w:rsidRPr="00EF70C3">
        <w:t xml:space="preserve">имеется 1 </w:t>
      </w:r>
      <w:proofErr w:type="gramStart"/>
      <w:r w:rsidRPr="00EF70C3">
        <w:t>негерметичны</w:t>
      </w:r>
      <w:r w:rsidR="00500D6D">
        <w:t>й</w:t>
      </w:r>
      <w:proofErr w:type="gramEnd"/>
      <w:r w:rsidRPr="00EF70C3">
        <w:t xml:space="preserve"> твэл</w:t>
      </w:r>
      <w:r w:rsidR="00500D6D">
        <w:t xml:space="preserve">. Оценка сверху на количество </w:t>
      </w:r>
      <w:proofErr w:type="gramStart"/>
      <w:r w:rsidR="00500D6D">
        <w:t>негерметичных</w:t>
      </w:r>
      <w:proofErr w:type="gramEnd"/>
      <w:r w:rsidR="00500D6D">
        <w:t xml:space="preserve"> твэлов – 2 шт. По предварительным оценкам негерметичный твэл (твэлы) находится в ТВС 1</w:t>
      </w:r>
      <w:r w:rsidR="00500D6D" w:rsidRPr="009E16CD">
        <w:rPr>
          <w:vertAlign w:val="superscript"/>
        </w:rPr>
        <w:t>-го</w:t>
      </w:r>
      <w:r w:rsidR="00500D6D">
        <w:t xml:space="preserve"> или 2</w:t>
      </w:r>
      <w:r w:rsidR="00500D6D" w:rsidRPr="009E16CD">
        <w:rPr>
          <w:vertAlign w:val="superscript"/>
        </w:rPr>
        <w:t>-го</w:t>
      </w:r>
      <w:r w:rsidR="00500D6D">
        <w:t xml:space="preserve"> года эксплуатации.</w:t>
      </w:r>
      <w:r w:rsidR="00B34837">
        <w:t xml:space="preserve"> Следует отметить, что в одной ТВС может находиться более одного негерметичного твэла.</w:t>
      </w:r>
    </w:p>
    <w:p w:rsidR="00144A5C" w:rsidRDefault="009B0DF6" w:rsidP="00144A5C">
      <w:pPr>
        <w:pStyle w:val="a5"/>
      </w:pPr>
      <w:r>
        <w:t xml:space="preserve">Признаки выноса топливной композиции </w:t>
      </w:r>
      <w:proofErr w:type="gramStart"/>
      <w:r>
        <w:t>из</w:t>
      </w:r>
      <w:proofErr w:type="gramEnd"/>
      <w:r>
        <w:t xml:space="preserve"> негерметичн</w:t>
      </w:r>
      <w:r w:rsidR="00970BF4">
        <w:t>ого твэла</w:t>
      </w:r>
      <w:r>
        <w:t xml:space="preserve"> </w:t>
      </w:r>
      <w:r w:rsidR="00970BF4">
        <w:t>(</w:t>
      </w:r>
      <w:r>
        <w:t>твэлов</w:t>
      </w:r>
      <w:r w:rsidR="00970BF4">
        <w:t>)</w:t>
      </w:r>
      <w:r>
        <w:t xml:space="preserve"> в теплоноситель отсутствуют.</w:t>
      </w:r>
    </w:p>
    <w:p w:rsidR="00B34837" w:rsidRDefault="00B34837" w:rsidP="00144A5C">
      <w:pPr>
        <w:pStyle w:val="a5"/>
      </w:pPr>
      <w:r>
        <w:t xml:space="preserve">АЭС Бушер-1 </w:t>
      </w:r>
      <w:r w:rsidR="006C1EC6">
        <w:t>не оборудована</w:t>
      </w:r>
      <w:r>
        <w:t xml:space="preserve"> систем</w:t>
      </w:r>
      <w:r w:rsidR="006C1EC6">
        <w:t>ой</w:t>
      </w:r>
      <w:r>
        <w:t xml:space="preserve"> </w:t>
      </w:r>
      <w:proofErr w:type="gramStart"/>
      <w:r>
        <w:t>оперативного</w:t>
      </w:r>
      <w:proofErr w:type="gramEnd"/>
      <w:r>
        <w:t xml:space="preserve"> </w:t>
      </w:r>
      <w:proofErr w:type="spellStart"/>
      <w:r>
        <w:t>сипинг</w:t>
      </w:r>
      <w:proofErr w:type="spellEnd"/>
      <w:r>
        <w:t xml:space="preserve">-контроля в штанге </w:t>
      </w:r>
      <w:r w:rsidR="00712425">
        <w:t xml:space="preserve">перегрузочной </w:t>
      </w:r>
      <w:r>
        <w:t xml:space="preserve">машины. Поэтому на текущий момент можно рекомендовать следующий подход к </w:t>
      </w:r>
      <w:proofErr w:type="gramStart"/>
      <w:r>
        <w:t>предстоящему</w:t>
      </w:r>
      <w:proofErr w:type="gramEnd"/>
      <w:r>
        <w:t xml:space="preserve"> КГО во время ППР.</w:t>
      </w:r>
    </w:p>
    <w:p w:rsidR="006C1EC6" w:rsidRDefault="00B34837" w:rsidP="00144A5C">
      <w:pPr>
        <w:pStyle w:val="a5"/>
      </w:pPr>
      <w:r>
        <w:t xml:space="preserve">В первую очередь в пеналах системы СОДС </w:t>
      </w:r>
      <w:r w:rsidR="00712425">
        <w:t>следует</w:t>
      </w:r>
      <w:r>
        <w:t xml:space="preserve"> провер</w:t>
      </w:r>
      <w:r w:rsidR="00712425">
        <w:t>ить</w:t>
      </w:r>
      <w:r>
        <w:t xml:space="preserve"> ТВС 1</w:t>
      </w:r>
      <w:r w:rsidRPr="00B34837">
        <w:rPr>
          <w:vertAlign w:val="superscript"/>
        </w:rPr>
        <w:t>-го</w:t>
      </w:r>
      <w:r>
        <w:t xml:space="preserve"> года. Если при этом будет обнаружена хотя бы одна негерметичная ТВС, </w:t>
      </w:r>
      <w:r w:rsidR="00712425">
        <w:t xml:space="preserve">пенальный </w:t>
      </w:r>
      <w:r>
        <w:t xml:space="preserve">КГО может быть </w:t>
      </w:r>
      <w:r w:rsidR="00712425">
        <w:t>завершен</w:t>
      </w:r>
      <w:r>
        <w:t xml:space="preserve">. </w:t>
      </w:r>
      <w:r w:rsidR="006C1EC6">
        <w:t>Д</w:t>
      </w:r>
      <w:r>
        <w:t>ля гарантированного исключения загрузки в активную зону негерметичной ТВС на 5</w:t>
      </w:r>
      <w:r w:rsidRPr="00B34837">
        <w:rPr>
          <w:vertAlign w:val="superscript"/>
        </w:rPr>
        <w:t>-ую</w:t>
      </w:r>
      <w:r>
        <w:t xml:space="preserve"> кампанию было бы целесообразно проверить все ТВС 1</w:t>
      </w:r>
      <w:r w:rsidRPr="009E16CD">
        <w:rPr>
          <w:vertAlign w:val="superscript"/>
        </w:rPr>
        <w:t>-го</w:t>
      </w:r>
      <w:r>
        <w:t xml:space="preserve"> и    2</w:t>
      </w:r>
      <w:r w:rsidRPr="009E16CD">
        <w:rPr>
          <w:vertAlign w:val="superscript"/>
        </w:rPr>
        <w:t>-го</w:t>
      </w:r>
      <w:r>
        <w:t xml:space="preserve"> года. </w:t>
      </w:r>
      <w:r w:rsidR="006C1EC6">
        <w:t xml:space="preserve">ТВС </w:t>
      </w:r>
      <w:proofErr w:type="gramStart"/>
      <w:r w:rsidR="006C1EC6">
        <w:t xml:space="preserve">с </w:t>
      </w:r>
      <w:proofErr w:type="spellStart"/>
      <w:r w:rsidR="006C1EC6">
        <w:t>б</w:t>
      </w:r>
      <w:proofErr w:type="gramEnd"/>
      <w:r w:rsidR="006C1EC6">
        <w:t>óльшим</w:t>
      </w:r>
      <w:proofErr w:type="spellEnd"/>
      <w:r w:rsidR="006C1EC6">
        <w:t xml:space="preserve"> сроком эксплуатации следует проверять только в том случае, если негерметичная ТВС не будет обнаружена среди сборок </w:t>
      </w:r>
      <w:r w:rsidR="006C1EC6">
        <w:t>1</w:t>
      </w:r>
      <w:r w:rsidR="006C1EC6" w:rsidRPr="009E16CD">
        <w:rPr>
          <w:vertAlign w:val="superscript"/>
        </w:rPr>
        <w:t>-го</w:t>
      </w:r>
      <w:r w:rsidR="006C1EC6">
        <w:t xml:space="preserve"> и 2</w:t>
      </w:r>
      <w:r w:rsidR="006C1EC6" w:rsidRPr="009E16CD">
        <w:rPr>
          <w:vertAlign w:val="superscript"/>
        </w:rPr>
        <w:t>-го</w:t>
      </w:r>
      <w:r w:rsidR="006C1EC6">
        <w:t xml:space="preserve"> год</w:t>
      </w:r>
      <w:r w:rsidR="006C1EC6">
        <w:t>а эксплуатации</w:t>
      </w:r>
      <w:r w:rsidR="00AA08C2">
        <w:rPr>
          <w:rStyle w:val="aa"/>
        </w:rPr>
        <w:footnoteReference w:id="1"/>
      </w:r>
      <w:r w:rsidR="006C1EC6">
        <w:t>.</w:t>
      </w:r>
    </w:p>
    <w:p w:rsidR="00EB0371" w:rsidRDefault="00B34837" w:rsidP="00AA08C2">
      <w:pPr>
        <w:pStyle w:val="a5"/>
        <w:rPr>
          <w:rFonts w:cstheme="majorBidi"/>
          <w:bCs/>
          <w:smallCaps/>
          <w:kern w:val="32"/>
          <w:sz w:val="28"/>
          <w:szCs w:val="32"/>
        </w:rPr>
      </w:pPr>
      <w:r>
        <w:t xml:space="preserve">Данные рекомендации могут быть </w:t>
      </w:r>
      <w:r w:rsidR="00712425">
        <w:t>скорректированы</w:t>
      </w:r>
      <w:r>
        <w:t xml:space="preserve"> по мере дальнейшего мониторинга активности и после обработки данных по спайк-эффекту во время останова блока на ППР.</w:t>
      </w:r>
      <w:r w:rsidR="00EB0371">
        <w:br w:type="page"/>
      </w:r>
    </w:p>
    <w:p w:rsidR="00D5703C" w:rsidRPr="00CE6624" w:rsidRDefault="00D5703C" w:rsidP="00D5703C">
      <w:pPr>
        <w:pStyle w:val="a7"/>
        <w:jc w:val="center"/>
      </w:pPr>
      <w:bookmarkStart w:id="20" w:name="_Toc497735403"/>
      <w:bookmarkEnd w:id="4"/>
      <w:bookmarkEnd w:id="5"/>
      <w:r>
        <w:lastRenderedPageBreak/>
        <w:t>Список использованных источников</w:t>
      </w:r>
      <w:bookmarkEnd w:id="6"/>
      <w:bookmarkEnd w:id="7"/>
      <w:bookmarkEnd w:id="20"/>
    </w:p>
    <w:p w:rsidR="008023BF" w:rsidRPr="008023BF" w:rsidRDefault="00D326DB" w:rsidP="007F70CC">
      <w:pPr>
        <w:numPr>
          <w:ilvl w:val="0"/>
          <w:numId w:val="3"/>
        </w:numPr>
        <w:tabs>
          <w:tab w:val="clear" w:pos="1353"/>
          <w:tab w:val="num" w:pos="993"/>
        </w:tabs>
        <w:spacing w:line="288" w:lineRule="auto"/>
        <w:ind w:left="0" w:firstLine="709"/>
        <w:jc w:val="both"/>
        <w:rPr>
          <w:snapToGrid w:val="0"/>
          <w:color w:val="000000"/>
        </w:rPr>
      </w:pPr>
      <w:bookmarkStart w:id="21" w:name="_Ref476923156"/>
      <w:bookmarkStart w:id="22" w:name="_Ref497395997"/>
      <w:bookmarkStart w:id="23" w:name="_Ref473050802"/>
      <w:bookmarkStart w:id="24" w:name="_Ref470712476"/>
      <w:r>
        <w:t>Лиханский В.В., Евдокимов И.А. и др. «</w:t>
      </w:r>
      <w:r w:rsidR="008222C1">
        <w:t>Сопровождение эксплуатации топлива на АЭС с ВВР-1000 в 1-2 кварталах 2017 г.</w:t>
      </w:r>
      <w:r>
        <w:t xml:space="preserve"> </w:t>
      </w:r>
      <w:proofErr w:type="spellStart"/>
      <w:r>
        <w:t>Посттестовый</w:t>
      </w:r>
      <w:proofErr w:type="spellEnd"/>
      <w:r>
        <w:t xml:space="preserve"> анализ кампаний</w:t>
      </w:r>
      <w:r w:rsidR="008222C1">
        <w:t>, завершенных в 1</w:t>
      </w:r>
      <w:r w:rsidR="008222C1" w:rsidRPr="00AA08C2">
        <w:rPr>
          <w:vertAlign w:val="superscript"/>
        </w:rPr>
        <w:t>-ом</w:t>
      </w:r>
      <w:r w:rsidR="008222C1">
        <w:t xml:space="preserve"> квартале 2017 г.</w:t>
      </w:r>
      <w:r>
        <w:t xml:space="preserve">». Техническая справка </w:t>
      </w:r>
      <w:r w:rsidR="008222C1">
        <w:t>АО «</w:t>
      </w:r>
      <w:r>
        <w:t>ГНЦ РФ ТРИНИТИ</w:t>
      </w:r>
      <w:r w:rsidR="008222C1">
        <w:t>»</w:t>
      </w:r>
      <w:r>
        <w:t xml:space="preserve"> №10/НИР-7</w:t>
      </w:r>
      <w:r w:rsidR="008222C1">
        <w:t>302</w:t>
      </w:r>
      <w:r>
        <w:t xml:space="preserve"> от 0</w:t>
      </w:r>
      <w:r w:rsidR="008222C1">
        <w:t>9</w:t>
      </w:r>
      <w:r>
        <w:t>.10.201</w:t>
      </w:r>
      <w:r w:rsidR="008222C1">
        <w:t>7</w:t>
      </w:r>
      <w:r>
        <w:t xml:space="preserve"> г</w:t>
      </w:r>
      <w:bookmarkEnd w:id="21"/>
      <w:r>
        <w:t>.</w:t>
      </w:r>
      <w:bookmarkEnd w:id="22"/>
    </w:p>
    <w:p w:rsidR="007B21AB" w:rsidRPr="00D326DB" w:rsidRDefault="00D326DB" w:rsidP="007F70CC">
      <w:pPr>
        <w:numPr>
          <w:ilvl w:val="0"/>
          <w:numId w:val="3"/>
        </w:numPr>
        <w:tabs>
          <w:tab w:val="clear" w:pos="1353"/>
          <w:tab w:val="num" w:pos="993"/>
          <w:tab w:val="left" w:pos="1134"/>
        </w:tabs>
        <w:spacing w:line="288" w:lineRule="auto"/>
        <w:ind w:left="0" w:firstLine="709"/>
        <w:jc w:val="both"/>
        <w:rPr>
          <w:snapToGrid w:val="0"/>
          <w:color w:val="000000"/>
        </w:rPr>
      </w:pPr>
      <w:bookmarkStart w:id="25" w:name="_Ref478467173"/>
      <w:bookmarkStart w:id="26" w:name="_Ref473049124"/>
      <w:r w:rsidRPr="00FD60F4">
        <w:t xml:space="preserve">И.А. Евдокимов, В.В. Лиханский </w:t>
      </w:r>
      <w:r>
        <w:t xml:space="preserve">и др. </w:t>
      </w:r>
      <w:r w:rsidRPr="00FD60F4">
        <w:t>«</w:t>
      </w:r>
      <w:r w:rsidRPr="00D326DB">
        <w:rPr>
          <w:bCs/>
        </w:rPr>
        <w:t xml:space="preserve">Модернизация методов КГО на работающем реакторе </w:t>
      </w:r>
      <w:r w:rsidRPr="00FD60F4">
        <w:t>для современных типов топлива и топливных циклов»</w:t>
      </w:r>
      <w:r>
        <w:t xml:space="preserve">. </w:t>
      </w:r>
      <w:r w:rsidRPr="00FD60F4">
        <w:t>Международный научно-технический семинар АО «ТВЭЛ»</w:t>
      </w:r>
      <w:r>
        <w:t xml:space="preserve"> </w:t>
      </w:r>
      <w:r w:rsidRPr="00FD60F4">
        <w:t>«Опыт эксплуатации ядерного топлива российского производства на АЭС с ВВЭР-1000»</w:t>
      </w:r>
      <w:r>
        <w:t xml:space="preserve">, </w:t>
      </w:r>
      <w:r w:rsidRPr="00FD60F4">
        <w:t xml:space="preserve">Болгария, г. </w:t>
      </w:r>
      <w:proofErr w:type="spellStart"/>
      <w:r w:rsidRPr="00FD60F4">
        <w:t>Несебр</w:t>
      </w:r>
      <w:proofErr w:type="spellEnd"/>
      <w:r w:rsidRPr="00ED266A">
        <w:t xml:space="preserve">, </w:t>
      </w:r>
      <w:r w:rsidRPr="00FD60F4">
        <w:t>26-30</w:t>
      </w:r>
      <w:r w:rsidRPr="00ED266A">
        <w:t xml:space="preserve"> </w:t>
      </w:r>
      <w:r w:rsidRPr="00FD60F4">
        <w:t xml:space="preserve">сентября </w:t>
      </w:r>
      <w:r w:rsidRPr="00ED266A">
        <w:t>201</w:t>
      </w:r>
      <w:r w:rsidRPr="00FD60F4">
        <w:t>6</w:t>
      </w:r>
      <w:r>
        <w:t>.</w:t>
      </w:r>
      <w:bookmarkEnd w:id="23"/>
      <w:bookmarkEnd w:id="24"/>
      <w:bookmarkEnd w:id="25"/>
      <w:bookmarkEnd w:id="26"/>
    </w:p>
    <w:p w:rsidR="00D326DB" w:rsidRPr="00AA08C2" w:rsidRDefault="00D326DB" w:rsidP="007F70CC">
      <w:pPr>
        <w:numPr>
          <w:ilvl w:val="0"/>
          <w:numId w:val="3"/>
        </w:numPr>
        <w:tabs>
          <w:tab w:val="clear" w:pos="1353"/>
          <w:tab w:val="num" w:pos="993"/>
          <w:tab w:val="left" w:pos="1134"/>
        </w:tabs>
        <w:spacing w:line="288" w:lineRule="auto"/>
        <w:ind w:left="0" w:firstLine="709"/>
        <w:jc w:val="both"/>
        <w:rPr>
          <w:snapToGrid w:val="0"/>
          <w:color w:val="000000"/>
        </w:rPr>
      </w:pPr>
      <w:bookmarkStart w:id="27" w:name="_Ref474863395"/>
      <w:r w:rsidRPr="00D2501F">
        <w:t>Лиханский В.В., Е</w:t>
      </w:r>
      <w:r>
        <w:t>вдокимов И.А. и др. «Совершенствование методов КГО на работающем реакторе в части разработки критериев для идентификации образования вторичных дефектов и критериев выноса топливной композиции в теплоноситель с целью реализации проекта «Нулевой уровень отказа». Технический отчет ГНЦ РФ ТРИНИТИ №10/НИР-7127 от 28.07.2016 г.</w:t>
      </w:r>
      <w:bookmarkEnd w:id="27"/>
    </w:p>
    <w:p w:rsidR="00AA08C2" w:rsidRPr="00D326DB" w:rsidRDefault="006E690A" w:rsidP="007F70CC">
      <w:pPr>
        <w:numPr>
          <w:ilvl w:val="0"/>
          <w:numId w:val="3"/>
        </w:numPr>
        <w:tabs>
          <w:tab w:val="clear" w:pos="1353"/>
          <w:tab w:val="num" w:pos="993"/>
          <w:tab w:val="left" w:pos="1134"/>
        </w:tabs>
        <w:spacing w:line="288" w:lineRule="auto"/>
        <w:ind w:left="0" w:firstLine="709"/>
        <w:jc w:val="both"/>
        <w:rPr>
          <w:snapToGrid w:val="0"/>
          <w:color w:val="000000"/>
        </w:rPr>
      </w:pPr>
      <w:bookmarkStart w:id="28" w:name="_Ref428978477"/>
      <w:bookmarkStart w:id="29" w:name="_Ref491972238"/>
      <w:r w:rsidRPr="000B043C">
        <w:rPr>
          <w:snapToGrid w:val="0"/>
        </w:rPr>
        <w:t>РД ЭО 1.1.2.10.0521-2009 «</w:t>
      </w:r>
      <w:r w:rsidRPr="000B043C">
        <w:t xml:space="preserve">Сборки тепловыделяющие ядерных реакторов типа ВВЭР-1000. </w:t>
      </w:r>
      <w:r w:rsidRPr="000B043C">
        <w:rPr>
          <w:noProof/>
          <w:snapToGrid w:val="0"/>
        </w:rPr>
        <w:t xml:space="preserve">Типовая методика контроля </w:t>
      </w:r>
      <w:r w:rsidRPr="000B043C">
        <w:t>герметичности оболочек тепловыделяющих элементов»</w:t>
      </w:r>
      <w:r>
        <w:t>, с изм. №2, АО «Концерн Росэнергоатом»</w:t>
      </w:r>
      <w:bookmarkEnd w:id="28"/>
      <w:r>
        <w:t>, 2016 г.</w:t>
      </w:r>
      <w:bookmarkEnd w:id="29"/>
    </w:p>
    <w:sectPr w:rsidR="00AA08C2" w:rsidRPr="00D326DB" w:rsidSect="00625682">
      <w:footerReference w:type="default" r:id="rId16"/>
      <w:footnotePr>
        <w:numFmt w:val="lowerLetter"/>
        <w:numRestart w:val="eachPage"/>
      </w:footnotePr>
      <w:pgSz w:w="11906" w:h="16838"/>
      <w:pgMar w:top="1134" w:right="1134" w:bottom="1134" w:left="1418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06" w:rsidRDefault="004E0E06" w:rsidP="00D5703C">
      <w:r>
        <w:separator/>
      </w:r>
    </w:p>
  </w:endnote>
  <w:endnote w:type="continuationSeparator" w:id="0">
    <w:p w:rsidR="004E0E06" w:rsidRDefault="004E0E06" w:rsidP="00D5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578969"/>
      <w:docPartObj>
        <w:docPartGallery w:val="Page Numbers (Bottom of Page)"/>
        <w:docPartUnique/>
      </w:docPartObj>
    </w:sdtPr>
    <w:sdtEndPr/>
    <w:sdtContent>
      <w:p w:rsidR="001C3FA2" w:rsidRPr="00625682" w:rsidRDefault="001C3FA2" w:rsidP="00625682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BF4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06" w:rsidRDefault="004E0E06" w:rsidP="00D5703C">
      <w:r>
        <w:separator/>
      </w:r>
    </w:p>
  </w:footnote>
  <w:footnote w:type="continuationSeparator" w:id="0">
    <w:p w:rsidR="004E0E06" w:rsidRDefault="004E0E06" w:rsidP="00D5703C">
      <w:r>
        <w:continuationSeparator/>
      </w:r>
    </w:p>
  </w:footnote>
  <w:footnote w:id="1">
    <w:p w:rsidR="00AA08C2" w:rsidRPr="00AA08C2" w:rsidRDefault="00AA08C2">
      <w:pPr>
        <w:pStyle w:val="a3"/>
      </w:pPr>
      <w:r>
        <w:rPr>
          <w:rStyle w:val="aa"/>
        </w:rPr>
        <w:footnoteRef/>
      </w:r>
      <w:r>
        <w:t xml:space="preserve"> На блоках ВВЭР-1000 имеются прецеденты, когда штатная методика </w:t>
      </w:r>
      <w:proofErr w:type="gramStart"/>
      <w:r>
        <w:t>пенального</w:t>
      </w:r>
      <w:proofErr w:type="gramEnd"/>
      <w:r>
        <w:t xml:space="preserve"> КГО не выявляла негерметичные твэлы даже с видимым крупным</w:t>
      </w:r>
      <w:r w:rsidR="00970BF4">
        <w:t xml:space="preserve"> повреждение</w:t>
      </w:r>
      <w:r>
        <w:t xml:space="preserve">м оболочки. Это связано с тем, что при крупном дефекте радионуклиды вымываются из прилежащей области внутри твэла во время работы на мощности. При штатном КГО в этом случае выход продуктов деления </w:t>
      </w:r>
      <w:proofErr w:type="gramStart"/>
      <w:r>
        <w:t>из</w:t>
      </w:r>
      <w:proofErr w:type="gramEnd"/>
      <w:r>
        <w:t xml:space="preserve"> негерметичного твэла может быть незначительным по сравнению с фоновой активностью. Более высокой чувствительностью обладает методика </w:t>
      </w:r>
      <w:r w:rsidR="00970BF4">
        <w:t xml:space="preserve">КГО </w:t>
      </w:r>
      <w:r>
        <w:t xml:space="preserve">с циклированием давления в пенале СОДС </w:t>
      </w:r>
      <w:r w:rsidRPr="00AA08C2">
        <w:t>[</w:t>
      </w:r>
      <w:r w:rsidR="006E690A">
        <w:fldChar w:fldCharType="begin"/>
      </w:r>
      <w:r w:rsidR="006E690A">
        <w:instrText xml:space="preserve"> REF _Ref491972238 \r \h </w:instrText>
      </w:r>
      <w:r w:rsidR="006E690A">
        <w:fldChar w:fldCharType="separate"/>
      </w:r>
      <w:r w:rsidR="006E690A">
        <w:t>4</w:t>
      </w:r>
      <w:r w:rsidR="006E690A">
        <w:fldChar w:fldCharType="end"/>
      </w:r>
      <w:r w:rsidRPr="00AA08C2">
        <w:t>]</w:t>
      </w:r>
      <w:r>
        <w:t xml:space="preserve">. </w:t>
      </w:r>
      <w:proofErr w:type="gramStart"/>
      <w:r>
        <w:t>«</w:t>
      </w:r>
      <w:proofErr w:type="gramEnd"/>
      <w:r>
        <w:t>Экспресс-вариант» данной методики относительно слабо влияет на продолжительность пенального КГО и на дозовые нагрузки для персонала.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35712"/>
    <w:multiLevelType w:val="hybridMultilevel"/>
    <w:tmpl w:val="1A50B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D215E"/>
    <w:multiLevelType w:val="hybridMultilevel"/>
    <w:tmpl w:val="4D4822A2"/>
    <w:lvl w:ilvl="0" w:tplc="1C5EBC26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982E3B"/>
    <w:multiLevelType w:val="hybridMultilevel"/>
    <w:tmpl w:val="4D4822A2"/>
    <w:lvl w:ilvl="0" w:tplc="1C5EBC26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FD4E37"/>
    <w:multiLevelType w:val="multilevel"/>
    <w:tmpl w:val="AFF4CA12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92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627747E0"/>
    <w:multiLevelType w:val="hybridMultilevel"/>
    <w:tmpl w:val="0CC8A730"/>
    <w:lvl w:ilvl="0" w:tplc="6D4EB324">
      <w:start w:val="1"/>
      <w:numFmt w:val="decimal"/>
      <w:lvlText w:val="%1."/>
      <w:lvlJc w:val="left"/>
      <w:pPr>
        <w:ind w:left="1211" w:hanging="360"/>
      </w:pPr>
      <w:rPr>
        <w:rFonts w:ascii="Times New Roman" w:eastAsia="SimSu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B3771F1"/>
    <w:multiLevelType w:val="hybridMultilevel"/>
    <w:tmpl w:val="FCA28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F021CF"/>
    <w:multiLevelType w:val="singleLevel"/>
    <w:tmpl w:val="57A825F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</w:abstractNum>
  <w:abstractNum w:abstractNumId="7">
    <w:nsid w:val="73BF3294"/>
    <w:multiLevelType w:val="hybridMultilevel"/>
    <w:tmpl w:val="4D4822A2"/>
    <w:lvl w:ilvl="0" w:tplc="1C5EBC26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"/>
  </w:num>
  <w:num w:numId="17">
    <w:abstractNumId w:val="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3C"/>
    <w:rsid w:val="00004434"/>
    <w:rsid w:val="00024FDC"/>
    <w:rsid w:val="000260BC"/>
    <w:rsid w:val="00035D28"/>
    <w:rsid w:val="00045048"/>
    <w:rsid w:val="00062EBB"/>
    <w:rsid w:val="00083B33"/>
    <w:rsid w:val="000A2FDC"/>
    <w:rsid w:val="000A6928"/>
    <w:rsid w:val="000A75BC"/>
    <w:rsid w:val="000B0FB1"/>
    <w:rsid w:val="000C23DE"/>
    <w:rsid w:val="000C51C9"/>
    <w:rsid w:val="000E0F61"/>
    <w:rsid w:val="001161F9"/>
    <w:rsid w:val="00144A5C"/>
    <w:rsid w:val="001B635E"/>
    <w:rsid w:val="001C3FA2"/>
    <w:rsid w:val="001F25AC"/>
    <w:rsid w:val="002106A9"/>
    <w:rsid w:val="002267C5"/>
    <w:rsid w:val="00253624"/>
    <w:rsid w:val="002A2DFC"/>
    <w:rsid w:val="002C1A98"/>
    <w:rsid w:val="00301389"/>
    <w:rsid w:val="003022F3"/>
    <w:rsid w:val="00303E46"/>
    <w:rsid w:val="0031542C"/>
    <w:rsid w:val="003236C8"/>
    <w:rsid w:val="00337AEC"/>
    <w:rsid w:val="0035033B"/>
    <w:rsid w:val="003662D5"/>
    <w:rsid w:val="00381FDE"/>
    <w:rsid w:val="00396E28"/>
    <w:rsid w:val="003A02B6"/>
    <w:rsid w:val="003B0EBB"/>
    <w:rsid w:val="003F470A"/>
    <w:rsid w:val="00425581"/>
    <w:rsid w:val="00430406"/>
    <w:rsid w:val="00436AC0"/>
    <w:rsid w:val="00461575"/>
    <w:rsid w:val="00476B0C"/>
    <w:rsid w:val="004C6629"/>
    <w:rsid w:val="004C7DCA"/>
    <w:rsid w:val="004E0E06"/>
    <w:rsid w:val="004F5EDF"/>
    <w:rsid w:val="004F6EE2"/>
    <w:rsid w:val="00500D6D"/>
    <w:rsid w:val="00523149"/>
    <w:rsid w:val="00525FBA"/>
    <w:rsid w:val="005279AC"/>
    <w:rsid w:val="00585828"/>
    <w:rsid w:val="005954A0"/>
    <w:rsid w:val="005B0516"/>
    <w:rsid w:val="005D0065"/>
    <w:rsid w:val="005E27A6"/>
    <w:rsid w:val="005F67C8"/>
    <w:rsid w:val="00625682"/>
    <w:rsid w:val="00652EF3"/>
    <w:rsid w:val="00674CB1"/>
    <w:rsid w:val="00690CA8"/>
    <w:rsid w:val="006A1335"/>
    <w:rsid w:val="006B5CAF"/>
    <w:rsid w:val="006B7BE7"/>
    <w:rsid w:val="006C1EC6"/>
    <w:rsid w:val="006D680C"/>
    <w:rsid w:val="006E690A"/>
    <w:rsid w:val="006F35B1"/>
    <w:rsid w:val="006F568F"/>
    <w:rsid w:val="006F768D"/>
    <w:rsid w:val="0070332F"/>
    <w:rsid w:val="00712425"/>
    <w:rsid w:val="0071506D"/>
    <w:rsid w:val="00720206"/>
    <w:rsid w:val="00733FF3"/>
    <w:rsid w:val="007518A9"/>
    <w:rsid w:val="00752C23"/>
    <w:rsid w:val="00763431"/>
    <w:rsid w:val="007815D8"/>
    <w:rsid w:val="0078414F"/>
    <w:rsid w:val="00786ACF"/>
    <w:rsid w:val="00791AFA"/>
    <w:rsid w:val="00794239"/>
    <w:rsid w:val="007B1BF4"/>
    <w:rsid w:val="007B21AB"/>
    <w:rsid w:val="007F13DB"/>
    <w:rsid w:val="007F3C92"/>
    <w:rsid w:val="007F4127"/>
    <w:rsid w:val="007F70CC"/>
    <w:rsid w:val="008023BF"/>
    <w:rsid w:val="008222C1"/>
    <w:rsid w:val="0083020B"/>
    <w:rsid w:val="00833F73"/>
    <w:rsid w:val="00855E89"/>
    <w:rsid w:val="0086474C"/>
    <w:rsid w:val="00891FF1"/>
    <w:rsid w:val="008971BF"/>
    <w:rsid w:val="008D3EF1"/>
    <w:rsid w:val="008D6052"/>
    <w:rsid w:val="008E3D3B"/>
    <w:rsid w:val="0090430E"/>
    <w:rsid w:val="0091017A"/>
    <w:rsid w:val="00934577"/>
    <w:rsid w:val="00953FB7"/>
    <w:rsid w:val="00956907"/>
    <w:rsid w:val="00970BF4"/>
    <w:rsid w:val="009944EF"/>
    <w:rsid w:val="009A512A"/>
    <w:rsid w:val="009A78DB"/>
    <w:rsid w:val="009B0DF6"/>
    <w:rsid w:val="009B582A"/>
    <w:rsid w:val="009E16CD"/>
    <w:rsid w:val="009E354F"/>
    <w:rsid w:val="009F004A"/>
    <w:rsid w:val="00A01896"/>
    <w:rsid w:val="00A03940"/>
    <w:rsid w:val="00A0419F"/>
    <w:rsid w:val="00A21A7B"/>
    <w:rsid w:val="00A22572"/>
    <w:rsid w:val="00A31C7C"/>
    <w:rsid w:val="00A53142"/>
    <w:rsid w:val="00A6001F"/>
    <w:rsid w:val="00A65349"/>
    <w:rsid w:val="00A8358D"/>
    <w:rsid w:val="00AA08C2"/>
    <w:rsid w:val="00AA1C85"/>
    <w:rsid w:val="00AA1D7B"/>
    <w:rsid w:val="00AA6E4F"/>
    <w:rsid w:val="00AD6485"/>
    <w:rsid w:val="00AD72AB"/>
    <w:rsid w:val="00AE1599"/>
    <w:rsid w:val="00AE5342"/>
    <w:rsid w:val="00B01D34"/>
    <w:rsid w:val="00B32AC9"/>
    <w:rsid w:val="00B3448A"/>
    <w:rsid w:val="00B34837"/>
    <w:rsid w:val="00B40106"/>
    <w:rsid w:val="00B559C2"/>
    <w:rsid w:val="00BA34BC"/>
    <w:rsid w:val="00BD60A5"/>
    <w:rsid w:val="00C24990"/>
    <w:rsid w:val="00C345D6"/>
    <w:rsid w:val="00C82300"/>
    <w:rsid w:val="00C954A9"/>
    <w:rsid w:val="00CB2718"/>
    <w:rsid w:val="00CD089F"/>
    <w:rsid w:val="00CE03B7"/>
    <w:rsid w:val="00CE6624"/>
    <w:rsid w:val="00CE697A"/>
    <w:rsid w:val="00CF3B3C"/>
    <w:rsid w:val="00D03539"/>
    <w:rsid w:val="00D055B3"/>
    <w:rsid w:val="00D2507F"/>
    <w:rsid w:val="00D326DB"/>
    <w:rsid w:val="00D42761"/>
    <w:rsid w:val="00D5703C"/>
    <w:rsid w:val="00D7539E"/>
    <w:rsid w:val="00D954A4"/>
    <w:rsid w:val="00D978F7"/>
    <w:rsid w:val="00DC0812"/>
    <w:rsid w:val="00DD0F4F"/>
    <w:rsid w:val="00DD48BA"/>
    <w:rsid w:val="00DD5208"/>
    <w:rsid w:val="00DF79F8"/>
    <w:rsid w:val="00E076C1"/>
    <w:rsid w:val="00E3334E"/>
    <w:rsid w:val="00E44B4D"/>
    <w:rsid w:val="00E52F89"/>
    <w:rsid w:val="00E63C51"/>
    <w:rsid w:val="00E82C65"/>
    <w:rsid w:val="00EB0371"/>
    <w:rsid w:val="00ED48C5"/>
    <w:rsid w:val="00EE4149"/>
    <w:rsid w:val="00EE6FA9"/>
    <w:rsid w:val="00EF44B8"/>
    <w:rsid w:val="00F15364"/>
    <w:rsid w:val="00F21511"/>
    <w:rsid w:val="00F25F4B"/>
    <w:rsid w:val="00F32AEA"/>
    <w:rsid w:val="00F33E0B"/>
    <w:rsid w:val="00F43899"/>
    <w:rsid w:val="00FE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DCA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944EF"/>
    <w:pPr>
      <w:keepNext/>
      <w:numPr>
        <w:numId w:val="1"/>
      </w:numPr>
      <w:tabs>
        <w:tab w:val="left" w:pos="993"/>
      </w:tabs>
      <w:spacing w:after="120" w:line="360" w:lineRule="auto"/>
      <w:ind w:left="0" w:firstLine="709"/>
      <w:outlineLvl w:val="0"/>
    </w:pPr>
    <w:rPr>
      <w:rFonts w:cstheme="majorBidi"/>
      <w:bCs/>
      <w:smallCap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37AEC"/>
    <w:pPr>
      <w:keepNext/>
      <w:numPr>
        <w:ilvl w:val="1"/>
        <w:numId w:val="1"/>
      </w:numPr>
      <w:tabs>
        <w:tab w:val="clear" w:pos="792"/>
        <w:tab w:val="num" w:pos="1134"/>
      </w:tabs>
      <w:snapToGrid w:val="0"/>
      <w:spacing w:after="120" w:line="360" w:lineRule="auto"/>
      <w:ind w:left="0" w:firstLine="709"/>
      <w:outlineLvl w:val="1"/>
    </w:pPr>
    <w:rPr>
      <w:rFonts w:cstheme="majorBidi"/>
      <w:bCs/>
      <w:iCs/>
      <w:sz w:val="26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37AEC"/>
    <w:pPr>
      <w:keepNext/>
      <w:numPr>
        <w:ilvl w:val="2"/>
        <w:numId w:val="1"/>
      </w:numPr>
      <w:tabs>
        <w:tab w:val="clear" w:pos="1440"/>
        <w:tab w:val="num" w:pos="1276"/>
      </w:tabs>
      <w:spacing w:after="120" w:line="360" w:lineRule="auto"/>
      <w:ind w:left="0" w:firstLine="720"/>
      <w:outlineLvl w:val="2"/>
    </w:pPr>
    <w:rPr>
      <w:rFonts w:cstheme="majorBidi"/>
      <w:bCs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37AEC"/>
    <w:pPr>
      <w:keepNext/>
      <w:numPr>
        <w:ilvl w:val="3"/>
        <w:numId w:val="10"/>
      </w:numPr>
      <w:tabs>
        <w:tab w:val="num" w:pos="397"/>
      </w:tabs>
      <w:spacing w:before="240" w:after="120" w:line="312" w:lineRule="auto"/>
      <w:ind w:left="397" w:hanging="397"/>
      <w:outlineLvl w:val="3"/>
    </w:pPr>
    <w:rPr>
      <w:rFonts w:cstheme="majorBidi"/>
      <w:bCs/>
      <w:szCs w:val="28"/>
      <w:lang w:eastAsia="ru-RU"/>
    </w:rPr>
  </w:style>
  <w:style w:type="paragraph" w:styleId="5">
    <w:name w:val="heading 5"/>
    <w:basedOn w:val="a"/>
    <w:next w:val="a"/>
    <w:link w:val="50"/>
    <w:autoRedefine/>
    <w:uiPriority w:val="9"/>
    <w:qFormat/>
    <w:rsid w:val="00337AEC"/>
    <w:pPr>
      <w:keepNext/>
      <w:tabs>
        <w:tab w:val="left" w:pos="567"/>
      </w:tabs>
      <w:spacing w:before="120" w:after="60" w:line="360" w:lineRule="auto"/>
      <w:ind w:left="567" w:hanging="567"/>
      <w:outlineLvl w:val="4"/>
    </w:pPr>
    <w:rPr>
      <w:rFonts w:cstheme="majorBidi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A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A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A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AE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44EF"/>
    <w:rPr>
      <w:rFonts w:cstheme="majorBidi"/>
      <w:bCs/>
      <w:smallCaps/>
      <w:kern w:val="32"/>
      <w:sz w:val="28"/>
      <w:szCs w:val="32"/>
    </w:rPr>
  </w:style>
  <w:style w:type="character" w:customStyle="1" w:styleId="20">
    <w:name w:val="Заголовок 2 Знак"/>
    <w:link w:val="2"/>
    <w:rsid w:val="00337AEC"/>
    <w:rPr>
      <w:rFonts w:cstheme="majorBidi"/>
      <w:bCs/>
      <w:iCs/>
      <w:sz w:val="26"/>
      <w:szCs w:val="28"/>
    </w:rPr>
  </w:style>
  <w:style w:type="character" w:customStyle="1" w:styleId="30">
    <w:name w:val="Заголовок 3 Знак"/>
    <w:link w:val="3"/>
    <w:rsid w:val="00337AEC"/>
    <w:rPr>
      <w:rFonts w:cstheme="majorBidi"/>
      <w:bCs/>
      <w:sz w:val="24"/>
      <w:szCs w:val="26"/>
    </w:rPr>
  </w:style>
  <w:style w:type="character" w:customStyle="1" w:styleId="40">
    <w:name w:val="Заголовок 4 Знак"/>
    <w:link w:val="4"/>
    <w:rsid w:val="00337AEC"/>
    <w:rPr>
      <w:rFonts w:cstheme="majorBidi"/>
      <w:bCs/>
      <w:sz w:val="24"/>
      <w:szCs w:val="28"/>
    </w:rPr>
  </w:style>
  <w:style w:type="character" w:customStyle="1" w:styleId="50">
    <w:name w:val="Заголовок 5 Знак"/>
    <w:basedOn w:val="a0"/>
    <w:link w:val="5"/>
    <w:uiPriority w:val="9"/>
    <w:rsid w:val="00337AEC"/>
    <w:rPr>
      <w:rFonts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37A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337A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337AEC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337AEC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a3">
    <w:name w:val="footnote text"/>
    <w:basedOn w:val="a"/>
    <w:link w:val="a4"/>
    <w:uiPriority w:val="99"/>
    <w:unhideWhenUsed/>
    <w:rsid w:val="00D5703C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D5703C"/>
    <w:rPr>
      <w:rFonts w:eastAsia="SimSun"/>
      <w:szCs w:val="24"/>
      <w:lang w:eastAsia="zh-CN"/>
    </w:rPr>
  </w:style>
  <w:style w:type="paragraph" w:styleId="a5">
    <w:name w:val="Body Text Indent"/>
    <w:basedOn w:val="a"/>
    <w:link w:val="a6"/>
    <w:qFormat/>
    <w:rsid w:val="00337AEC"/>
    <w:pPr>
      <w:spacing w:line="360" w:lineRule="auto"/>
      <w:ind w:firstLine="709"/>
      <w:jc w:val="both"/>
    </w:pPr>
    <w:rPr>
      <w:lang w:eastAsia="ru-RU"/>
    </w:rPr>
  </w:style>
  <w:style w:type="character" w:customStyle="1" w:styleId="a6">
    <w:name w:val="Основной текст с отступом Знак"/>
    <w:link w:val="a5"/>
    <w:rsid w:val="00337AEC"/>
    <w:rPr>
      <w:sz w:val="24"/>
      <w:szCs w:val="24"/>
    </w:rPr>
  </w:style>
  <w:style w:type="paragraph" w:customStyle="1" w:styleId="a7">
    <w:name w:val="Литература"/>
    <w:basedOn w:val="a"/>
    <w:rsid w:val="00D5703C"/>
    <w:pPr>
      <w:keepNext/>
      <w:spacing w:after="120" w:line="360" w:lineRule="auto"/>
      <w:outlineLvl w:val="0"/>
    </w:pPr>
    <w:rPr>
      <w:smallCaps/>
      <w:sz w:val="28"/>
    </w:rPr>
  </w:style>
  <w:style w:type="character" w:customStyle="1" w:styleId="a8">
    <w:name w:val="Подпиь Рис Знак"/>
    <w:link w:val="a9"/>
    <w:locked/>
    <w:rsid w:val="00337AEC"/>
    <w:rPr>
      <w:sz w:val="24"/>
      <w:szCs w:val="24"/>
    </w:rPr>
  </w:style>
  <w:style w:type="paragraph" w:customStyle="1" w:styleId="a9">
    <w:name w:val="Подпиь Рис"/>
    <w:basedOn w:val="a"/>
    <w:link w:val="a8"/>
    <w:qFormat/>
    <w:rsid w:val="00337AEC"/>
    <w:pPr>
      <w:ind w:left="567" w:right="567"/>
      <w:jc w:val="center"/>
    </w:pPr>
    <w:rPr>
      <w:lang w:eastAsia="ru-RU"/>
    </w:rPr>
  </w:style>
  <w:style w:type="character" w:styleId="aa">
    <w:name w:val="footnote reference"/>
    <w:uiPriority w:val="99"/>
    <w:unhideWhenUsed/>
    <w:rsid w:val="00D5703C"/>
    <w:rPr>
      <w:vertAlign w:val="superscript"/>
    </w:rPr>
  </w:style>
  <w:style w:type="table" w:styleId="ab">
    <w:name w:val="Table Grid"/>
    <w:basedOn w:val="a1"/>
    <w:rsid w:val="00D57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5703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703C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0"/>
    <w:uiPriority w:val="99"/>
    <w:unhideWhenUsed/>
    <w:rsid w:val="00D5703C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qFormat/>
    <w:rsid w:val="00337AEC"/>
    <w:pPr>
      <w:tabs>
        <w:tab w:val="left" w:pos="426"/>
        <w:tab w:val="right" w:leader="dot" w:pos="9356"/>
      </w:tabs>
      <w:spacing w:before="160" w:line="360" w:lineRule="auto"/>
      <w:ind w:right="423"/>
    </w:pPr>
    <w:rPr>
      <w:bCs/>
      <w:noProof/>
      <w:sz w:val="28"/>
    </w:rPr>
  </w:style>
  <w:style w:type="paragraph" w:styleId="21">
    <w:name w:val="toc 2"/>
    <w:basedOn w:val="a"/>
    <w:next w:val="a"/>
    <w:autoRedefine/>
    <w:uiPriority w:val="39"/>
    <w:qFormat/>
    <w:rsid w:val="00337AEC"/>
    <w:pPr>
      <w:tabs>
        <w:tab w:val="left" w:pos="720"/>
        <w:tab w:val="right" w:leader="dot" w:pos="9344"/>
      </w:tabs>
      <w:spacing w:before="60" w:line="360" w:lineRule="auto"/>
      <w:ind w:left="709" w:right="425" w:hanging="425"/>
    </w:pPr>
    <w:rPr>
      <w:noProof/>
      <w:szCs w:val="20"/>
    </w:rPr>
  </w:style>
  <w:style w:type="paragraph" w:styleId="31">
    <w:name w:val="toc 3"/>
    <w:basedOn w:val="a"/>
    <w:next w:val="a"/>
    <w:autoRedefine/>
    <w:uiPriority w:val="39"/>
    <w:unhideWhenUsed/>
    <w:rsid w:val="00D5703C"/>
    <w:pPr>
      <w:tabs>
        <w:tab w:val="left" w:pos="1276"/>
        <w:tab w:val="right" w:leader="dot" w:pos="9344"/>
      </w:tabs>
      <w:spacing w:line="360" w:lineRule="auto"/>
      <w:ind w:left="1276" w:hanging="709"/>
    </w:pPr>
    <w:rPr>
      <w:iCs/>
      <w:noProof/>
      <w:szCs w:val="20"/>
    </w:rPr>
  </w:style>
  <w:style w:type="paragraph" w:styleId="af">
    <w:name w:val="Body Text"/>
    <w:basedOn w:val="a5"/>
    <w:link w:val="af0"/>
    <w:qFormat/>
    <w:rsid w:val="00337AEC"/>
    <w:pPr>
      <w:ind w:firstLine="0"/>
    </w:pPr>
    <w:rPr>
      <w:szCs w:val="20"/>
    </w:rPr>
  </w:style>
  <w:style w:type="character" w:customStyle="1" w:styleId="af0">
    <w:name w:val="Основной текст Знак"/>
    <w:basedOn w:val="a0"/>
    <w:link w:val="af"/>
    <w:rsid w:val="00337AEC"/>
    <w:rPr>
      <w:sz w:val="24"/>
    </w:rPr>
  </w:style>
  <w:style w:type="paragraph" w:customStyle="1" w:styleId="af1">
    <w:name w:val="Подпись Таблица"/>
    <w:basedOn w:val="a"/>
    <w:qFormat/>
    <w:rsid w:val="00337AEC"/>
    <w:pPr>
      <w:spacing w:after="120" w:line="264" w:lineRule="auto"/>
      <w:ind w:right="-2"/>
      <w:jc w:val="both"/>
    </w:pPr>
    <w:rPr>
      <w:lang w:eastAsia="ru-RU"/>
    </w:rPr>
  </w:style>
  <w:style w:type="character" w:customStyle="1" w:styleId="MTDisplayEquation">
    <w:name w:val="MTDisplayEquation Знак"/>
    <w:link w:val="MTDisplayEquation0"/>
    <w:locked/>
    <w:rsid w:val="00AA6E4F"/>
    <w:rPr>
      <w:sz w:val="24"/>
      <w:szCs w:val="24"/>
      <w:lang w:eastAsia="zh-CN"/>
    </w:rPr>
  </w:style>
  <w:style w:type="paragraph" w:customStyle="1" w:styleId="MTDisplayEquation0">
    <w:name w:val="MTDisplayEquation"/>
    <w:basedOn w:val="a"/>
    <w:next w:val="a"/>
    <w:link w:val="MTDisplayEquation"/>
    <w:autoRedefine/>
    <w:rsid w:val="00AA6E4F"/>
    <w:pPr>
      <w:tabs>
        <w:tab w:val="center" w:pos="4680"/>
        <w:tab w:val="right" w:pos="9356"/>
      </w:tabs>
      <w:spacing w:line="360" w:lineRule="auto"/>
      <w:ind w:left="360"/>
    </w:pPr>
    <w:rPr>
      <w:rFonts w:eastAsiaTheme="minorHAnsi"/>
    </w:rPr>
  </w:style>
  <w:style w:type="paragraph" w:styleId="af2">
    <w:name w:val="caption"/>
    <w:basedOn w:val="a"/>
    <w:next w:val="a"/>
    <w:uiPriority w:val="35"/>
    <w:semiHidden/>
    <w:unhideWhenUsed/>
    <w:qFormat/>
    <w:rsid w:val="00337AEC"/>
    <w:pPr>
      <w:spacing w:after="200"/>
    </w:pPr>
    <w:rPr>
      <w:b/>
      <w:bCs/>
      <w:color w:val="4F81BD" w:themeColor="accent1"/>
      <w:sz w:val="18"/>
      <w:szCs w:val="18"/>
    </w:rPr>
  </w:style>
  <w:style w:type="paragraph" w:styleId="af3">
    <w:name w:val="Title"/>
    <w:basedOn w:val="a"/>
    <w:next w:val="a"/>
    <w:link w:val="af4"/>
    <w:uiPriority w:val="10"/>
    <w:qFormat/>
    <w:rsid w:val="00337A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337A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f5">
    <w:name w:val="Book Title"/>
    <w:basedOn w:val="a0"/>
    <w:uiPriority w:val="33"/>
    <w:qFormat/>
    <w:rsid w:val="00337AEC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337AEC"/>
    <w:pPr>
      <w:keepLines/>
      <w:numPr>
        <w:numId w:val="0"/>
      </w:numPr>
      <w:tabs>
        <w:tab w:val="clear" w:pos="993"/>
      </w:tabs>
      <w:spacing w:before="480" w:after="0" w:line="240" w:lineRule="auto"/>
      <w:outlineLvl w:val="9"/>
    </w:pPr>
    <w:rPr>
      <w:rFonts w:asciiTheme="majorHAnsi" w:eastAsiaTheme="majorEastAsia" w:hAnsiTheme="majorHAnsi"/>
      <w:b/>
      <w:smallCaps w:val="0"/>
      <w:color w:val="365F91" w:themeColor="accent1" w:themeShade="BF"/>
      <w:kern w:val="0"/>
      <w:szCs w:val="28"/>
      <w:lang w:eastAsia="zh-CN"/>
    </w:rPr>
  </w:style>
  <w:style w:type="character" w:customStyle="1" w:styleId="MTEquationSection">
    <w:name w:val="MTEquationSection"/>
    <w:basedOn w:val="a0"/>
    <w:rsid w:val="002A2DFC"/>
    <w:rPr>
      <w:vanish/>
      <w:color w:val="FF0000"/>
    </w:rPr>
  </w:style>
  <w:style w:type="paragraph" w:styleId="af7">
    <w:name w:val="header"/>
    <w:basedOn w:val="a"/>
    <w:link w:val="af8"/>
    <w:uiPriority w:val="99"/>
    <w:unhideWhenUsed/>
    <w:rsid w:val="0062568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625682"/>
    <w:rPr>
      <w:sz w:val="24"/>
      <w:szCs w:val="24"/>
      <w:lang w:eastAsia="zh-CN"/>
    </w:rPr>
  </w:style>
  <w:style w:type="paragraph" w:styleId="af9">
    <w:name w:val="footer"/>
    <w:basedOn w:val="a"/>
    <w:link w:val="afa"/>
    <w:uiPriority w:val="99"/>
    <w:unhideWhenUsed/>
    <w:rsid w:val="0062568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625682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DCA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944EF"/>
    <w:pPr>
      <w:keepNext/>
      <w:numPr>
        <w:numId w:val="1"/>
      </w:numPr>
      <w:tabs>
        <w:tab w:val="left" w:pos="993"/>
      </w:tabs>
      <w:spacing w:after="120" w:line="360" w:lineRule="auto"/>
      <w:ind w:left="0" w:firstLine="709"/>
      <w:outlineLvl w:val="0"/>
    </w:pPr>
    <w:rPr>
      <w:rFonts w:cstheme="majorBidi"/>
      <w:bCs/>
      <w:smallCap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37AEC"/>
    <w:pPr>
      <w:keepNext/>
      <w:numPr>
        <w:ilvl w:val="1"/>
        <w:numId w:val="1"/>
      </w:numPr>
      <w:tabs>
        <w:tab w:val="clear" w:pos="792"/>
        <w:tab w:val="num" w:pos="1134"/>
      </w:tabs>
      <w:snapToGrid w:val="0"/>
      <w:spacing w:after="120" w:line="360" w:lineRule="auto"/>
      <w:ind w:left="0" w:firstLine="709"/>
      <w:outlineLvl w:val="1"/>
    </w:pPr>
    <w:rPr>
      <w:rFonts w:cstheme="majorBidi"/>
      <w:bCs/>
      <w:iCs/>
      <w:sz w:val="26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37AEC"/>
    <w:pPr>
      <w:keepNext/>
      <w:numPr>
        <w:ilvl w:val="2"/>
        <w:numId w:val="1"/>
      </w:numPr>
      <w:tabs>
        <w:tab w:val="clear" w:pos="1440"/>
        <w:tab w:val="num" w:pos="1276"/>
      </w:tabs>
      <w:spacing w:after="120" w:line="360" w:lineRule="auto"/>
      <w:ind w:left="0" w:firstLine="720"/>
      <w:outlineLvl w:val="2"/>
    </w:pPr>
    <w:rPr>
      <w:rFonts w:cstheme="majorBidi"/>
      <w:bCs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37AEC"/>
    <w:pPr>
      <w:keepNext/>
      <w:numPr>
        <w:ilvl w:val="3"/>
        <w:numId w:val="10"/>
      </w:numPr>
      <w:tabs>
        <w:tab w:val="num" w:pos="397"/>
      </w:tabs>
      <w:spacing w:before="240" w:after="120" w:line="312" w:lineRule="auto"/>
      <w:ind w:left="397" w:hanging="397"/>
      <w:outlineLvl w:val="3"/>
    </w:pPr>
    <w:rPr>
      <w:rFonts w:cstheme="majorBidi"/>
      <w:bCs/>
      <w:szCs w:val="28"/>
      <w:lang w:eastAsia="ru-RU"/>
    </w:rPr>
  </w:style>
  <w:style w:type="paragraph" w:styleId="5">
    <w:name w:val="heading 5"/>
    <w:basedOn w:val="a"/>
    <w:next w:val="a"/>
    <w:link w:val="50"/>
    <w:autoRedefine/>
    <w:uiPriority w:val="9"/>
    <w:qFormat/>
    <w:rsid w:val="00337AEC"/>
    <w:pPr>
      <w:keepNext/>
      <w:tabs>
        <w:tab w:val="left" w:pos="567"/>
      </w:tabs>
      <w:spacing w:before="120" w:after="60" w:line="360" w:lineRule="auto"/>
      <w:ind w:left="567" w:hanging="567"/>
      <w:outlineLvl w:val="4"/>
    </w:pPr>
    <w:rPr>
      <w:rFonts w:cstheme="majorBidi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A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A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A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AE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44EF"/>
    <w:rPr>
      <w:rFonts w:cstheme="majorBidi"/>
      <w:bCs/>
      <w:smallCaps/>
      <w:kern w:val="32"/>
      <w:sz w:val="28"/>
      <w:szCs w:val="32"/>
    </w:rPr>
  </w:style>
  <w:style w:type="character" w:customStyle="1" w:styleId="20">
    <w:name w:val="Заголовок 2 Знак"/>
    <w:link w:val="2"/>
    <w:rsid w:val="00337AEC"/>
    <w:rPr>
      <w:rFonts w:cstheme="majorBidi"/>
      <w:bCs/>
      <w:iCs/>
      <w:sz w:val="26"/>
      <w:szCs w:val="28"/>
    </w:rPr>
  </w:style>
  <w:style w:type="character" w:customStyle="1" w:styleId="30">
    <w:name w:val="Заголовок 3 Знак"/>
    <w:link w:val="3"/>
    <w:rsid w:val="00337AEC"/>
    <w:rPr>
      <w:rFonts w:cstheme="majorBidi"/>
      <w:bCs/>
      <w:sz w:val="24"/>
      <w:szCs w:val="26"/>
    </w:rPr>
  </w:style>
  <w:style w:type="character" w:customStyle="1" w:styleId="40">
    <w:name w:val="Заголовок 4 Знак"/>
    <w:link w:val="4"/>
    <w:rsid w:val="00337AEC"/>
    <w:rPr>
      <w:rFonts w:cstheme="majorBidi"/>
      <w:bCs/>
      <w:sz w:val="24"/>
      <w:szCs w:val="28"/>
    </w:rPr>
  </w:style>
  <w:style w:type="character" w:customStyle="1" w:styleId="50">
    <w:name w:val="Заголовок 5 Знак"/>
    <w:basedOn w:val="a0"/>
    <w:link w:val="5"/>
    <w:uiPriority w:val="9"/>
    <w:rsid w:val="00337AEC"/>
    <w:rPr>
      <w:rFonts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37A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337A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337AEC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337AEC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a3">
    <w:name w:val="footnote text"/>
    <w:basedOn w:val="a"/>
    <w:link w:val="a4"/>
    <w:uiPriority w:val="99"/>
    <w:unhideWhenUsed/>
    <w:rsid w:val="00D5703C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D5703C"/>
    <w:rPr>
      <w:rFonts w:eastAsia="SimSun"/>
      <w:szCs w:val="24"/>
      <w:lang w:eastAsia="zh-CN"/>
    </w:rPr>
  </w:style>
  <w:style w:type="paragraph" w:styleId="a5">
    <w:name w:val="Body Text Indent"/>
    <w:basedOn w:val="a"/>
    <w:link w:val="a6"/>
    <w:qFormat/>
    <w:rsid w:val="00337AEC"/>
    <w:pPr>
      <w:spacing w:line="360" w:lineRule="auto"/>
      <w:ind w:firstLine="709"/>
      <w:jc w:val="both"/>
    </w:pPr>
    <w:rPr>
      <w:lang w:eastAsia="ru-RU"/>
    </w:rPr>
  </w:style>
  <w:style w:type="character" w:customStyle="1" w:styleId="a6">
    <w:name w:val="Основной текст с отступом Знак"/>
    <w:link w:val="a5"/>
    <w:rsid w:val="00337AEC"/>
    <w:rPr>
      <w:sz w:val="24"/>
      <w:szCs w:val="24"/>
    </w:rPr>
  </w:style>
  <w:style w:type="paragraph" w:customStyle="1" w:styleId="a7">
    <w:name w:val="Литература"/>
    <w:basedOn w:val="a"/>
    <w:rsid w:val="00D5703C"/>
    <w:pPr>
      <w:keepNext/>
      <w:spacing w:after="120" w:line="360" w:lineRule="auto"/>
      <w:outlineLvl w:val="0"/>
    </w:pPr>
    <w:rPr>
      <w:smallCaps/>
      <w:sz w:val="28"/>
    </w:rPr>
  </w:style>
  <w:style w:type="character" w:customStyle="1" w:styleId="a8">
    <w:name w:val="Подпиь Рис Знак"/>
    <w:link w:val="a9"/>
    <w:locked/>
    <w:rsid w:val="00337AEC"/>
    <w:rPr>
      <w:sz w:val="24"/>
      <w:szCs w:val="24"/>
    </w:rPr>
  </w:style>
  <w:style w:type="paragraph" w:customStyle="1" w:styleId="a9">
    <w:name w:val="Подпиь Рис"/>
    <w:basedOn w:val="a"/>
    <w:link w:val="a8"/>
    <w:qFormat/>
    <w:rsid w:val="00337AEC"/>
    <w:pPr>
      <w:ind w:left="567" w:right="567"/>
      <w:jc w:val="center"/>
    </w:pPr>
    <w:rPr>
      <w:lang w:eastAsia="ru-RU"/>
    </w:rPr>
  </w:style>
  <w:style w:type="character" w:styleId="aa">
    <w:name w:val="footnote reference"/>
    <w:uiPriority w:val="99"/>
    <w:unhideWhenUsed/>
    <w:rsid w:val="00D5703C"/>
    <w:rPr>
      <w:vertAlign w:val="superscript"/>
    </w:rPr>
  </w:style>
  <w:style w:type="table" w:styleId="ab">
    <w:name w:val="Table Grid"/>
    <w:basedOn w:val="a1"/>
    <w:rsid w:val="00D57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5703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703C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0"/>
    <w:uiPriority w:val="99"/>
    <w:unhideWhenUsed/>
    <w:rsid w:val="00D5703C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qFormat/>
    <w:rsid w:val="00337AEC"/>
    <w:pPr>
      <w:tabs>
        <w:tab w:val="left" w:pos="426"/>
        <w:tab w:val="right" w:leader="dot" w:pos="9356"/>
      </w:tabs>
      <w:spacing w:before="160" w:line="360" w:lineRule="auto"/>
      <w:ind w:right="423"/>
    </w:pPr>
    <w:rPr>
      <w:bCs/>
      <w:noProof/>
      <w:sz w:val="28"/>
    </w:rPr>
  </w:style>
  <w:style w:type="paragraph" w:styleId="21">
    <w:name w:val="toc 2"/>
    <w:basedOn w:val="a"/>
    <w:next w:val="a"/>
    <w:autoRedefine/>
    <w:uiPriority w:val="39"/>
    <w:qFormat/>
    <w:rsid w:val="00337AEC"/>
    <w:pPr>
      <w:tabs>
        <w:tab w:val="left" w:pos="720"/>
        <w:tab w:val="right" w:leader="dot" w:pos="9344"/>
      </w:tabs>
      <w:spacing w:before="60" w:line="360" w:lineRule="auto"/>
      <w:ind w:left="709" w:right="425" w:hanging="425"/>
    </w:pPr>
    <w:rPr>
      <w:noProof/>
      <w:szCs w:val="20"/>
    </w:rPr>
  </w:style>
  <w:style w:type="paragraph" w:styleId="31">
    <w:name w:val="toc 3"/>
    <w:basedOn w:val="a"/>
    <w:next w:val="a"/>
    <w:autoRedefine/>
    <w:uiPriority w:val="39"/>
    <w:unhideWhenUsed/>
    <w:rsid w:val="00D5703C"/>
    <w:pPr>
      <w:tabs>
        <w:tab w:val="left" w:pos="1276"/>
        <w:tab w:val="right" w:leader="dot" w:pos="9344"/>
      </w:tabs>
      <w:spacing w:line="360" w:lineRule="auto"/>
      <w:ind w:left="1276" w:hanging="709"/>
    </w:pPr>
    <w:rPr>
      <w:iCs/>
      <w:noProof/>
      <w:szCs w:val="20"/>
    </w:rPr>
  </w:style>
  <w:style w:type="paragraph" w:styleId="af">
    <w:name w:val="Body Text"/>
    <w:basedOn w:val="a5"/>
    <w:link w:val="af0"/>
    <w:qFormat/>
    <w:rsid w:val="00337AEC"/>
    <w:pPr>
      <w:ind w:firstLine="0"/>
    </w:pPr>
    <w:rPr>
      <w:szCs w:val="20"/>
    </w:rPr>
  </w:style>
  <w:style w:type="character" w:customStyle="1" w:styleId="af0">
    <w:name w:val="Основной текст Знак"/>
    <w:basedOn w:val="a0"/>
    <w:link w:val="af"/>
    <w:rsid w:val="00337AEC"/>
    <w:rPr>
      <w:sz w:val="24"/>
    </w:rPr>
  </w:style>
  <w:style w:type="paragraph" w:customStyle="1" w:styleId="af1">
    <w:name w:val="Подпись Таблица"/>
    <w:basedOn w:val="a"/>
    <w:qFormat/>
    <w:rsid w:val="00337AEC"/>
    <w:pPr>
      <w:spacing w:after="120" w:line="264" w:lineRule="auto"/>
      <w:ind w:right="-2"/>
      <w:jc w:val="both"/>
    </w:pPr>
    <w:rPr>
      <w:lang w:eastAsia="ru-RU"/>
    </w:rPr>
  </w:style>
  <w:style w:type="character" w:customStyle="1" w:styleId="MTDisplayEquation">
    <w:name w:val="MTDisplayEquation Знак"/>
    <w:link w:val="MTDisplayEquation0"/>
    <w:locked/>
    <w:rsid w:val="00AA6E4F"/>
    <w:rPr>
      <w:sz w:val="24"/>
      <w:szCs w:val="24"/>
      <w:lang w:eastAsia="zh-CN"/>
    </w:rPr>
  </w:style>
  <w:style w:type="paragraph" w:customStyle="1" w:styleId="MTDisplayEquation0">
    <w:name w:val="MTDisplayEquation"/>
    <w:basedOn w:val="a"/>
    <w:next w:val="a"/>
    <w:link w:val="MTDisplayEquation"/>
    <w:autoRedefine/>
    <w:rsid w:val="00AA6E4F"/>
    <w:pPr>
      <w:tabs>
        <w:tab w:val="center" w:pos="4680"/>
        <w:tab w:val="right" w:pos="9356"/>
      </w:tabs>
      <w:spacing w:line="360" w:lineRule="auto"/>
      <w:ind w:left="360"/>
    </w:pPr>
    <w:rPr>
      <w:rFonts w:eastAsiaTheme="minorHAnsi"/>
    </w:rPr>
  </w:style>
  <w:style w:type="paragraph" w:styleId="af2">
    <w:name w:val="caption"/>
    <w:basedOn w:val="a"/>
    <w:next w:val="a"/>
    <w:uiPriority w:val="35"/>
    <w:semiHidden/>
    <w:unhideWhenUsed/>
    <w:qFormat/>
    <w:rsid w:val="00337AEC"/>
    <w:pPr>
      <w:spacing w:after="200"/>
    </w:pPr>
    <w:rPr>
      <w:b/>
      <w:bCs/>
      <w:color w:val="4F81BD" w:themeColor="accent1"/>
      <w:sz w:val="18"/>
      <w:szCs w:val="18"/>
    </w:rPr>
  </w:style>
  <w:style w:type="paragraph" w:styleId="af3">
    <w:name w:val="Title"/>
    <w:basedOn w:val="a"/>
    <w:next w:val="a"/>
    <w:link w:val="af4"/>
    <w:uiPriority w:val="10"/>
    <w:qFormat/>
    <w:rsid w:val="00337A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337A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f5">
    <w:name w:val="Book Title"/>
    <w:basedOn w:val="a0"/>
    <w:uiPriority w:val="33"/>
    <w:qFormat/>
    <w:rsid w:val="00337AEC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337AEC"/>
    <w:pPr>
      <w:keepLines/>
      <w:numPr>
        <w:numId w:val="0"/>
      </w:numPr>
      <w:tabs>
        <w:tab w:val="clear" w:pos="993"/>
      </w:tabs>
      <w:spacing w:before="480" w:after="0" w:line="240" w:lineRule="auto"/>
      <w:outlineLvl w:val="9"/>
    </w:pPr>
    <w:rPr>
      <w:rFonts w:asciiTheme="majorHAnsi" w:eastAsiaTheme="majorEastAsia" w:hAnsiTheme="majorHAnsi"/>
      <w:b/>
      <w:smallCaps w:val="0"/>
      <w:color w:val="365F91" w:themeColor="accent1" w:themeShade="BF"/>
      <w:kern w:val="0"/>
      <w:szCs w:val="28"/>
      <w:lang w:eastAsia="zh-CN"/>
    </w:rPr>
  </w:style>
  <w:style w:type="character" w:customStyle="1" w:styleId="MTEquationSection">
    <w:name w:val="MTEquationSection"/>
    <w:basedOn w:val="a0"/>
    <w:rsid w:val="002A2DFC"/>
    <w:rPr>
      <w:vanish/>
      <w:color w:val="FF0000"/>
    </w:rPr>
  </w:style>
  <w:style w:type="paragraph" w:styleId="af7">
    <w:name w:val="header"/>
    <w:basedOn w:val="a"/>
    <w:link w:val="af8"/>
    <w:uiPriority w:val="99"/>
    <w:unhideWhenUsed/>
    <w:rsid w:val="0062568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625682"/>
    <w:rPr>
      <w:sz w:val="24"/>
      <w:szCs w:val="24"/>
      <w:lang w:eastAsia="zh-CN"/>
    </w:rPr>
  </w:style>
  <w:style w:type="paragraph" w:styleId="af9">
    <w:name w:val="footer"/>
    <w:basedOn w:val="a"/>
    <w:link w:val="afa"/>
    <w:uiPriority w:val="99"/>
    <w:unhideWhenUsed/>
    <w:rsid w:val="0062568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62568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31707-F242-4712-A092-1859C8A2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Евдокимов</cp:lastModifiedBy>
  <cp:revision>11</cp:revision>
  <dcterms:created xsi:type="dcterms:W3CDTF">2017-11-06T08:56:00Z</dcterms:created>
  <dcterms:modified xsi:type="dcterms:W3CDTF">2017-11-06T10:00:00Z</dcterms:modified>
</cp:coreProperties>
</file>