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B5" w:rsidRDefault="007341B5" w:rsidP="007341B5">
      <w:pPr>
        <w:rPr>
          <w:rFonts w:eastAsia="SimSun"/>
          <w:b/>
          <w:u w:val="single"/>
          <w:lang w:eastAsia="zh-CN"/>
        </w:rPr>
      </w:pPr>
      <w:bookmarkStart w:id="0" w:name="_GoBack"/>
      <w:bookmarkEnd w:id="0"/>
      <w:r w:rsidRPr="007074F5">
        <w:rPr>
          <w:rFonts w:eastAsia="SimSun"/>
          <w:b/>
          <w:u w:val="single"/>
          <w:lang w:eastAsia="zh-CN"/>
        </w:rPr>
        <w:t>Events classified as Significant this month:</w:t>
      </w:r>
    </w:p>
    <w:tbl>
      <w:tblPr>
        <w:tblW w:w="9067" w:type="dxa"/>
        <w:tblLook w:val="04A0"/>
      </w:tblPr>
      <w:tblGrid>
        <w:gridCol w:w="1838"/>
        <w:gridCol w:w="7229"/>
      </w:tblGrid>
      <w:tr w:rsidR="00A439FF" w:rsidRPr="002F6C66" w:rsidTr="00021BB9">
        <w:trPr>
          <w:trHeight w:val="450"/>
        </w:trPr>
        <w:tc>
          <w:tcPr>
            <w:tcW w:w="18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39FF" w:rsidRPr="002F6C66" w:rsidRDefault="00343E7F" w:rsidP="00A43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722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39FF" w:rsidRPr="002F6C66" w:rsidRDefault="00A439FF" w:rsidP="00A43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021BB9" w:rsidRDefault="00021BB9" w:rsidP="007341B5">
      <w:pPr>
        <w:rPr>
          <w:rFonts w:eastAsia="SimSun"/>
          <w:b/>
          <w:u w:val="single"/>
          <w:lang w:eastAsia="zh-CN"/>
        </w:rPr>
      </w:pPr>
    </w:p>
    <w:p w:rsidR="00224443" w:rsidRDefault="007341B5" w:rsidP="007341B5">
      <w:pPr>
        <w:rPr>
          <w:rFonts w:eastAsia="SimSun"/>
          <w:b/>
          <w:u w:val="single"/>
          <w:lang w:eastAsia="zh-CN"/>
        </w:rPr>
      </w:pPr>
      <w:r w:rsidRPr="007074F5">
        <w:rPr>
          <w:rFonts w:eastAsia="SimSun"/>
          <w:b/>
          <w:u w:val="single"/>
          <w:lang w:eastAsia="zh-CN"/>
        </w:rPr>
        <w:t>Events classified as Noteworthy this month:</w:t>
      </w:r>
    </w:p>
    <w:tbl>
      <w:tblPr>
        <w:tblW w:w="9059" w:type="dxa"/>
        <w:tblInd w:w="-5" w:type="dxa"/>
        <w:tblLook w:val="04A0"/>
      </w:tblPr>
      <w:tblGrid>
        <w:gridCol w:w="1840"/>
        <w:gridCol w:w="7219"/>
      </w:tblGrid>
      <w:tr w:rsidR="00816B1C" w:rsidRPr="00816B1C" w:rsidTr="00816B1C">
        <w:trPr>
          <w:trHeight w:val="317"/>
        </w:trPr>
        <w:tc>
          <w:tcPr>
            <w:tcW w:w="18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0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TYO 17-0329</w:t>
              </w:r>
            </w:hyperlink>
          </w:p>
        </w:tc>
        <w:tc>
          <w:tcPr>
            <w:tcW w:w="721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Main control room operator station unavailable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1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TYO 17-0324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Unexpected Loss of Reactor Coolant Water Level during Reactor Head Removal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2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TYO 17-0300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Excessive defects were found in RT inspection of BOSS weld joints of Unit 1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3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PAR 17-0443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Startup Failures during low power test on emergency diesel generator train A 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4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PAR 17-0437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Automatic reactor scram due to a fault on the main transformer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5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PAR 17-0424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Reactor Manually Shutdown Due To Failure Of Main Boiler Feed Pump Impeller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6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PAR 17-0414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Improper Welded Connection of Reactor Coolant Curcuit Auxiliary Pipeline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7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ATL 17-1042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Instrument Line Nozzle Leak Identified During Reactor Pressure Vessel Leakage Test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8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ATL 17-0991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#PRELIMINARY# Unplanned Reactor Trip from 100% as a Result of the Loss of a 4kv Bus</w:t>
            </w:r>
          </w:p>
        </w:tc>
      </w:tr>
      <w:tr w:rsidR="00816B1C" w:rsidRPr="00816B1C" w:rsidTr="00816B1C">
        <w:trPr>
          <w:trHeight w:val="317"/>
        </w:trPr>
        <w:tc>
          <w:tcPr>
            <w:tcW w:w="18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721639" w:rsidP="00816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9" w:history="1">
              <w:r w:rsidR="00816B1C" w:rsidRPr="00816B1C">
                <w:rPr>
                  <w:rFonts w:ascii="Arial" w:eastAsia="Times New Roman" w:hAnsi="Arial" w:cs="Arial"/>
                  <w:b/>
                  <w:bCs/>
                  <w:color w:val="00008B"/>
                  <w:sz w:val="16"/>
                  <w:szCs w:val="16"/>
                  <w:lang w:eastAsia="zh-CN"/>
                </w:rPr>
                <w:t>WER ATL 17-0950</w:t>
              </w:r>
            </w:hyperlink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16B1C" w:rsidRPr="00816B1C" w:rsidRDefault="00816B1C" w:rsidP="0081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16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Unusual Event Declaration Results From Work Performed Outside of a Troubleshooting Plan</w:t>
            </w:r>
          </w:p>
        </w:tc>
      </w:tr>
    </w:tbl>
    <w:p w:rsidR="0009287E" w:rsidRDefault="0009287E" w:rsidP="005802D0">
      <w:pPr>
        <w:rPr>
          <w:b/>
        </w:rPr>
      </w:pPr>
    </w:p>
    <w:p w:rsidR="005802D0" w:rsidRDefault="007341B5" w:rsidP="00441E71">
      <w:pPr>
        <w:tabs>
          <w:tab w:val="left" w:pos="5835"/>
        </w:tabs>
      </w:pPr>
      <w:r w:rsidRPr="007341B5">
        <w:rPr>
          <w:b/>
        </w:rPr>
        <w:t>New documents issued this month:</w:t>
      </w:r>
      <w:r w:rsidR="00441E71">
        <w:rPr>
          <w:b/>
        </w:rPr>
        <w:tab/>
      </w:r>
    </w:p>
    <w:p w:rsidR="007341B5" w:rsidRDefault="004A637B" w:rsidP="0086705E">
      <w:pPr>
        <w:spacing w:after="0"/>
      </w:pPr>
      <w:r>
        <w:t>None</w:t>
      </w:r>
    </w:p>
    <w:p w:rsidR="004A637B" w:rsidRDefault="004A637B" w:rsidP="0086705E">
      <w:pPr>
        <w:spacing w:after="0"/>
      </w:pPr>
    </w:p>
    <w:p w:rsidR="007341B5" w:rsidRDefault="008E432E">
      <w:pPr>
        <w:rPr>
          <w:b/>
        </w:rPr>
      </w:pPr>
      <w:r>
        <w:rPr>
          <w:b/>
        </w:rPr>
        <w:t xml:space="preserve">Performance Analysis </w:t>
      </w:r>
      <w:r w:rsidR="009B64C6">
        <w:rPr>
          <w:b/>
        </w:rPr>
        <w:t xml:space="preserve">(PA) </w:t>
      </w:r>
      <w:r>
        <w:rPr>
          <w:b/>
        </w:rPr>
        <w:t>comments</w:t>
      </w:r>
    </w:p>
    <w:p w:rsidR="008F3476" w:rsidRDefault="008F3476">
      <w:r>
        <w:t>At the end of August, WANO held a performance analysis meeting to identify the main negative trends in the industry</w:t>
      </w:r>
      <w:r w:rsidR="00A94E76">
        <w:t>.</w:t>
      </w:r>
      <w:r>
        <w:t xml:space="preserve"> All regional centres and London Office agreed that WANO should investigate the following six areas</w:t>
      </w:r>
      <w:r w:rsidR="00B95349">
        <w:t xml:space="preserve"> in a greater detail</w:t>
      </w:r>
      <w:r>
        <w:t xml:space="preserve">: </w:t>
      </w:r>
    </w:p>
    <w:p w:rsidR="008F3476" w:rsidRDefault="008F3476" w:rsidP="008F3476">
      <w:pPr>
        <w:pStyle w:val="ac"/>
        <w:numPr>
          <w:ilvl w:val="0"/>
          <w:numId w:val="6"/>
        </w:numPr>
      </w:pPr>
      <w:r w:rsidRPr="00B95349">
        <w:rPr>
          <w:i/>
        </w:rPr>
        <w:t>Operator fundamentals</w:t>
      </w:r>
      <w:r>
        <w:t xml:space="preserve"> – many OE events and AFI</w:t>
      </w:r>
      <w:r w:rsidR="006B111D">
        <w:t>s</w:t>
      </w:r>
      <w:r>
        <w:t xml:space="preserve"> show deficiencies in this area which resulted in inadequate response to events</w:t>
      </w:r>
    </w:p>
    <w:p w:rsidR="008F3476" w:rsidRDefault="008F3476" w:rsidP="008F3476">
      <w:pPr>
        <w:pStyle w:val="ac"/>
        <w:numPr>
          <w:ilvl w:val="0"/>
          <w:numId w:val="6"/>
        </w:numPr>
      </w:pPr>
      <w:r w:rsidRPr="00B95349">
        <w:rPr>
          <w:i/>
        </w:rPr>
        <w:t>Fire Protection</w:t>
      </w:r>
      <w:r>
        <w:t xml:space="preserve"> – many AFI</w:t>
      </w:r>
      <w:r w:rsidR="006B111D">
        <w:t>s</w:t>
      </w:r>
      <w:r>
        <w:t xml:space="preserve"> show deficiencies in fire protection. Few OE reports are related to fire but the ones reported had major consequences</w:t>
      </w:r>
    </w:p>
    <w:p w:rsidR="008F3476" w:rsidRDefault="008F3476" w:rsidP="008F3476">
      <w:pPr>
        <w:pStyle w:val="ac"/>
        <w:numPr>
          <w:ilvl w:val="0"/>
          <w:numId w:val="6"/>
        </w:numPr>
      </w:pPr>
      <w:r w:rsidRPr="00B95349">
        <w:rPr>
          <w:i/>
        </w:rPr>
        <w:t>New units</w:t>
      </w:r>
      <w:r>
        <w:t xml:space="preserve"> – new plants present a number of challenges, from operator preparedness to design deficiencies</w:t>
      </w:r>
    </w:p>
    <w:p w:rsidR="008F3476" w:rsidRDefault="008F3476" w:rsidP="008F3476">
      <w:pPr>
        <w:pStyle w:val="ac"/>
        <w:numPr>
          <w:ilvl w:val="0"/>
          <w:numId w:val="6"/>
        </w:numPr>
      </w:pPr>
      <w:r w:rsidRPr="00B95349">
        <w:rPr>
          <w:i/>
        </w:rPr>
        <w:t>Maintenance fundamentals</w:t>
      </w:r>
      <w:r>
        <w:t xml:space="preserve"> – many OE events and AFI</w:t>
      </w:r>
      <w:r w:rsidR="006B111D">
        <w:t>s</w:t>
      </w:r>
      <w:r>
        <w:t xml:space="preserve"> show deficiencies in this area resulting in major events</w:t>
      </w:r>
    </w:p>
    <w:p w:rsidR="008F3476" w:rsidRDefault="008F3476" w:rsidP="008F3476">
      <w:pPr>
        <w:pStyle w:val="ac"/>
        <w:numPr>
          <w:ilvl w:val="0"/>
          <w:numId w:val="6"/>
        </w:numPr>
      </w:pPr>
      <w:r w:rsidRPr="00B95349">
        <w:rPr>
          <w:i/>
        </w:rPr>
        <w:t>Preventive maintenance</w:t>
      </w:r>
      <w:r>
        <w:t xml:space="preserve"> – this was already highlighte</w:t>
      </w:r>
      <w:r w:rsidR="00E55614">
        <w:t>d in previous monthly reports</w:t>
      </w:r>
    </w:p>
    <w:p w:rsidR="00266769" w:rsidRDefault="00B95349" w:rsidP="008F3476">
      <w:pPr>
        <w:pStyle w:val="ac"/>
        <w:numPr>
          <w:ilvl w:val="0"/>
          <w:numId w:val="6"/>
        </w:numPr>
      </w:pPr>
      <w:r w:rsidRPr="00B95349">
        <w:rPr>
          <w:i/>
        </w:rPr>
        <w:t>L</w:t>
      </w:r>
      <w:r w:rsidR="00E55614" w:rsidRPr="00B95349">
        <w:rPr>
          <w:i/>
        </w:rPr>
        <w:t>eadership issues</w:t>
      </w:r>
      <w:r w:rsidR="00E55614">
        <w:t xml:space="preserve"> – many events </w:t>
      </w:r>
      <w:r>
        <w:t xml:space="preserve">are caused by underlying </w:t>
      </w:r>
      <w:r w:rsidR="00E55614">
        <w:t>leadership issues.</w:t>
      </w:r>
    </w:p>
    <w:p w:rsidR="00E55614" w:rsidRDefault="00E55614">
      <w:r>
        <w:t xml:space="preserve">WANO will take a closer look at these six areas in the next months to identify specific issues and suggest effective recommendations. </w:t>
      </w:r>
    </w:p>
    <w:p w:rsidR="00021BB9" w:rsidRPr="00021BB9" w:rsidRDefault="007E1B67">
      <w:r>
        <w:t xml:space="preserve">Regarding reporting events, </w:t>
      </w:r>
      <w:r w:rsidR="00A94E76">
        <w:t xml:space="preserve">PC </w:t>
      </w:r>
      <w:r w:rsidR="00E55614">
        <w:t xml:space="preserve">keeps reporting </w:t>
      </w:r>
      <w:r w:rsidR="00021BB9" w:rsidRPr="00021BB9">
        <w:t xml:space="preserve">fewer events compared to </w:t>
      </w:r>
      <w:r w:rsidR="00A94E76">
        <w:t xml:space="preserve">previous year. </w:t>
      </w:r>
      <w:r w:rsidR="00E55614">
        <w:t>This issue was discussed with PC and it was suggested to raise it at the next WIO meeting in September</w:t>
      </w:r>
      <w:r w:rsidR="004622B8">
        <w:t xml:space="preserve"> – see also graphs below</w:t>
      </w:r>
      <w:r w:rsidR="00A94E76">
        <w:t xml:space="preserve">. </w:t>
      </w:r>
      <w:r w:rsidR="00100F19">
        <w:t xml:space="preserve"> Moreover, these events were not reported in a timely manner (median for PC was 1</w:t>
      </w:r>
      <w:r w:rsidR="00E55614">
        <w:t>73</w:t>
      </w:r>
      <w:r w:rsidR="00100F19">
        <w:t xml:space="preserve"> days).  </w:t>
      </w:r>
    </w:p>
    <w:p w:rsidR="00FA0EC5" w:rsidRPr="000E5EF7" w:rsidRDefault="00C64BB3">
      <w:r w:rsidRPr="000E5EF7">
        <w:br w:type="page"/>
      </w:r>
    </w:p>
    <w:p w:rsidR="007341B5" w:rsidRDefault="007341B5">
      <w:pPr>
        <w:rPr>
          <w:b/>
        </w:rPr>
      </w:pPr>
      <w:r w:rsidRPr="007341B5">
        <w:rPr>
          <w:b/>
        </w:rPr>
        <w:lastRenderedPageBreak/>
        <w:t>Statistics</w:t>
      </w:r>
    </w:p>
    <w:p w:rsidR="000C02E3" w:rsidRPr="007074F5" w:rsidRDefault="000C02E3" w:rsidP="000C02E3">
      <w:pPr>
        <w:spacing w:before="120" w:after="120"/>
        <w:outlineLvl w:val="0"/>
        <w:rPr>
          <w:b/>
        </w:rPr>
      </w:pPr>
      <w:r>
        <w:rPr>
          <w:b/>
          <w:u w:val="single"/>
        </w:rPr>
        <w:t>E</w:t>
      </w:r>
      <w:r w:rsidRPr="007074F5">
        <w:rPr>
          <w:b/>
          <w:u w:val="single"/>
        </w:rPr>
        <w:t>vent Reporting Level and Timeliness</w:t>
      </w:r>
    </w:p>
    <w:p w:rsidR="000C02E3" w:rsidRPr="007074F5" w:rsidRDefault="000C02E3" w:rsidP="000C02E3">
      <w:pPr>
        <w:jc w:val="center"/>
        <w:outlineLvl w:val="0"/>
        <w:rPr>
          <w:b/>
        </w:rPr>
      </w:pPr>
      <w:r w:rsidRPr="007074F5">
        <w:rPr>
          <w:b/>
        </w:rPr>
        <w:t xml:space="preserve">WANO Event Reports (WERs) &amp; Preliminary WERs published by </w:t>
      </w:r>
      <w:r>
        <w:rPr>
          <w:b/>
        </w:rPr>
        <w:t>PA</w:t>
      </w:r>
      <w:r w:rsidRPr="007074F5">
        <w:rPr>
          <w:b/>
        </w:rPr>
        <w:t>CT</w:t>
      </w:r>
    </w:p>
    <w:tbl>
      <w:tblPr>
        <w:tblW w:w="495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000"/>
      </w:tblPr>
      <w:tblGrid>
        <w:gridCol w:w="1893"/>
        <w:gridCol w:w="1453"/>
        <w:gridCol w:w="1456"/>
        <w:gridCol w:w="1454"/>
        <w:gridCol w:w="1456"/>
        <w:gridCol w:w="1454"/>
      </w:tblGrid>
      <w:tr w:rsidR="000C02E3" w:rsidRPr="007074F5" w:rsidTr="00DE4CEA">
        <w:trPr>
          <w:trHeight w:val="532"/>
        </w:trPr>
        <w:tc>
          <w:tcPr>
            <w:tcW w:w="1033" w:type="pct"/>
            <w:tcBorders>
              <w:righ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  <w:tc>
          <w:tcPr>
            <w:tcW w:w="794" w:type="pct"/>
            <w:tcBorders>
              <w:lef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Total</w:t>
            </w:r>
          </w:p>
        </w:tc>
      </w:tr>
      <w:tr w:rsidR="000C02E3" w:rsidRPr="007074F5" w:rsidTr="008E0647">
        <w:tc>
          <w:tcPr>
            <w:tcW w:w="1033" w:type="pct"/>
            <w:tcBorders>
              <w:right w:val="single" w:sz="6" w:space="0" w:color="auto"/>
            </w:tcBorders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503DEE" w:rsidRDefault="00DE4CEA" w:rsidP="00DE14DB">
            <w:pPr>
              <w:jc w:val="center"/>
              <w:rPr>
                <w:b/>
              </w:rPr>
            </w:pPr>
            <w:r>
              <w:rPr>
                <w:b/>
              </w:rPr>
              <w:t>1048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503DEE" w:rsidRDefault="00DE4CEA" w:rsidP="00DE14DB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503DEE" w:rsidRDefault="00DE4CEA" w:rsidP="00DE14DB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503DEE" w:rsidRDefault="00DE4CEA" w:rsidP="00DE14DB">
            <w:pPr>
              <w:jc w:val="center"/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794" w:type="pct"/>
            <w:tcBorders>
              <w:left w:val="single" w:sz="6" w:space="0" w:color="auto"/>
            </w:tcBorders>
          </w:tcPr>
          <w:p w:rsidR="000C02E3" w:rsidRPr="00503DEE" w:rsidRDefault="00DE4CEA" w:rsidP="00DE14DB">
            <w:pPr>
              <w:jc w:val="center"/>
              <w:rPr>
                <w:b/>
              </w:rPr>
            </w:pPr>
            <w:r>
              <w:rPr>
                <w:b/>
              </w:rPr>
              <w:t>2048</w:t>
            </w:r>
          </w:p>
        </w:tc>
      </w:tr>
      <w:tr w:rsidR="000C02E3" w:rsidRPr="007074F5" w:rsidTr="008E0647"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="SimSun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1533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274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1134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478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3419</w:t>
            </w:r>
          </w:p>
        </w:tc>
      </w:tr>
      <w:tr w:rsidR="000C02E3" w:rsidRPr="007074F5" w:rsidTr="008E0647"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1443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273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329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</w:tcBorders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3,083</w:t>
            </w:r>
          </w:p>
        </w:tc>
      </w:tr>
    </w:tbl>
    <w:p w:rsidR="000C02E3" w:rsidRPr="007074F5" w:rsidRDefault="000C02E3" w:rsidP="000C02E3">
      <w:pPr>
        <w:spacing w:before="120"/>
        <w:ind w:left="142" w:hanging="142"/>
        <w:jc w:val="center"/>
        <w:outlineLvl w:val="0"/>
        <w:rPr>
          <w:b/>
        </w:rPr>
      </w:pPr>
      <w:r w:rsidRPr="007074F5">
        <w:rPr>
          <w:b/>
        </w:rPr>
        <w:t>Units in operations (after first criticality)</w:t>
      </w:r>
    </w:p>
    <w:tbl>
      <w:tblPr>
        <w:tblW w:w="495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000"/>
      </w:tblPr>
      <w:tblGrid>
        <w:gridCol w:w="1888"/>
        <w:gridCol w:w="1449"/>
        <w:gridCol w:w="1480"/>
        <w:gridCol w:w="1449"/>
        <w:gridCol w:w="1451"/>
        <w:gridCol w:w="1449"/>
      </w:tblGrid>
      <w:tr w:rsidR="000C02E3" w:rsidRPr="00172FB4" w:rsidTr="008E0647">
        <w:tc>
          <w:tcPr>
            <w:tcW w:w="1033" w:type="pct"/>
            <w:tcBorders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Atlanta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Moscow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Paris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Tokyo</w:t>
            </w:r>
          </w:p>
        </w:tc>
        <w:tc>
          <w:tcPr>
            <w:tcW w:w="794" w:type="pct"/>
            <w:tcBorders>
              <w:lef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Total</w:t>
            </w:r>
          </w:p>
        </w:tc>
      </w:tr>
      <w:tr w:rsidR="000C02E3" w:rsidRPr="00172FB4" w:rsidTr="008E0647">
        <w:tc>
          <w:tcPr>
            <w:tcW w:w="1033" w:type="pct"/>
            <w:tcBorders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sz w:val="20"/>
                <w:lang w:eastAsia="ja-JP"/>
              </w:rPr>
            </w:pPr>
            <w:r w:rsidRPr="00172FB4">
              <w:rPr>
                <w:i/>
                <w:sz w:val="20"/>
              </w:rPr>
              <w:t>No. of operational units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2E3" w:rsidRPr="00172FB4" w:rsidRDefault="000C02E3" w:rsidP="00DE14DB">
            <w:pPr>
              <w:jc w:val="center"/>
              <w:rPr>
                <w:lang w:eastAsia="ja-JP"/>
              </w:rPr>
            </w:pPr>
            <w:r w:rsidRPr="00172FB4">
              <w:rPr>
                <w:i/>
              </w:rPr>
              <w:t>125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2E3" w:rsidRPr="00172FB4" w:rsidRDefault="000C02E3" w:rsidP="00DE14DB">
            <w:pPr>
              <w:jc w:val="center"/>
              <w:rPr>
                <w:lang w:eastAsia="ja-JP"/>
              </w:rPr>
            </w:pPr>
            <w:r w:rsidRPr="00172FB4">
              <w:rPr>
                <w:i/>
              </w:rPr>
              <w:t>75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2E3" w:rsidRPr="00172FB4" w:rsidRDefault="00B4467C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146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2E3" w:rsidRPr="00172FB4" w:rsidRDefault="00861B4D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110</w:t>
            </w:r>
          </w:p>
        </w:tc>
        <w:tc>
          <w:tcPr>
            <w:tcW w:w="794" w:type="pct"/>
            <w:tcBorders>
              <w:left w:val="single" w:sz="6" w:space="0" w:color="auto"/>
            </w:tcBorders>
            <w:vAlign w:val="center"/>
          </w:tcPr>
          <w:p w:rsidR="000C02E3" w:rsidRPr="00172FB4" w:rsidRDefault="00861B4D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03746B">
              <w:rPr>
                <w:i/>
              </w:rPr>
              <w:t>456</w:t>
            </w:r>
          </w:p>
        </w:tc>
      </w:tr>
      <w:tr w:rsidR="000C02E3" w:rsidRPr="00172FB4" w:rsidTr="008E0647">
        <w:trPr>
          <w:trHeight w:val="938"/>
        </w:trPr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:rsidR="000C02E3" w:rsidRPr="00172FB4" w:rsidRDefault="000C02E3" w:rsidP="00DE14DB">
            <w:pPr>
              <w:jc w:val="center"/>
              <w:rPr>
                <w:i/>
                <w:sz w:val="20"/>
              </w:rPr>
            </w:pPr>
            <w:r w:rsidRPr="00172FB4">
              <w:rPr>
                <w:i/>
                <w:sz w:val="20"/>
              </w:rPr>
              <w:t>No. of units with no WER in the past 12 months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02E3" w:rsidRPr="004A637B" w:rsidRDefault="000C02E3" w:rsidP="00DE14DB">
            <w:pPr>
              <w:jc w:val="center"/>
              <w:rPr>
                <w:i/>
                <w:highlight w:val="yellow"/>
              </w:rPr>
            </w:pPr>
            <w:r w:rsidRPr="00DB1220">
              <w:rPr>
                <w:i/>
              </w:rPr>
              <w:t>-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02E3" w:rsidRPr="00AA33F6" w:rsidRDefault="00B211DD" w:rsidP="00A94E76">
            <w:pPr>
              <w:jc w:val="center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</w:t>
            </w:r>
            <w:r w:rsidRPr="00F74777">
              <w:rPr>
                <w:i/>
                <w:sz w:val="20"/>
                <w:lang w:eastAsia="ja-JP"/>
              </w:rPr>
              <w:t>(</w:t>
            </w:r>
            <w:r w:rsidRPr="0003746B">
              <w:rPr>
                <w:i/>
                <w:sz w:val="20"/>
                <w:lang w:eastAsia="ja-JP"/>
              </w:rPr>
              <w:t>KUDANKULAM</w:t>
            </w:r>
            <w:r w:rsidRPr="00F74777">
              <w:rPr>
                <w:i/>
                <w:sz w:val="20"/>
                <w:lang w:eastAsia="ja-JP"/>
              </w:rPr>
              <w:t xml:space="preserve"> 2)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02E3" w:rsidRPr="00AA33F6" w:rsidRDefault="00A94E76" w:rsidP="006B111D">
            <w:pPr>
              <w:jc w:val="center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="009B64C6" w:rsidRPr="00F74777">
              <w:rPr>
                <w:i/>
                <w:sz w:val="20"/>
                <w:lang w:eastAsia="ja-JP"/>
              </w:rPr>
              <w:t>(</w:t>
            </w:r>
            <w:r w:rsidR="00D57591" w:rsidRPr="00D57591">
              <w:rPr>
                <w:i/>
                <w:sz w:val="20"/>
                <w:lang w:eastAsia="ja-JP"/>
              </w:rPr>
              <w:t>RINGHALS</w:t>
            </w:r>
            <w:r w:rsidR="0084252F" w:rsidRPr="00F74777">
              <w:rPr>
                <w:i/>
                <w:sz w:val="20"/>
                <w:lang w:eastAsia="ja-JP"/>
              </w:rPr>
              <w:t xml:space="preserve"> 2</w:t>
            </w:r>
            <w:r w:rsidR="009B64C6" w:rsidRPr="00F74777">
              <w:rPr>
                <w:i/>
                <w:sz w:val="20"/>
                <w:lang w:eastAsia="ja-JP"/>
              </w:rPr>
              <w:t>)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02E3" w:rsidRPr="00C51F77" w:rsidRDefault="000C02E3" w:rsidP="00A94E76">
            <w:pPr>
              <w:jc w:val="center"/>
              <w:rPr>
                <w:i/>
              </w:rPr>
            </w:pP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C02E3" w:rsidRPr="004A637B" w:rsidRDefault="00D57591" w:rsidP="00DE14DB">
            <w:pPr>
              <w:jc w:val="center"/>
              <w:rPr>
                <w:i/>
                <w:highlight w:val="yellow"/>
                <w:lang w:eastAsia="ja-JP"/>
              </w:rPr>
            </w:pPr>
            <w:r w:rsidRPr="00D57591">
              <w:rPr>
                <w:i/>
                <w:lang w:eastAsia="ja-JP"/>
              </w:rPr>
              <w:t>2</w:t>
            </w:r>
          </w:p>
        </w:tc>
      </w:tr>
    </w:tbl>
    <w:p w:rsidR="000C02E3" w:rsidRPr="007074F5" w:rsidRDefault="000C02E3" w:rsidP="000C02E3">
      <w:pPr>
        <w:spacing w:before="120"/>
        <w:ind w:left="142" w:hanging="142"/>
        <w:jc w:val="center"/>
        <w:outlineLvl w:val="0"/>
        <w:rPr>
          <w:b/>
        </w:rPr>
      </w:pPr>
      <w:r w:rsidRPr="007074F5">
        <w:rPr>
          <w:b/>
        </w:rPr>
        <w:t>WER Reporting Median (Days) – Goal of 140 days</w:t>
      </w:r>
    </w:p>
    <w:tbl>
      <w:tblPr>
        <w:tblW w:w="40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000"/>
      </w:tblPr>
      <w:tblGrid>
        <w:gridCol w:w="1506"/>
        <w:gridCol w:w="1508"/>
        <w:gridCol w:w="1507"/>
        <w:gridCol w:w="1508"/>
        <w:gridCol w:w="1505"/>
      </w:tblGrid>
      <w:tr w:rsidR="000C02E3" w:rsidRPr="007074F5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</w:tr>
      <w:tr w:rsidR="000C02E3" w:rsidRPr="007074F5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E5675D" w:rsidP="00DE14DB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C51F77" w:rsidP="00DE14D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E5675D" w:rsidP="00DE14DB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:rsidR="000C02E3" w:rsidRPr="007074F5" w:rsidRDefault="00E5675D" w:rsidP="002D0661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0C02E3" w:rsidRPr="007074F5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tabs>
                <w:tab w:val="left" w:pos="490"/>
                <w:tab w:val="center" w:pos="696"/>
              </w:tabs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118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102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133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126</w:t>
            </w:r>
          </w:p>
        </w:tc>
      </w:tr>
      <w:tr w:rsidR="000C02E3" w:rsidRPr="007074F5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99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 w:hint="eastAsia"/>
                <w:lang w:eastAsia="ja-JP"/>
              </w:rPr>
              <w:t>1</w:t>
            </w:r>
            <w:r w:rsidRPr="00E848BC">
              <w:rPr>
                <w:rFonts w:eastAsiaTheme="minorEastAsia"/>
                <w:lang w:eastAsia="ja-JP"/>
              </w:rPr>
              <w:t>08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 w:hint="eastAsia"/>
                <w:lang w:eastAsia="ja-JP"/>
              </w:rPr>
              <w:t>12</w:t>
            </w:r>
            <w:r w:rsidRPr="00E848BC">
              <w:rPr>
                <w:rFonts w:eastAsiaTheme="minorEastAsia"/>
                <w:lang w:eastAsia="ja-JP"/>
              </w:rPr>
              <w:t>7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118</w:t>
            </w:r>
          </w:p>
        </w:tc>
      </w:tr>
    </w:tbl>
    <w:p w:rsidR="000C02E3" w:rsidRPr="007074F5" w:rsidRDefault="000C02E3" w:rsidP="000C02E3">
      <w:pPr>
        <w:spacing w:before="120"/>
        <w:jc w:val="center"/>
        <w:rPr>
          <w:b/>
        </w:rPr>
      </w:pPr>
      <w:r w:rsidRPr="007074F5">
        <w:rPr>
          <w:b/>
        </w:rPr>
        <w:t>Preliminary WER Reporting Median (Days) – Goal of 30 days</w:t>
      </w:r>
    </w:p>
    <w:tbl>
      <w:tblPr>
        <w:tblW w:w="40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000"/>
      </w:tblPr>
      <w:tblGrid>
        <w:gridCol w:w="1506"/>
        <w:gridCol w:w="1508"/>
        <w:gridCol w:w="1507"/>
        <w:gridCol w:w="1508"/>
        <w:gridCol w:w="1505"/>
      </w:tblGrid>
      <w:tr w:rsidR="000C02E3" w:rsidRPr="007074F5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</w:tr>
      <w:tr w:rsidR="000C02E3" w:rsidRPr="007074F5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E5675D" w:rsidP="00DE14D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ED1BBE" w:rsidP="00DE14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2E3" w:rsidRPr="007074F5" w:rsidRDefault="00C51F77" w:rsidP="00DE14D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:rsidR="000C02E3" w:rsidRPr="007074F5" w:rsidRDefault="00E5675D" w:rsidP="00DE14D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C02E3" w:rsidRPr="007074F5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14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61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t>123</w:t>
            </w:r>
          </w:p>
        </w:tc>
      </w:tr>
      <w:tr w:rsidR="000C02E3" w:rsidRPr="007074F5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23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58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54</w:t>
            </w:r>
          </w:p>
        </w:tc>
      </w:tr>
    </w:tbl>
    <w:p w:rsidR="000C02E3" w:rsidRPr="00F02396" w:rsidRDefault="000C02E3" w:rsidP="000C02E3">
      <w:pPr>
        <w:tabs>
          <w:tab w:val="left" w:pos="3315"/>
        </w:tabs>
        <w:spacing w:before="120"/>
        <w:outlineLvl w:val="0"/>
      </w:pPr>
      <w:r w:rsidRPr="00F02396">
        <w:rPr>
          <w:b/>
        </w:rPr>
        <w:t>Notes:</w:t>
      </w:r>
    </w:p>
    <w:p w:rsidR="004622B8" w:rsidRDefault="000C02E3" w:rsidP="00AA4887">
      <w:pPr>
        <w:pStyle w:val="Normal11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contextualSpacing/>
        <w:outlineLvl w:val="0"/>
        <w:rPr>
          <w:rFonts w:asciiTheme="minorHAnsi" w:hAnsiTheme="minorHAnsi"/>
          <w:sz w:val="20"/>
          <w:szCs w:val="20"/>
        </w:rPr>
        <w:sectPr w:rsidR="004622B8">
          <w:head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24979">
        <w:rPr>
          <w:rFonts w:asciiTheme="minorHAnsi" w:hAnsiTheme="minorHAnsi"/>
          <w:bCs/>
          <w:sz w:val="20"/>
          <w:szCs w:val="20"/>
        </w:rPr>
        <w:t>Event reporting numbers are based on the following rules:</w:t>
      </w:r>
      <w:r w:rsidRPr="00524979">
        <w:rPr>
          <w:rFonts w:asciiTheme="minorHAnsi" w:hAnsiTheme="minorHAnsi"/>
          <w:sz w:val="20"/>
          <w:szCs w:val="20"/>
        </w:rPr>
        <w:t xml:space="preserve"> If a WER or Preliminary WER was updated, the updated version is not counted as a newly reported event. If a single event affects more than one unit at a station, this is counted as one report. A generic WER affecting a fleet of plants or more than one plant is also counted as one report. </w:t>
      </w:r>
    </w:p>
    <w:p w:rsidR="000C02E3" w:rsidRPr="00524979" w:rsidRDefault="004622B8" w:rsidP="004622B8">
      <w:pPr>
        <w:pStyle w:val="Normal11"/>
        <w:numPr>
          <w:ilvl w:val="0"/>
          <w:numId w:val="0"/>
        </w:numPr>
        <w:spacing w:before="120" w:after="120"/>
        <w:ind w:left="357"/>
        <w:contextualSpacing/>
        <w:outlineLvl w:val="0"/>
        <w:rPr>
          <w:b/>
        </w:rPr>
      </w:pPr>
      <w:r w:rsidRPr="004622B8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15372" cy="244526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5372" cy="244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2B8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2667635</wp:posOffset>
            </wp:positionV>
            <wp:extent cx="4215372" cy="24459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15372" cy="244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2B8">
        <w:rPr>
          <w:b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0</wp:posOffset>
            </wp:positionV>
            <wp:extent cx="4336795" cy="2445262"/>
            <wp:effectExtent l="0" t="0" r="698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36795" cy="244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2B8">
        <w:rPr>
          <w:b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2667635</wp:posOffset>
            </wp:positionV>
            <wp:extent cx="4336795" cy="2445956"/>
            <wp:effectExtent l="0" t="0" r="698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36795" cy="244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02E3" w:rsidRPr="00524979" w:rsidSect="004622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66" w:rsidRDefault="00620C66" w:rsidP="007341B5">
      <w:pPr>
        <w:spacing w:after="0" w:line="240" w:lineRule="auto"/>
      </w:pPr>
      <w:r>
        <w:separator/>
      </w:r>
    </w:p>
  </w:endnote>
  <w:endnote w:type="continuationSeparator" w:id="1">
    <w:p w:rsidR="00620C66" w:rsidRDefault="00620C66" w:rsidP="007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66" w:rsidRDefault="00620C66" w:rsidP="007341B5">
      <w:pPr>
        <w:spacing w:after="0" w:line="240" w:lineRule="auto"/>
      </w:pPr>
      <w:r>
        <w:separator/>
      </w:r>
    </w:p>
  </w:footnote>
  <w:footnote w:type="continuationSeparator" w:id="1">
    <w:p w:rsidR="00620C66" w:rsidRDefault="00620C66" w:rsidP="007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B5" w:rsidRPr="007341B5" w:rsidRDefault="007341B5" w:rsidP="007341B5">
    <w:pPr>
      <w:spacing w:after="0"/>
      <w:jc w:val="center"/>
      <w:outlineLvl w:val="0"/>
      <w:rPr>
        <w:rFonts w:ascii="Calibri" w:eastAsia="MS Mincho" w:hAnsi="Calibri" w:cs="Times New Roman"/>
        <w:b/>
        <w:sz w:val="28"/>
        <w:szCs w:val="28"/>
      </w:rPr>
    </w:pPr>
    <w:r w:rsidRPr="007341B5">
      <w:rPr>
        <w:rFonts w:ascii="Calibri" w:eastAsia="MS Mincho" w:hAnsi="Calibri" w:cs="Times New Roman"/>
        <w:b/>
        <w:sz w:val="28"/>
        <w:szCs w:val="28"/>
      </w:rPr>
      <w:t>WANO PA Programme Status</w:t>
    </w:r>
  </w:p>
  <w:p w:rsidR="007341B5" w:rsidRPr="00FB7625" w:rsidRDefault="007341B5" w:rsidP="0086705E">
    <w:pPr>
      <w:spacing w:after="120"/>
      <w:jc w:val="center"/>
    </w:pPr>
    <w:r w:rsidRPr="007341B5">
      <w:rPr>
        <w:rFonts w:ascii="Calibri" w:eastAsia="MS Mincho" w:hAnsi="Calibri" w:cs="Times New Roman"/>
        <w:sz w:val="28"/>
        <w:szCs w:val="28"/>
      </w:rPr>
      <w:t>Events Reviewed, Classified and Pu</w:t>
    </w:r>
    <w:r w:rsidR="002519DD">
      <w:rPr>
        <w:rFonts w:ascii="Calibri" w:eastAsia="MS Mincho" w:hAnsi="Calibri" w:cs="Times New Roman"/>
        <w:sz w:val="28"/>
        <w:szCs w:val="28"/>
      </w:rPr>
      <w:t>blished by PACT in August</w:t>
    </w:r>
    <w:r w:rsidR="00323D39">
      <w:rPr>
        <w:rFonts w:ascii="Calibri" w:eastAsia="MS Mincho" w:hAnsi="Calibri" w:cs="Times New Roman"/>
        <w:sz w:val="28"/>
        <w:szCs w:val="28"/>
      </w:rPr>
      <w:t xml:space="preserve"> 2017</w:t>
    </w:r>
  </w:p>
  <w:p w:rsidR="007341B5" w:rsidRDefault="007341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F74"/>
    <w:multiLevelType w:val="hybridMultilevel"/>
    <w:tmpl w:val="D9D453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60672"/>
    <w:multiLevelType w:val="hybridMultilevel"/>
    <w:tmpl w:val="DC30D9EC"/>
    <w:lvl w:ilvl="0" w:tplc="9A2ACF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F5F68"/>
    <w:multiLevelType w:val="hybridMultilevel"/>
    <w:tmpl w:val="CDD4EDE0"/>
    <w:lvl w:ilvl="0" w:tplc="CFD82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07CD6"/>
    <w:multiLevelType w:val="hybridMultilevel"/>
    <w:tmpl w:val="2036376A"/>
    <w:lvl w:ilvl="0" w:tplc="88DCD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327267"/>
    <w:multiLevelType w:val="hybridMultilevel"/>
    <w:tmpl w:val="6F163556"/>
    <w:lvl w:ilvl="0" w:tplc="789A2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820EB"/>
    <w:multiLevelType w:val="hybridMultilevel"/>
    <w:tmpl w:val="723A9D84"/>
    <w:lvl w:ilvl="0" w:tplc="6EF0514C">
      <w:start w:val="1"/>
      <w:numFmt w:val="decimal"/>
      <w:pStyle w:val="Normal11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7341B5"/>
    <w:rsid w:val="00021BB9"/>
    <w:rsid w:val="0003746B"/>
    <w:rsid w:val="00050F4F"/>
    <w:rsid w:val="000909DB"/>
    <w:rsid w:val="0009287E"/>
    <w:rsid w:val="000C02E3"/>
    <w:rsid w:val="000C3C12"/>
    <w:rsid w:val="000C504C"/>
    <w:rsid w:val="000E5EF7"/>
    <w:rsid w:val="000E7768"/>
    <w:rsid w:val="000F5530"/>
    <w:rsid w:val="00100F19"/>
    <w:rsid w:val="001151ED"/>
    <w:rsid w:val="00172548"/>
    <w:rsid w:val="00172FB4"/>
    <w:rsid w:val="001A7607"/>
    <w:rsid w:val="00224443"/>
    <w:rsid w:val="00225CFC"/>
    <w:rsid w:val="0024639F"/>
    <w:rsid w:val="002519DD"/>
    <w:rsid w:val="00266769"/>
    <w:rsid w:val="00284CD6"/>
    <w:rsid w:val="002A7EB1"/>
    <w:rsid w:val="002D0661"/>
    <w:rsid w:val="002D363C"/>
    <w:rsid w:val="002F6C66"/>
    <w:rsid w:val="002F74EA"/>
    <w:rsid w:val="00323D39"/>
    <w:rsid w:val="00337862"/>
    <w:rsid w:val="00343E7F"/>
    <w:rsid w:val="003563C6"/>
    <w:rsid w:val="003922AD"/>
    <w:rsid w:val="003A300E"/>
    <w:rsid w:val="003D79FA"/>
    <w:rsid w:val="00416108"/>
    <w:rsid w:val="00441E71"/>
    <w:rsid w:val="004622B8"/>
    <w:rsid w:val="0047391B"/>
    <w:rsid w:val="00483859"/>
    <w:rsid w:val="0049147C"/>
    <w:rsid w:val="004A637B"/>
    <w:rsid w:val="00503DEE"/>
    <w:rsid w:val="00524979"/>
    <w:rsid w:val="00574F0F"/>
    <w:rsid w:val="005801B1"/>
    <w:rsid w:val="005802D0"/>
    <w:rsid w:val="00582DD5"/>
    <w:rsid w:val="005C7878"/>
    <w:rsid w:val="005E23F8"/>
    <w:rsid w:val="006018F5"/>
    <w:rsid w:val="00610E1B"/>
    <w:rsid w:val="00620C66"/>
    <w:rsid w:val="006B111D"/>
    <w:rsid w:val="006B2C5B"/>
    <w:rsid w:val="007211BC"/>
    <w:rsid w:val="00721639"/>
    <w:rsid w:val="0072740F"/>
    <w:rsid w:val="007341B5"/>
    <w:rsid w:val="007370C7"/>
    <w:rsid w:val="00754456"/>
    <w:rsid w:val="00796B59"/>
    <w:rsid w:val="007A54BC"/>
    <w:rsid w:val="007B7795"/>
    <w:rsid w:val="007E1B67"/>
    <w:rsid w:val="00816B1C"/>
    <w:rsid w:val="0082131D"/>
    <w:rsid w:val="0084252F"/>
    <w:rsid w:val="00861B4D"/>
    <w:rsid w:val="0086705E"/>
    <w:rsid w:val="008E0647"/>
    <w:rsid w:val="008E432E"/>
    <w:rsid w:val="008F3476"/>
    <w:rsid w:val="009325D8"/>
    <w:rsid w:val="00940444"/>
    <w:rsid w:val="0094654C"/>
    <w:rsid w:val="009B64C6"/>
    <w:rsid w:val="009D0FB9"/>
    <w:rsid w:val="00A439FF"/>
    <w:rsid w:val="00A44C5E"/>
    <w:rsid w:val="00A51D2F"/>
    <w:rsid w:val="00A66948"/>
    <w:rsid w:val="00A94E76"/>
    <w:rsid w:val="00AA33F6"/>
    <w:rsid w:val="00AB2763"/>
    <w:rsid w:val="00AB2C2F"/>
    <w:rsid w:val="00AC0F7E"/>
    <w:rsid w:val="00AD7B83"/>
    <w:rsid w:val="00B0180C"/>
    <w:rsid w:val="00B211DD"/>
    <w:rsid w:val="00B347AE"/>
    <w:rsid w:val="00B4467C"/>
    <w:rsid w:val="00B53AE8"/>
    <w:rsid w:val="00B95349"/>
    <w:rsid w:val="00BA024C"/>
    <w:rsid w:val="00C0471C"/>
    <w:rsid w:val="00C51F77"/>
    <w:rsid w:val="00C64BB3"/>
    <w:rsid w:val="00CB0FFF"/>
    <w:rsid w:val="00CC7FCE"/>
    <w:rsid w:val="00D57591"/>
    <w:rsid w:val="00DB1220"/>
    <w:rsid w:val="00DB2983"/>
    <w:rsid w:val="00DE4CEA"/>
    <w:rsid w:val="00DF7A41"/>
    <w:rsid w:val="00E24C77"/>
    <w:rsid w:val="00E3012A"/>
    <w:rsid w:val="00E55614"/>
    <w:rsid w:val="00E5675D"/>
    <w:rsid w:val="00E848BC"/>
    <w:rsid w:val="00EC2DCC"/>
    <w:rsid w:val="00ED1BBE"/>
    <w:rsid w:val="00EE13CE"/>
    <w:rsid w:val="00F04E1C"/>
    <w:rsid w:val="00F74777"/>
    <w:rsid w:val="00FA0EC5"/>
    <w:rsid w:val="00FB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1B5"/>
  </w:style>
  <w:style w:type="paragraph" w:styleId="a5">
    <w:name w:val="footer"/>
    <w:basedOn w:val="a"/>
    <w:link w:val="a6"/>
    <w:uiPriority w:val="99"/>
    <w:unhideWhenUsed/>
    <w:rsid w:val="007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1B5"/>
  </w:style>
  <w:style w:type="character" w:styleId="a7">
    <w:name w:val="Hyperlink"/>
    <w:uiPriority w:val="99"/>
    <w:rsid w:val="007341B5"/>
    <w:rPr>
      <w:color w:val="0066CC"/>
      <w:u w:val="single"/>
    </w:rPr>
  </w:style>
  <w:style w:type="paragraph" w:styleId="a8">
    <w:name w:val="footnote text"/>
    <w:basedOn w:val="a"/>
    <w:link w:val="a9"/>
    <w:semiHidden/>
    <w:unhideWhenUsed/>
    <w:rsid w:val="007341B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41B5"/>
    <w:rPr>
      <w:rFonts w:ascii="Times New Roman" w:eastAsia="MS Mincho" w:hAnsi="Times New Roman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7341B5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7341B5"/>
    <w:rPr>
      <w:color w:val="954F72" w:themeColor="followedHyperlink"/>
      <w:u w:val="single"/>
    </w:rPr>
  </w:style>
  <w:style w:type="paragraph" w:customStyle="1" w:styleId="Normal11">
    <w:name w:val="Normal 11"/>
    <w:basedOn w:val="a"/>
    <w:rsid w:val="007341B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Times New Roman" w:eastAsia="MS Mincho" w:hAnsi="Times New Roman" w:cs="Times New Roman"/>
    </w:rPr>
  </w:style>
  <w:style w:type="paragraph" w:styleId="ac">
    <w:name w:val="List Paragraph"/>
    <w:basedOn w:val="a"/>
    <w:uiPriority w:val="34"/>
    <w:qFormat/>
    <w:rsid w:val="008E43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C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no.org/OperatingExperience/OE_Database_2012/Pages/EventReportDetail.aspx?ids=29362" TargetMode="External"/><Relationship Id="rId18" Type="http://schemas.openxmlformats.org/officeDocument/2006/relationships/hyperlink" Target="http://www.wano.org/OperatingExperience/OE_Database_2012/Pages/EventReportDetail.aspx?ids=2930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://www.wano.org/OperatingExperience/OE_Database_2012/Pages/EventReportDetail.aspx?ids=29208" TargetMode="External"/><Relationship Id="rId17" Type="http://schemas.openxmlformats.org/officeDocument/2006/relationships/hyperlink" Target="http://www.wano.org/OperatingExperience/OE_Database_2012/Pages/EventReportDetail.aspx?ids=2944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no.org/OperatingExperience/OE_Database_2012/Pages/EventReportDetail.aspx?ids=2924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no.org/OperatingExperience/OE_Database_2012/Pages/EventReportDetail.aspx?ids=29308" TargetMode="External"/><Relationship Id="rId24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wano.org/OperatingExperience/OE_Database_2012/Pages/EventReportDetail.aspx?ids=29250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wano.org/OperatingExperience/OE_Database_2012/Pages/EventReportDetail.aspx?ids=29313" TargetMode="External"/><Relationship Id="rId19" Type="http://schemas.openxmlformats.org/officeDocument/2006/relationships/hyperlink" Target="http://www.wano.org/OperatingExperience/OE_Database_2012/Pages/EventReportDetail.aspx?ids=291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ano.org/OperatingExperience/OE_Database_2012/Pages/EventReportDetail.aspx?ids=29272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7e5fe077-b1cd-48d0-84b0-e3d3060de593" xsi:nil="true"/>
    <c4492934f82648f6bf8c3df783690b16 xmlns="8032f6c5-ee86-4850-9e4a-5bdd649cb0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Analysis (PA)</TermName>
          <TermId xmlns="http://schemas.microsoft.com/office/infopath/2007/PartnerControls">dea0493d-9331-4978-8450-6d4f0ed64b38</TermId>
        </TermInfo>
      </Terms>
    </c4492934f82648f6bf8c3df783690b16>
    <IconOverlay xmlns="http://schemas.microsoft.com/sharepoint/v4" xsi:nil="true"/>
    <TaxKeywordTaxHTField xmlns="eab3c1a0-3fe8-472c-8837-a43cd33d033b">
      <Terms xmlns="http://schemas.microsoft.com/office/infopath/2007/PartnerControls"/>
    </TaxKeywordTaxHTField>
    <l36d6ba18cdf4a4e99aa80f6928b053a xmlns="7e5fe077-b1cd-48d0-84b0-e3d3060de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Publications</TermName>
          <TermId xmlns="http://schemas.microsoft.com/office/infopath/2007/PartnerControls">411053fd-8601-43bc-aaa4-298a4cfcab72</TermId>
        </TermInfo>
      </Terms>
    </l36d6ba18cdf4a4e99aa80f6928b053a>
    <TaxCatchAll xmlns="eab3c1a0-3fe8-472c-8837-a43cd33d033b">
      <Value>805</Value>
      <Value>600</Value>
      <Value>689</Value>
      <Value>1610</Value>
    </TaxCatchAll>
    <o7ec1b6fd204465c8cd5cb566ee77aa0 xmlns="7e5fe077-b1cd-48d0-84b0-e3d3060de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Monthly report</TermName>
          <TermId xmlns="http://schemas.microsoft.com/office/infopath/2007/PartnerControls">0fe8df3b-d300-4f8c-8ecb-e2547cab3ca2</TermId>
        </TermInfo>
      </Terms>
    </o7ec1b6fd204465c8cd5cb566ee77aa0>
    <ncdaf359daf340cfbb58a662d0920f93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6437528f-86f4-4c4f-b9ed-c21cfc6aa6a5</TermId>
        </TermInfo>
      </Terms>
    </ncdaf359daf340cfbb58a662d0920f93>
    <c59919971a1e4629aaa97285c6c7d088 xmlns="7e5fe077-b1cd-48d0-84b0-e3d3060de593" xsi:nil="true"/>
    <ib66990238b042dab6c7e66e69bfee7e xmlns="7e5fe077-b1cd-48d0-84b0-e3d3060de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C20E5F62C34EB50AC2BE49CA6E17" ma:contentTypeVersion="48" ma:contentTypeDescription="Create a new document." ma:contentTypeScope="" ma:versionID="4cb4f9322feb5364879d175a968c126c">
  <xsd:schema xmlns:xsd="http://www.w3.org/2001/XMLSchema" xmlns:xs="http://www.w3.org/2001/XMLSchema" xmlns:p="http://schemas.microsoft.com/office/2006/metadata/properties" xmlns:ns1="http://schemas.microsoft.com/sharepoint/v3" xmlns:ns2="8032f6c5-ee86-4850-9e4a-5bdd649cb002" xmlns:ns3="7e5fe077-b1cd-48d0-84b0-e3d3060de593" xmlns:ns4="b24a0e6e-04e8-475b-98da-7261f4fee30e" xmlns:ns5="eab3c1a0-3fe8-472c-8837-a43cd33d033b" xmlns:ns6="http://schemas.microsoft.com/sharepoint/v4" xmlns:ns7="fbee6775-8511-4ed6-a75f-988fb40c0252" xmlns:ns8="eb3b6f38-0977-41e3-aedc-bcac2542048a" targetNamespace="http://schemas.microsoft.com/office/2006/metadata/properties" ma:root="true" ma:fieldsID="d7a711f9049e2c943af5498fb2ce7d3a" ns1:_="" ns2:_="" ns3:_="" ns4:_="" ns5:_="" ns6:_="" ns7:_="" ns8:_="">
    <xsd:import namespace="http://schemas.microsoft.com/sharepoint/v3"/>
    <xsd:import namespace="8032f6c5-ee86-4850-9e4a-5bdd649cb002"/>
    <xsd:import namespace="7e5fe077-b1cd-48d0-84b0-e3d3060de593"/>
    <xsd:import namespace="b24a0e6e-04e8-475b-98da-7261f4fee30e"/>
    <xsd:import namespace="eab3c1a0-3fe8-472c-8837-a43cd33d033b"/>
    <xsd:import namespace="http://schemas.microsoft.com/sharepoint/v4"/>
    <xsd:import namespace="fbee6775-8511-4ed6-a75f-988fb40c0252"/>
    <xsd:import namespace="eb3b6f38-0977-41e3-aedc-bcac2542048a"/>
    <xsd:element name="properties">
      <xsd:complexType>
        <xsd:sequence>
          <xsd:element name="documentManagement">
            <xsd:complexType>
              <xsd:all>
                <xsd:element ref="ns3:Action" minOccurs="0"/>
                <xsd:element ref="ns4:ncdaf359daf340cfbb58a662d0920f93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SharedWithUsers" minOccurs="0"/>
                <xsd:element ref="ns7:SharingHintHash" minOccurs="0"/>
                <xsd:element ref="ns3:SharedWithDetails" minOccurs="0"/>
                <xsd:element ref="ns5:TaxKeywordTaxHTField" minOccurs="0"/>
                <xsd:element ref="ns5:TaxCatchAll" minOccurs="0"/>
                <xsd:element ref="ns3:l36d6ba18cdf4a4e99aa80f6928b053a" minOccurs="0"/>
                <xsd:element ref="ns2:c4492934f82648f6bf8c3df783690b16" minOccurs="0"/>
                <xsd:element ref="ns3:o7ec1b6fd204465c8cd5cb566ee77aa0" minOccurs="0"/>
                <xsd:element ref="ns3:LastSharedByUser" minOccurs="0"/>
                <xsd:element ref="ns3:LastSharedByTime" minOccurs="0"/>
                <xsd:element ref="ns3:ib66990238b042dab6c7e66e69bfee7e" minOccurs="0"/>
                <xsd:element ref="ns3:c59919971a1e4629aaa97285c6c7d088" minOccurs="0"/>
                <xsd:element ref="ns8:MediaServiceMetadata" minOccurs="0"/>
                <xsd:element ref="ns8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f6c5-ee86-4850-9e4a-5bdd649cb002" elementFormDefault="qualified">
    <xsd:import namespace="http://schemas.microsoft.com/office/2006/documentManagement/types"/>
    <xsd:import namespace="http://schemas.microsoft.com/office/infopath/2007/PartnerControls"/>
    <xsd:element name="c4492934f82648f6bf8c3df783690b16" ma:index="23" nillable="true" ma:taxonomy="true" ma:internalName="c4492934f82648f6bf8c3df783690b16" ma:taxonomyFieldName="Department" ma:displayName="Department" ma:indexed="true" ma:readOnly="false" ma:default="302;#OE|db730fbf-12e3-400d-b0a2-f16aa54eb418" ma:fieldId="{c4492934-f826-48f6-bf8c-3df783690b16}" ma:sspId="b96e348e-4606-44cf-8618-9e79763aab8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e077-b1cd-48d0-84b0-e3d3060de593" elementFormDefault="qualified">
    <xsd:import namespace="http://schemas.microsoft.com/office/2006/documentManagement/types"/>
    <xsd:import namespace="http://schemas.microsoft.com/office/infopath/2007/PartnerControls"/>
    <xsd:element name="Action" ma:index="7" nillable="true" ma:displayName="Action" ma:format="Dropdown" ma:internalName="Action">
      <xsd:simpleType>
        <xsd:restriction base="dms:Choice">
          <xsd:enumeration value="Move to archive"/>
          <xsd:enumeration value="﻿"/>
        </xsd:restriction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36d6ba18cdf4a4e99aa80f6928b053a" ma:index="22" nillable="true" ma:taxonomy="true" ma:internalName="l36d6ba18cdf4a4e99aa80f6928b053a" ma:taxonomyFieldName="WANO_x0020_Document_x0020_Category" ma:displayName="WANO Document Category" ma:default="" ma:fieldId="{536d6ba1-8cdf-4a4e-99aa-80f6928b053a}" ma:sspId="b96e348e-4606-44cf-8618-9e79763aab8c" ma:termSetId="74b13568-a396-49ab-b205-a16144dc46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ec1b6fd204465c8cd5cb566ee77aa0" ma:index="24" nillable="true" ma:taxonomy="true" ma:internalName="o7ec1b6fd204465c8cd5cb566ee77aa0" ma:taxonomyFieldName="WANO_x0020_Document_x0020_Type" ma:displayName="WANO Document Type" ma:default="" ma:fieldId="{87ec1b6f-d204-465c-8cd5-cb566ee77aa0}" ma:sspId="b96e348e-4606-44cf-8618-9e79763aab8c" ma:termSetId="c157e9e3-5a6c-436f-959c-02f93aff56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ib66990238b042dab6c7e66e69bfee7e" ma:index="28" nillable="true" ma:displayName="WANO Revision_0" ma:hidden="true" ma:internalName="ib66990238b042dab6c7e66e69bfee7e">
      <xsd:simpleType>
        <xsd:restriction base="dms:Note"/>
      </xsd:simpleType>
    </xsd:element>
    <xsd:element name="c59919971a1e4629aaa97285c6c7d088" ma:index="29" nillable="true" ma:displayName="IS Keywords_0" ma:hidden="true" ma:internalName="c59919971a1e4629aaa97285c6c7d088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0e6e-04e8-475b-98da-7261f4fee30e" elementFormDefault="qualified">
    <xsd:import namespace="http://schemas.microsoft.com/office/2006/documentManagement/types"/>
    <xsd:import namespace="http://schemas.microsoft.com/office/infopath/2007/PartnerControls"/>
    <xsd:element name="ncdaf359daf340cfbb58a662d0920f93" ma:index="12" nillable="true" ma:taxonomy="true" ma:internalName="ncdaf359daf340cfbb58a662d0920f93" ma:taxonomyFieldName="Year" ma:displayName="Year" ma:indexed="true" ma:readOnly="false" ma:default="" ma:fieldId="{7cdaf359-daf3-40cf-bb58-a662d0920f93}" ma:sspId="b96e348e-4606-44cf-8618-9e79763aab8c" ma:termSetId="360ceda4-7018-4cf2-9edc-bf1aba26c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3c1a0-3fe8-472c-8837-a43cd33d033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Enterprise_x0020_Keywords" ma:displayName="Enterprise Keywords" ma:fieldId="{23f27201-bee3-471e-b2e7-b64fd8b7ca38}" ma:taxonomyMulti="true" ma:sspId="b96e348e-4606-44cf-8618-9e79763aab8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8131a5e-7ccb-4c99-88b9-46d043dde22b}" ma:internalName="TaxCatchAll" ma:showField="CatchAllData" ma:web="7e5fe077-b1cd-48d0-84b0-e3d3060de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6775-8511-4ed6-a75f-988fb40c0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b6f38-0977-41e3-aedc-bcac25420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FCC02-D55D-4CD4-9D28-96373CEAE630}">
  <ds:schemaRefs>
    <ds:schemaRef ds:uri="http://schemas.microsoft.com/office/2006/metadata/properties"/>
    <ds:schemaRef ds:uri="http://schemas.microsoft.com/office/infopath/2007/PartnerControls"/>
    <ds:schemaRef ds:uri="7e5fe077-b1cd-48d0-84b0-e3d3060de593"/>
    <ds:schemaRef ds:uri="8032f6c5-ee86-4850-9e4a-5bdd649cb002"/>
    <ds:schemaRef ds:uri="http://schemas.microsoft.com/sharepoint/v4"/>
    <ds:schemaRef ds:uri="eab3c1a0-3fe8-472c-8837-a43cd33d033b"/>
    <ds:schemaRef ds:uri="b24a0e6e-04e8-475b-98da-7261f4fee30e"/>
  </ds:schemaRefs>
</ds:datastoreItem>
</file>

<file path=customXml/itemProps2.xml><?xml version="1.0" encoding="utf-8"?>
<ds:datastoreItem xmlns:ds="http://schemas.openxmlformats.org/officeDocument/2006/customXml" ds:itemID="{C448DAC3-E5DA-4EAB-886A-8FC1E37C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32f6c5-ee86-4850-9e4a-5bdd649cb002"/>
    <ds:schemaRef ds:uri="7e5fe077-b1cd-48d0-84b0-e3d3060de593"/>
    <ds:schemaRef ds:uri="b24a0e6e-04e8-475b-98da-7261f4fee30e"/>
    <ds:schemaRef ds:uri="eab3c1a0-3fe8-472c-8837-a43cd33d033b"/>
    <ds:schemaRef ds:uri="http://schemas.microsoft.com/sharepoint/v4"/>
    <ds:schemaRef ds:uri="fbee6775-8511-4ed6-a75f-988fb40c0252"/>
    <ds:schemaRef ds:uri="eb3b6f38-0977-41e3-aedc-bcac25420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A1ABF-6D17-4FD7-ACCB-259F56414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 - 2017  August Monthly Report - Programme Status new format</vt:lpstr>
    </vt:vector>
  </TitlesOfParts>
  <Company>WANO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 - 2017  August Monthly Report - Programme Status new format</dc:title>
  <dc:subject/>
  <dc:creator>Riccardo Chiarelli</dc:creator>
  <cp:keywords/>
  <dc:description/>
  <cp:lastModifiedBy>Кезин</cp:lastModifiedBy>
  <cp:revision>3</cp:revision>
  <cp:lastPrinted>2017-01-13T11:39:00Z</cp:lastPrinted>
  <dcterms:created xsi:type="dcterms:W3CDTF">2017-09-12T20:37:00Z</dcterms:created>
  <dcterms:modified xsi:type="dcterms:W3CDTF">2017-09-12T21:20:00Z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0x0101006FB4C20E5F62C34EB50AC2BE49CA6E17</vt:lpwstr>
  </property>
  <property fmtid="{D5CDD505-2E9C-101B-9397-08002B2CF9AE}" pid="3" name="WANO Document Type">
    <vt:lpwstr>805;#Monthly report|0fe8df3b-d300-4f8c-8ecb-e2547cab3ca2</vt:lpwstr>
  </property>
  <property fmtid="{D5CDD505-2E9C-101B-9397-08002B2CF9AE}" pid="4" name="WANO Document Category">
    <vt:lpwstr>689;#Publications|411053fd-8601-43bc-aaa4-298a4cfcab72</vt:lpwstr>
  </property>
  <property fmtid="{D5CDD505-2E9C-101B-9397-08002B2CF9AE}" pid="5" name="Year">
    <vt:lpwstr>600;#2017|6437528f-86f4-4c4f-b9ed-c21cfc6aa6a5</vt:lpwstr>
  </property>
  <property fmtid="{D5CDD505-2E9C-101B-9397-08002B2CF9AE}" pid="6" name="Department">
    <vt:lpwstr>1610;#Performance Analysis (PA)|dea0493d-9331-4978-8450-6d4f0ed64b38</vt:lpwstr>
  </property>
  <property fmtid="{D5CDD505-2E9C-101B-9397-08002B2CF9AE}" pid="7" name="Revision">
    <vt:lpwstr>253;#Draft|3c3e3dd0-f3c6-4353-87a8-d75cb0044400</vt:lpwstr>
  </property>
  <property fmtid="{D5CDD505-2E9C-101B-9397-08002B2CF9AE}" pid="8" name="IS Keywords">
    <vt:lpwstr/>
  </property>
  <property fmtid="{D5CDD505-2E9C-101B-9397-08002B2CF9AE}" pid="9" name="WANO Year">
    <vt:lpwstr/>
  </property>
  <property fmtid="{D5CDD505-2E9C-101B-9397-08002B2CF9AE}" pid="10" name="WANO Revision">
    <vt:lpwstr/>
  </property>
  <property fmtid="{D5CDD505-2E9C-101B-9397-08002B2CF9AE}" pid="11" name="FileLeafRef">
    <vt:lpwstr>OE - 2017 May Monthly Report - Programme Status new format.docx</vt:lpwstr>
  </property>
  <property fmtid="{D5CDD505-2E9C-101B-9397-08002B2CF9AE}" pid="12" name="Enterprise_x0020_Keywords">
    <vt:lpwstr/>
  </property>
  <property fmtid="{D5CDD505-2E9C-101B-9397-08002B2CF9AE}" pid="13" name="Enterprise Keywords">
    <vt:lpwstr/>
  </property>
  <property fmtid="{D5CDD505-2E9C-101B-9397-08002B2CF9AE}" pid="14" name="Sub Type">
    <vt:lpwstr/>
  </property>
  <property fmtid="{D5CDD505-2E9C-101B-9397-08002B2CF9AE}" pid="15" name="Document Type">
    <vt:lpwstr/>
  </property>
  <property fmtid="{D5CDD505-2E9C-101B-9397-08002B2CF9AE}" pid="16" name="g0323e1db8b8480995966dbaf00e4fb6">
    <vt:lpwstr>Draft|3c3e3dd0-f3c6-4353-87a8-d75cb0044400</vt:lpwstr>
  </property>
</Properties>
</file>