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90" w:rsidRDefault="009F7A90" w:rsidP="00773188">
      <w:pPr>
        <w:spacing w:line="240" w:lineRule="auto"/>
        <w:jc w:val="both"/>
        <w:rPr>
          <w:rFonts w:cs="Nazanin"/>
          <w:b/>
          <w:bCs/>
          <w:sz w:val="28"/>
          <w:szCs w:val="28"/>
          <w:rtl/>
        </w:rPr>
      </w:pPr>
    </w:p>
    <w:p w:rsidR="000E4F10" w:rsidRPr="00773188" w:rsidRDefault="005E06B5" w:rsidP="005E055D">
      <w:pPr>
        <w:spacing w:line="240" w:lineRule="auto"/>
        <w:jc w:val="both"/>
        <w:rPr>
          <w:rFonts w:cs="Nazanin"/>
          <w:b/>
          <w:bCs/>
          <w:sz w:val="28"/>
          <w:szCs w:val="28"/>
          <w:rtl/>
        </w:rPr>
      </w:pPr>
      <w:r w:rsidRPr="00EE173A">
        <w:rPr>
          <w:rFonts w:cs="Nazanin" w:hint="cs"/>
          <w:b/>
          <w:bCs/>
          <w:sz w:val="28"/>
          <w:szCs w:val="28"/>
          <w:u w:val="single"/>
          <w:rtl/>
        </w:rPr>
        <w:t>اهداف برگزاري دوره</w:t>
      </w:r>
      <w:r w:rsidRPr="00EE173A">
        <w:rPr>
          <w:rFonts w:cs="Nazanin"/>
          <w:b/>
          <w:bCs/>
          <w:sz w:val="28"/>
          <w:szCs w:val="28"/>
          <w:u w:val="single"/>
        </w:rPr>
        <w:t xml:space="preserve"> </w:t>
      </w:r>
      <w:r w:rsidRPr="00EE173A">
        <w:rPr>
          <w:rFonts w:cs="Nazanin" w:hint="cs"/>
          <w:b/>
          <w:bCs/>
          <w:sz w:val="28"/>
          <w:szCs w:val="28"/>
          <w:u w:val="single"/>
          <w:rtl/>
        </w:rPr>
        <w:t>آموزشي</w:t>
      </w:r>
      <w:r w:rsidRPr="00EE173A">
        <w:rPr>
          <w:rFonts w:cs="Nazanin"/>
          <w:b/>
          <w:bCs/>
          <w:sz w:val="28"/>
          <w:szCs w:val="28"/>
          <w:u w:val="single"/>
        </w:rPr>
        <w:t xml:space="preserve"> </w:t>
      </w:r>
      <w:r w:rsidRPr="00EE173A">
        <w:rPr>
          <w:rFonts w:cs="Nazanin" w:hint="cs"/>
          <w:b/>
          <w:bCs/>
          <w:sz w:val="28"/>
          <w:szCs w:val="28"/>
          <w:u w:val="single"/>
          <w:rtl/>
        </w:rPr>
        <w:t>حسابرسي</w:t>
      </w:r>
      <w:r w:rsidRPr="00EE173A">
        <w:rPr>
          <w:rFonts w:cs="Nazanin"/>
          <w:b/>
          <w:bCs/>
          <w:sz w:val="28"/>
          <w:szCs w:val="28"/>
          <w:u w:val="single"/>
        </w:rPr>
        <w:t xml:space="preserve"> </w:t>
      </w:r>
      <w:r w:rsidRPr="00EE173A">
        <w:rPr>
          <w:rFonts w:cs="Nazanin" w:hint="cs"/>
          <w:b/>
          <w:bCs/>
          <w:sz w:val="28"/>
          <w:szCs w:val="28"/>
          <w:u w:val="single"/>
          <w:rtl/>
        </w:rPr>
        <w:t>و</w:t>
      </w:r>
      <w:r w:rsidRPr="00EE173A">
        <w:rPr>
          <w:rFonts w:cs="Nazanin"/>
          <w:b/>
          <w:bCs/>
          <w:sz w:val="28"/>
          <w:szCs w:val="28"/>
          <w:u w:val="single"/>
        </w:rPr>
        <w:t xml:space="preserve"> </w:t>
      </w:r>
      <w:r w:rsidRPr="00EE173A">
        <w:rPr>
          <w:rFonts w:cs="Nazanin" w:hint="cs"/>
          <w:b/>
          <w:bCs/>
          <w:sz w:val="28"/>
          <w:szCs w:val="28"/>
          <w:u w:val="single"/>
          <w:rtl/>
        </w:rPr>
        <w:t>كنترل</w:t>
      </w:r>
      <w:r w:rsidRPr="00EE173A">
        <w:rPr>
          <w:rFonts w:cs="Nazanin"/>
          <w:b/>
          <w:bCs/>
          <w:sz w:val="28"/>
          <w:szCs w:val="28"/>
          <w:u w:val="single"/>
        </w:rPr>
        <w:t xml:space="preserve"> </w:t>
      </w:r>
      <w:r w:rsidRPr="00EE173A">
        <w:rPr>
          <w:rFonts w:cs="Nazanin" w:hint="cs"/>
          <w:b/>
          <w:bCs/>
          <w:sz w:val="28"/>
          <w:szCs w:val="28"/>
          <w:u w:val="single"/>
          <w:rtl/>
        </w:rPr>
        <w:t>مواد</w:t>
      </w:r>
      <w:r w:rsidRPr="00EE173A">
        <w:rPr>
          <w:rFonts w:cs="Nazanin"/>
          <w:b/>
          <w:bCs/>
          <w:sz w:val="28"/>
          <w:szCs w:val="28"/>
          <w:u w:val="single"/>
        </w:rPr>
        <w:t xml:space="preserve"> </w:t>
      </w:r>
      <w:r w:rsidRPr="00EE173A">
        <w:rPr>
          <w:rFonts w:cs="Nazanin" w:hint="cs"/>
          <w:b/>
          <w:bCs/>
          <w:sz w:val="28"/>
          <w:szCs w:val="28"/>
          <w:u w:val="single"/>
          <w:rtl/>
        </w:rPr>
        <w:t>هسته</w:t>
      </w:r>
      <w:r w:rsidRPr="00EE173A">
        <w:rPr>
          <w:rFonts w:cs="Nazanin"/>
          <w:b/>
          <w:bCs/>
          <w:sz w:val="28"/>
          <w:szCs w:val="28"/>
          <w:u w:val="single"/>
        </w:rPr>
        <w:t xml:space="preserve"> </w:t>
      </w:r>
      <w:r w:rsidRPr="00EE173A">
        <w:rPr>
          <w:rFonts w:cs="Nazanin" w:hint="cs"/>
          <w:b/>
          <w:bCs/>
          <w:sz w:val="28"/>
          <w:szCs w:val="28"/>
          <w:u w:val="single"/>
          <w:rtl/>
        </w:rPr>
        <w:t xml:space="preserve">اي </w:t>
      </w:r>
      <w:r w:rsidR="005E055D" w:rsidRPr="00EE173A">
        <w:rPr>
          <w:rFonts w:cs="Nazanin" w:hint="cs"/>
          <w:b/>
          <w:bCs/>
          <w:sz w:val="28"/>
          <w:szCs w:val="28"/>
          <w:u w:val="single"/>
          <w:rtl/>
        </w:rPr>
        <w:t>آشنايي با موارد</w:t>
      </w:r>
      <w:r w:rsidRPr="00EE173A">
        <w:rPr>
          <w:rFonts w:cs="Nazanin" w:hint="cs"/>
          <w:b/>
          <w:bCs/>
          <w:sz w:val="28"/>
          <w:szCs w:val="28"/>
          <w:u w:val="single"/>
          <w:rtl/>
        </w:rPr>
        <w:t xml:space="preserve"> زير مي‌باشد</w:t>
      </w:r>
      <w:r w:rsidRPr="00773188">
        <w:rPr>
          <w:rFonts w:cs="Nazanin" w:hint="cs"/>
          <w:b/>
          <w:bCs/>
          <w:sz w:val="28"/>
          <w:szCs w:val="28"/>
          <w:rtl/>
        </w:rPr>
        <w:t>:</w:t>
      </w:r>
    </w:p>
    <w:p w:rsidR="005E06B5" w:rsidRDefault="005E06B5" w:rsidP="00EE173A">
      <w:pPr>
        <w:spacing w:line="240" w:lineRule="auto"/>
        <w:jc w:val="both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1- سيستم پادمان آژانس بين المللي انرژي اتمي؛</w:t>
      </w:r>
    </w:p>
    <w:p w:rsidR="005E06B5" w:rsidRDefault="005E06B5" w:rsidP="00EE173A">
      <w:pPr>
        <w:spacing w:line="240" w:lineRule="auto"/>
        <w:jc w:val="both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2- تعهدات كشور در قبال موافقت‌نامه‌هاي پادماني؛</w:t>
      </w:r>
    </w:p>
    <w:p w:rsidR="005E06B5" w:rsidRDefault="005E06B5" w:rsidP="00EE173A">
      <w:pPr>
        <w:spacing w:line="240" w:lineRule="auto"/>
        <w:jc w:val="both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3- پرسشنامه اطلاعات طراحي متعلق به نيروگاه‌هاي هسته‌اي؛</w:t>
      </w:r>
    </w:p>
    <w:p w:rsidR="005E06B5" w:rsidRDefault="005E06B5" w:rsidP="00EE173A">
      <w:pPr>
        <w:spacing w:line="240" w:lineRule="auto"/>
        <w:jc w:val="both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4- </w:t>
      </w:r>
      <w:r w:rsidR="00F81FBD">
        <w:rPr>
          <w:rFonts w:cs="Nazanin" w:hint="cs"/>
          <w:sz w:val="28"/>
          <w:szCs w:val="28"/>
          <w:rtl/>
        </w:rPr>
        <w:t>سيستم گزارش دهي و ثبت سوابق مربوط به نيروگاه‌هاي هسته‌اي؛</w:t>
      </w:r>
    </w:p>
    <w:p w:rsidR="00F81FBD" w:rsidRDefault="00F81FBD" w:rsidP="00EE173A">
      <w:pPr>
        <w:spacing w:line="240" w:lineRule="auto"/>
        <w:jc w:val="both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5- نحوه تكم</w:t>
      </w:r>
      <w:r w:rsidR="00251B76">
        <w:rPr>
          <w:rFonts w:cs="Nazanin" w:hint="cs"/>
          <w:sz w:val="28"/>
          <w:szCs w:val="28"/>
          <w:rtl/>
        </w:rPr>
        <w:t>ي</w:t>
      </w:r>
      <w:r>
        <w:rPr>
          <w:rFonts w:cs="Nazanin" w:hint="cs"/>
          <w:sz w:val="28"/>
          <w:szCs w:val="28"/>
          <w:rtl/>
        </w:rPr>
        <w:t xml:space="preserve">ل گزارش‌هاي حسابرسي ارسالي به آژانس از طرف نيروگاه‌هاي هسته‌اي شامل </w:t>
      </w:r>
      <w:r w:rsidRPr="00F81FBD">
        <w:rPr>
          <w:rFonts w:asciiTheme="majorBidi" w:hAnsiTheme="majorBidi" w:cstheme="majorBidi"/>
          <w:sz w:val="24"/>
          <w:szCs w:val="24"/>
        </w:rPr>
        <w:t>PIL</w:t>
      </w:r>
      <w:r>
        <w:rPr>
          <w:rFonts w:cs="Nazanin" w:hint="cs"/>
          <w:sz w:val="28"/>
          <w:szCs w:val="28"/>
          <w:rtl/>
        </w:rPr>
        <w:t xml:space="preserve">، </w:t>
      </w:r>
      <w:r w:rsidRPr="00F81FBD">
        <w:rPr>
          <w:rFonts w:asciiTheme="majorBidi" w:hAnsiTheme="majorBidi" w:cstheme="majorBidi"/>
          <w:sz w:val="24"/>
          <w:szCs w:val="24"/>
        </w:rPr>
        <w:t>ICR</w:t>
      </w:r>
      <w:r>
        <w:rPr>
          <w:rFonts w:cs="Nazanin" w:hint="cs"/>
          <w:sz w:val="28"/>
          <w:szCs w:val="28"/>
          <w:rtl/>
        </w:rPr>
        <w:t xml:space="preserve"> و </w:t>
      </w:r>
      <w:r w:rsidRPr="00F81FBD">
        <w:rPr>
          <w:rFonts w:asciiTheme="majorBidi" w:hAnsiTheme="majorBidi" w:cstheme="majorBidi"/>
          <w:sz w:val="24"/>
          <w:szCs w:val="24"/>
        </w:rPr>
        <w:t>MBR</w:t>
      </w:r>
      <w:r>
        <w:rPr>
          <w:rFonts w:cs="Nazanin" w:hint="cs"/>
          <w:sz w:val="28"/>
          <w:szCs w:val="28"/>
          <w:rtl/>
        </w:rPr>
        <w:t>؛</w:t>
      </w:r>
    </w:p>
    <w:p w:rsidR="00F81FBD" w:rsidRDefault="00F81FBD" w:rsidP="00EE173A">
      <w:pPr>
        <w:spacing w:line="240" w:lineRule="auto"/>
        <w:jc w:val="both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6- </w:t>
      </w:r>
      <w:r w:rsidR="00896257">
        <w:rPr>
          <w:rFonts w:cs="Nazanin" w:hint="cs"/>
          <w:sz w:val="28"/>
          <w:szCs w:val="28"/>
          <w:rtl/>
        </w:rPr>
        <w:t xml:space="preserve">تهيه اظهاريه‌هاي </w:t>
      </w:r>
      <w:r w:rsidR="004D248E">
        <w:rPr>
          <w:rFonts w:cs="Nazanin" w:hint="cs"/>
          <w:sz w:val="28"/>
          <w:szCs w:val="28"/>
          <w:rtl/>
        </w:rPr>
        <w:t xml:space="preserve">پروتكل الحاقي </w:t>
      </w:r>
      <w:r w:rsidR="00896257">
        <w:rPr>
          <w:rFonts w:cs="Nazanin" w:hint="cs"/>
          <w:sz w:val="28"/>
          <w:szCs w:val="28"/>
          <w:rtl/>
        </w:rPr>
        <w:t>(</w:t>
      </w:r>
      <w:r w:rsidR="00896257" w:rsidRPr="00896257">
        <w:rPr>
          <w:rFonts w:asciiTheme="majorBidi" w:hAnsiTheme="majorBidi" w:cstheme="majorBidi"/>
          <w:sz w:val="24"/>
          <w:szCs w:val="24"/>
        </w:rPr>
        <w:t xml:space="preserve">AP Art. </w:t>
      </w:r>
      <w:proofErr w:type="gramStart"/>
      <w:r w:rsidR="00896257" w:rsidRPr="00896257">
        <w:rPr>
          <w:rFonts w:asciiTheme="majorBidi" w:hAnsiTheme="majorBidi" w:cstheme="majorBidi"/>
          <w:sz w:val="24"/>
          <w:szCs w:val="24"/>
        </w:rPr>
        <w:t>2a(</w:t>
      </w:r>
      <w:proofErr w:type="gramEnd"/>
      <w:r w:rsidR="00896257" w:rsidRPr="00896257">
        <w:rPr>
          <w:rFonts w:asciiTheme="majorBidi" w:hAnsiTheme="majorBidi" w:cstheme="majorBidi"/>
          <w:sz w:val="24"/>
          <w:szCs w:val="24"/>
        </w:rPr>
        <w:t>iii)</w:t>
      </w:r>
      <w:r w:rsidR="00896257" w:rsidRPr="00896257">
        <w:rPr>
          <w:rFonts w:asciiTheme="majorBidi" w:hAnsiTheme="majorBidi" w:cstheme="majorBidi" w:hint="cs"/>
          <w:sz w:val="24"/>
          <w:szCs w:val="24"/>
          <w:rtl/>
        </w:rPr>
        <w:t>)</w:t>
      </w:r>
      <w:r w:rsidR="00896257">
        <w:rPr>
          <w:rFonts w:cs="Nazanin" w:hint="cs"/>
          <w:sz w:val="28"/>
          <w:szCs w:val="28"/>
          <w:rtl/>
        </w:rPr>
        <w:t>؛</w:t>
      </w:r>
    </w:p>
    <w:p w:rsidR="00896257" w:rsidRDefault="00896257" w:rsidP="00EE173A">
      <w:pPr>
        <w:spacing w:line="240" w:lineRule="auto"/>
        <w:jc w:val="both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7</w:t>
      </w:r>
      <w:r w:rsidR="00EE173A">
        <w:rPr>
          <w:rFonts w:cs="Nazanin" w:hint="cs"/>
          <w:sz w:val="28"/>
          <w:szCs w:val="28"/>
          <w:rtl/>
        </w:rPr>
        <w:t xml:space="preserve">- </w:t>
      </w:r>
      <w:r w:rsidR="0020184C">
        <w:rPr>
          <w:rFonts w:cs="Nazanin" w:hint="cs"/>
          <w:sz w:val="28"/>
          <w:szCs w:val="28"/>
          <w:rtl/>
        </w:rPr>
        <w:t xml:space="preserve">فعاليت‌هاي راستي‌آزمايي آژانس </w:t>
      </w:r>
      <w:r w:rsidR="00723436">
        <w:rPr>
          <w:rFonts w:cs="Nazanin" w:hint="cs"/>
          <w:sz w:val="28"/>
          <w:szCs w:val="28"/>
          <w:rtl/>
        </w:rPr>
        <w:t xml:space="preserve">(نحوه انجام بازرسي‌ها) </w:t>
      </w:r>
      <w:r w:rsidR="0020184C">
        <w:rPr>
          <w:rFonts w:cs="Nazanin" w:hint="cs"/>
          <w:sz w:val="28"/>
          <w:szCs w:val="28"/>
          <w:rtl/>
        </w:rPr>
        <w:t>در ارتباط با نيروگاه‌هاي هسته‌اي؛</w:t>
      </w:r>
    </w:p>
    <w:p w:rsidR="00CF6C58" w:rsidRDefault="00773188" w:rsidP="00EE173A">
      <w:pPr>
        <w:spacing w:line="240" w:lineRule="auto"/>
        <w:jc w:val="both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8</w:t>
      </w:r>
      <w:r w:rsidR="00EE173A">
        <w:rPr>
          <w:rFonts w:cs="Nazanin" w:hint="cs"/>
          <w:sz w:val="28"/>
          <w:szCs w:val="28"/>
          <w:rtl/>
        </w:rPr>
        <w:t xml:space="preserve">- </w:t>
      </w:r>
      <w:r w:rsidRPr="00773188">
        <w:rPr>
          <w:rFonts w:cs="Nazanin" w:hint="cs"/>
          <w:sz w:val="28"/>
          <w:szCs w:val="28"/>
          <w:rtl/>
        </w:rPr>
        <w:t xml:space="preserve">فنون پوشش فيزيكي و نظارتي </w:t>
      </w:r>
      <w:r w:rsidR="00B855AD">
        <w:rPr>
          <w:rFonts w:cs="Nazanin" w:hint="cs"/>
          <w:sz w:val="28"/>
          <w:szCs w:val="28"/>
          <w:rtl/>
        </w:rPr>
        <w:t xml:space="preserve">آژانس </w:t>
      </w:r>
      <w:r>
        <w:rPr>
          <w:rFonts w:cs="Nazanin" w:hint="cs"/>
          <w:sz w:val="28"/>
          <w:szCs w:val="28"/>
          <w:rtl/>
        </w:rPr>
        <w:t>(</w:t>
      </w:r>
      <w:r w:rsidRPr="00FF5FE4">
        <w:rPr>
          <w:rFonts w:asciiTheme="majorBidi" w:hAnsiTheme="majorBidi" w:cstheme="majorBidi"/>
          <w:sz w:val="24"/>
          <w:szCs w:val="24"/>
        </w:rPr>
        <w:t>Containment and Surveillance</w:t>
      </w:r>
      <w:r>
        <w:rPr>
          <w:rFonts w:cs="Nazanin" w:hint="cs"/>
          <w:sz w:val="28"/>
          <w:szCs w:val="28"/>
          <w:rtl/>
        </w:rPr>
        <w:t>).</w:t>
      </w:r>
    </w:p>
    <w:p w:rsidR="005E055D" w:rsidRDefault="005E055D" w:rsidP="00773188">
      <w:pPr>
        <w:spacing w:line="240" w:lineRule="auto"/>
        <w:jc w:val="both"/>
        <w:rPr>
          <w:rFonts w:cs="Nazanin"/>
          <w:b/>
          <w:bCs/>
          <w:sz w:val="28"/>
          <w:szCs w:val="28"/>
          <w:rtl/>
        </w:rPr>
      </w:pPr>
    </w:p>
    <w:p w:rsidR="005E055D" w:rsidRPr="005E055D" w:rsidRDefault="005E055D" w:rsidP="00773188">
      <w:pPr>
        <w:spacing w:line="240" w:lineRule="auto"/>
        <w:jc w:val="both"/>
        <w:rPr>
          <w:rFonts w:cs="Nazanin"/>
          <w:b/>
          <w:bCs/>
          <w:sz w:val="28"/>
          <w:szCs w:val="28"/>
          <w:rtl/>
        </w:rPr>
      </w:pPr>
      <w:r w:rsidRPr="00EE173A">
        <w:rPr>
          <w:rFonts w:cs="Nazanin" w:hint="cs"/>
          <w:b/>
          <w:bCs/>
          <w:sz w:val="28"/>
          <w:szCs w:val="28"/>
          <w:u w:val="single"/>
          <w:rtl/>
        </w:rPr>
        <w:t>انتظارات</w:t>
      </w:r>
      <w:r w:rsidRPr="005E055D">
        <w:rPr>
          <w:rFonts w:cs="Nazanin" w:hint="cs"/>
          <w:b/>
          <w:bCs/>
          <w:sz w:val="28"/>
          <w:szCs w:val="28"/>
          <w:rtl/>
        </w:rPr>
        <w:t>:</w:t>
      </w:r>
    </w:p>
    <w:p w:rsidR="005E055D" w:rsidRPr="005E06B5" w:rsidRDefault="005E055D" w:rsidP="00ED28C6">
      <w:pPr>
        <w:spacing w:line="240" w:lineRule="auto"/>
        <w:jc w:val="both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آشنايي كارشناسان پادماني شركت توليد و توسعه انرژي اتمي ايران و نيروگاه اتمي بوشهر با موارد مذكور كه در نهايت با برگزاري دوره فوق اين امر محقق گرديد.</w:t>
      </w:r>
    </w:p>
    <w:sectPr w:rsidR="005E055D" w:rsidRPr="005E06B5" w:rsidSect="00507EF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E06B5"/>
    <w:rsid w:val="000C6EFE"/>
    <w:rsid w:val="000E4F10"/>
    <w:rsid w:val="0020184C"/>
    <w:rsid w:val="00251B76"/>
    <w:rsid w:val="00393269"/>
    <w:rsid w:val="004D248E"/>
    <w:rsid w:val="00507EF7"/>
    <w:rsid w:val="005E055D"/>
    <w:rsid w:val="005E06B5"/>
    <w:rsid w:val="00723436"/>
    <w:rsid w:val="00773188"/>
    <w:rsid w:val="007F33DF"/>
    <w:rsid w:val="00896257"/>
    <w:rsid w:val="009F7A90"/>
    <w:rsid w:val="00B855AD"/>
    <w:rsid w:val="00CB1683"/>
    <w:rsid w:val="00CF6C58"/>
    <w:rsid w:val="00E6659F"/>
    <w:rsid w:val="00ED28C6"/>
    <w:rsid w:val="00EE173A"/>
    <w:rsid w:val="00F81FBD"/>
    <w:rsid w:val="00FF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F1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Zandi</dc:creator>
  <cp:keywords/>
  <dc:description/>
  <cp:lastModifiedBy>Rahnama</cp:lastModifiedBy>
  <cp:revision>13</cp:revision>
  <cp:lastPrinted>2014-12-08T08:47:00Z</cp:lastPrinted>
  <dcterms:created xsi:type="dcterms:W3CDTF">2014-12-08T07:17:00Z</dcterms:created>
  <dcterms:modified xsi:type="dcterms:W3CDTF">2015-02-02T04:58:00Z</dcterms:modified>
</cp:coreProperties>
</file>