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250" w:rsidRDefault="00251198" w:rsidP="00251198">
      <w:pPr>
        <w:pStyle w:val="Nadpis1"/>
      </w:pPr>
      <w:r>
        <w:t>Earthquakes</w:t>
      </w:r>
      <w:r w:rsidR="00F10250" w:rsidRPr="009E5DED">
        <w:t xml:space="preserve"> </w:t>
      </w:r>
    </w:p>
    <w:p w:rsidR="00927A61" w:rsidRPr="00516543" w:rsidRDefault="00927A61" w:rsidP="00717FF0">
      <w:pPr>
        <w:pStyle w:val="Odstavecseseznamem"/>
      </w:pPr>
      <w:r w:rsidRPr="00927A61">
        <w:t>The main objective of</w:t>
      </w:r>
      <w:r w:rsidR="008F33FD">
        <w:t xml:space="preserve"> this</w:t>
      </w:r>
      <w:r w:rsidRPr="00927A61">
        <w:t xml:space="preserve"> </w:t>
      </w:r>
      <w:r w:rsidR="00862400">
        <w:t>review</w:t>
      </w:r>
      <w:r w:rsidRPr="00927A61">
        <w:t xml:space="preserve"> is to demonstrate </w:t>
      </w:r>
      <w:r w:rsidR="00516543" w:rsidRPr="00516543">
        <w:t xml:space="preserve">that the </w:t>
      </w:r>
      <w:r w:rsidR="00516543">
        <w:t xml:space="preserve">design </w:t>
      </w:r>
      <w:r w:rsidR="00516543" w:rsidRPr="00516543">
        <w:t xml:space="preserve">basic earthquake was determined in a state-of-art manner and provides trusted information about the </w:t>
      </w:r>
      <w:r w:rsidRPr="00927A61">
        <w:t xml:space="preserve">resistance of </w:t>
      </w:r>
      <w:r w:rsidR="008F33FD">
        <w:t>the Bushehr NPP</w:t>
      </w:r>
      <w:r w:rsidRPr="00927A61">
        <w:t xml:space="preserve"> to seismo-tectonic hazards and </w:t>
      </w:r>
      <w:r w:rsidR="00516543">
        <w:t xml:space="preserve">about </w:t>
      </w:r>
      <w:r w:rsidRPr="00927A61">
        <w:t>the existence of a sufficient safety margin.</w:t>
      </w:r>
    </w:p>
    <w:p w:rsidR="00927A61" w:rsidRPr="00927A61" w:rsidRDefault="00927A61" w:rsidP="00687826">
      <w:pPr>
        <w:pStyle w:val="Nadpis2"/>
      </w:pPr>
      <w:r>
        <w:t>Design basis</w:t>
      </w:r>
    </w:p>
    <w:p w:rsidR="00516543" w:rsidRDefault="00516543" w:rsidP="00687826">
      <w:pPr>
        <w:pStyle w:val="Nadpis3"/>
      </w:pPr>
      <w:r>
        <w:t>Earthquake against which the NPP is designated</w:t>
      </w:r>
    </w:p>
    <w:p w:rsidR="00C17BC2" w:rsidRDefault="00C17BC2" w:rsidP="00C17BC2">
      <w:pPr>
        <w:pStyle w:val="Odstavecseseznamem"/>
      </w:pPr>
      <w:r w:rsidRPr="00C17BC2">
        <w:t>In this chapter are assessed three issues:</w:t>
      </w:r>
    </w:p>
    <w:p w:rsidR="000C7F88" w:rsidRDefault="00C17BC2" w:rsidP="000C7F88">
      <w:pPr>
        <w:pStyle w:val="Odstavecseseznamem"/>
        <w:numPr>
          <w:ilvl w:val="0"/>
          <w:numId w:val="8"/>
        </w:numPr>
        <w:spacing w:after="0"/>
        <w:ind w:left="714" w:hanging="357"/>
      </w:pPr>
      <w:r w:rsidRPr="00C17BC2">
        <w:t xml:space="preserve">Characteristics of the design basis earthquake (DBE); </w:t>
      </w:r>
    </w:p>
    <w:p w:rsidR="000C7F88" w:rsidRDefault="00C17BC2" w:rsidP="000C7F88">
      <w:pPr>
        <w:pStyle w:val="Odstavecseseznamem"/>
        <w:numPr>
          <w:ilvl w:val="0"/>
          <w:numId w:val="8"/>
        </w:numPr>
        <w:spacing w:after="0"/>
        <w:ind w:left="714" w:hanging="357"/>
      </w:pPr>
      <w:r w:rsidRPr="00C17BC2">
        <w:t xml:space="preserve">Methodology used to evaluate DBE; </w:t>
      </w:r>
    </w:p>
    <w:p w:rsidR="000C7F88" w:rsidRDefault="003E273A" w:rsidP="000C7F88">
      <w:pPr>
        <w:pStyle w:val="Odstavecseseznamem"/>
        <w:numPr>
          <w:ilvl w:val="0"/>
          <w:numId w:val="8"/>
        </w:numPr>
      </w:pPr>
      <w:r>
        <w:t>A</w:t>
      </w:r>
      <w:r w:rsidR="00C17BC2" w:rsidRPr="00C17BC2">
        <w:t>dequacy of DBE</w:t>
      </w:r>
      <w:r w:rsidR="000C7F88">
        <w:t>.</w:t>
      </w:r>
      <w:r w:rsidR="00C17BC2" w:rsidRPr="00C17BC2">
        <w:t xml:space="preserve"> </w:t>
      </w:r>
    </w:p>
    <w:p w:rsidR="00251198" w:rsidRDefault="00CE54C7" w:rsidP="000C7F88">
      <w:pPr>
        <w:pStyle w:val="Nadpis4"/>
      </w:pPr>
      <w:r>
        <w:t>C</w:t>
      </w:r>
      <w:r w:rsidR="00516543" w:rsidRPr="00516543">
        <w:t>haracteristics</w:t>
      </w:r>
      <w:r w:rsidR="00687826">
        <w:t xml:space="preserve"> of the </w:t>
      </w:r>
      <w:r w:rsidR="00F73019">
        <w:t>D</w:t>
      </w:r>
      <w:r>
        <w:t xml:space="preserve">esign </w:t>
      </w:r>
      <w:r w:rsidR="00F73019">
        <w:t>B</w:t>
      </w:r>
      <w:r>
        <w:t xml:space="preserve">asis </w:t>
      </w:r>
      <w:r w:rsidR="00F73019">
        <w:t>E</w:t>
      </w:r>
      <w:r>
        <w:t>arthquake</w:t>
      </w:r>
      <w:r w:rsidR="00687826">
        <w:t xml:space="preserve"> </w:t>
      </w:r>
    </w:p>
    <w:p w:rsidR="007B630B" w:rsidRDefault="00201FA8" w:rsidP="00E02439">
      <w:pPr>
        <w:pStyle w:val="Odstavecseseznamem"/>
      </w:pPr>
      <w:r w:rsidRPr="00201FA8">
        <w:t xml:space="preserve">As can be seen from the FSAR text, seismic hazard </w:t>
      </w:r>
      <w:r>
        <w:t xml:space="preserve">(resp. SL-2 value) </w:t>
      </w:r>
      <w:r w:rsidRPr="00201FA8">
        <w:t>was determined using three approaches, macroseismic, deterministic and probabili</w:t>
      </w:r>
      <w:r>
        <w:t>stic</w:t>
      </w:r>
      <w:r w:rsidR="0025209A">
        <w:t xml:space="preserve"> (See report </w:t>
      </w:r>
      <w:r w:rsidR="0025209A" w:rsidRPr="00142D17">
        <w:t>49.BU.1</w:t>
      </w:r>
      <w:r w:rsidR="0025209A">
        <w:t> </w:t>
      </w:r>
      <w:r w:rsidR="0025209A" w:rsidRPr="00142D17">
        <w:t>0.0.ОО.FSAR.</w:t>
      </w:r>
      <w:r w:rsidR="0025209A">
        <w:t xml:space="preserve"> </w:t>
      </w:r>
      <w:r w:rsidR="0025209A" w:rsidRPr="00142D17">
        <w:t>RDR001</w:t>
      </w:r>
      <w:r w:rsidR="0025209A">
        <w:t xml:space="preserve">, </w:t>
      </w:r>
      <w:bookmarkStart w:id="0" w:name="_Toc480958299"/>
      <w:bookmarkStart w:id="1" w:name="_Toc481006850"/>
      <w:bookmarkStart w:id="2" w:name="_Toc483323346"/>
      <w:r w:rsidR="0025209A" w:rsidRPr="00142D17">
        <w:t>Moscow, 2011</w:t>
      </w:r>
      <w:r w:rsidR="0025209A">
        <w:t xml:space="preserve"> / Table 2.5.2.6-</w:t>
      </w:r>
      <w:bookmarkEnd w:id="0"/>
      <w:bookmarkEnd w:id="1"/>
      <w:bookmarkEnd w:id="2"/>
      <w:r w:rsidR="0025209A">
        <w:t>6)</w:t>
      </w:r>
      <w:r w:rsidRPr="00201FA8">
        <w:t>.</w:t>
      </w:r>
      <w:r w:rsidR="0025209A">
        <w:t xml:space="preserve"> See </w:t>
      </w:r>
      <w:r w:rsidR="0073513E">
        <w:fldChar w:fldCharType="begin"/>
      </w:r>
      <w:r w:rsidR="0073513E">
        <w:instrText xml:space="preserve"> REF _Ref534965528 \h </w:instrText>
      </w:r>
      <w:r w:rsidR="0073513E">
        <w:fldChar w:fldCharType="separate"/>
      </w:r>
      <w:r w:rsidR="00185617">
        <w:t xml:space="preserve">Table </w:t>
      </w:r>
      <w:r w:rsidR="00185617">
        <w:rPr>
          <w:noProof/>
        </w:rPr>
        <w:t>1</w:t>
      </w:r>
      <w:r w:rsidR="0073513E">
        <w:fldChar w:fldCharType="end"/>
      </w:r>
      <w:r w:rsidR="0025209A">
        <w:t>.</w:t>
      </w:r>
    </w:p>
    <w:p w:rsidR="006F7195" w:rsidRPr="0073513E" w:rsidRDefault="0073513E" w:rsidP="0073513E">
      <w:pPr>
        <w:pStyle w:val="Titulek"/>
        <w:rPr>
          <w:szCs w:val="24"/>
        </w:rPr>
      </w:pPr>
      <w:bookmarkStart w:id="3" w:name="_Ref534965528"/>
      <w:bookmarkStart w:id="4" w:name="_Toc304303678"/>
      <w:bookmarkStart w:id="5" w:name="_Toc480958300"/>
      <w:bookmarkStart w:id="6" w:name="_Toc481006851"/>
      <w:bookmarkStart w:id="7" w:name="_Toc483323347"/>
      <w:r>
        <w:t xml:space="preserve">Table </w:t>
      </w:r>
      <w:r w:rsidR="00A23856">
        <w:rPr>
          <w:noProof/>
        </w:rPr>
        <w:fldChar w:fldCharType="begin"/>
      </w:r>
      <w:r w:rsidR="00A23856">
        <w:rPr>
          <w:noProof/>
        </w:rPr>
        <w:instrText xml:space="preserve"> SEQ Table \* ARABIC </w:instrText>
      </w:r>
      <w:r w:rsidR="00A23856">
        <w:rPr>
          <w:noProof/>
        </w:rPr>
        <w:fldChar w:fldCharType="separate"/>
      </w:r>
      <w:r w:rsidR="00E85210">
        <w:rPr>
          <w:noProof/>
        </w:rPr>
        <w:t>1</w:t>
      </w:r>
      <w:r w:rsidR="00A23856">
        <w:rPr>
          <w:noProof/>
        </w:rPr>
        <w:fldChar w:fldCharType="end"/>
      </w:r>
      <w:bookmarkEnd w:id="3"/>
      <w:r>
        <w:t xml:space="preserve">: </w:t>
      </w:r>
      <w:r w:rsidR="006F7195" w:rsidRPr="0073513E">
        <w:rPr>
          <w:szCs w:val="24"/>
        </w:rPr>
        <w:t>The mean PGA estimations for the BNPP site (SL-2)</w:t>
      </w:r>
      <w:bookmarkEnd w:id="4"/>
      <w:bookmarkEnd w:id="5"/>
      <w:bookmarkEnd w:id="6"/>
      <w:bookmarkEnd w:id="7"/>
    </w:p>
    <w:tbl>
      <w:tblPr>
        <w:tblW w:w="0" w:type="auto"/>
        <w:jc w:val="center"/>
        <w:tblLayout w:type="fixed"/>
        <w:tblCellMar>
          <w:left w:w="107" w:type="dxa"/>
          <w:right w:w="107" w:type="dxa"/>
        </w:tblCellMar>
        <w:tblLook w:val="0000" w:firstRow="0" w:lastRow="0" w:firstColumn="0" w:lastColumn="0" w:noHBand="0" w:noVBand="0"/>
      </w:tblPr>
      <w:tblGrid>
        <w:gridCol w:w="2793"/>
        <w:gridCol w:w="1995"/>
        <w:gridCol w:w="1995"/>
      </w:tblGrid>
      <w:tr w:rsidR="006F7195" w:rsidTr="00E85210">
        <w:trPr>
          <w:trHeight w:val="227"/>
          <w:jc w:val="center"/>
        </w:trPr>
        <w:tc>
          <w:tcPr>
            <w:tcW w:w="27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F7195" w:rsidRPr="007C6E61" w:rsidRDefault="006F7195" w:rsidP="00390ADD">
            <w:pPr>
              <w:rPr>
                <w:color w:val="000000"/>
                <w:sz w:val="22"/>
                <w:szCs w:val="22"/>
              </w:rPr>
            </w:pPr>
            <w:r w:rsidRPr="007C6E61">
              <w:rPr>
                <w:color w:val="000000"/>
                <w:sz w:val="22"/>
                <w:szCs w:val="22"/>
              </w:rPr>
              <w:t>Method</w:t>
            </w:r>
          </w:p>
        </w:tc>
        <w:tc>
          <w:tcPr>
            <w:tcW w:w="19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F7195" w:rsidRPr="007C6E61" w:rsidRDefault="006F7195" w:rsidP="00390ADD">
            <w:pPr>
              <w:rPr>
                <w:color w:val="000000"/>
                <w:sz w:val="22"/>
                <w:szCs w:val="22"/>
              </w:rPr>
            </w:pPr>
            <w:r w:rsidRPr="007C6E61">
              <w:rPr>
                <w:color w:val="000000"/>
                <w:sz w:val="22"/>
                <w:szCs w:val="22"/>
              </w:rPr>
              <w:t xml:space="preserve">PGHA, </w:t>
            </w:r>
            <w:r w:rsidRPr="007C6E61">
              <w:rPr>
                <w:i/>
                <w:color w:val="000000"/>
                <w:sz w:val="22"/>
                <w:szCs w:val="22"/>
              </w:rPr>
              <w:t>g</w:t>
            </w:r>
          </w:p>
        </w:tc>
        <w:tc>
          <w:tcPr>
            <w:tcW w:w="19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6F7195" w:rsidRPr="007C6E61" w:rsidRDefault="006F7195" w:rsidP="00390ADD">
            <w:pPr>
              <w:rPr>
                <w:color w:val="000000"/>
                <w:sz w:val="22"/>
                <w:szCs w:val="22"/>
              </w:rPr>
            </w:pPr>
            <w:r w:rsidRPr="007C6E61">
              <w:rPr>
                <w:color w:val="000000"/>
                <w:sz w:val="22"/>
                <w:szCs w:val="22"/>
              </w:rPr>
              <w:t xml:space="preserve">PGVA, </w:t>
            </w:r>
            <w:r w:rsidRPr="007C6E61">
              <w:rPr>
                <w:i/>
                <w:color w:val="000000"/>
                <w:sz w:val="22"/>
                <w:szCs w:val="22"/>
              </w:rPr>
              <w:t>g</w:t>
            </w:r>
          </w:p>
        </w:tc>
      </w:tr>
      <w:tr w:rsidR="006F7195" w:rsidTr="00E85210">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Macroseismic</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0.22</w:t>
            </w:r>
          </w:p>
        </w:tc>
      </w:tr>
      <w:tr w:rsidR="006F7195" w:rsidTr="00E85210">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Deterministic</w:t>
            </w:r>
            <w:r w:rsidR="0025209A" w:rsidRPr="007C6E61">
              <w:rPr>
                <w:color w:val="000000"/>
                <w:sz w:val="22"/>
                <w:szCs w:val="22"/>
              </w:rPr>
              <w:t xml:space="preserve"> (DSHA)</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0.22</w:t>
            </w:r>
          </w:p>
        </w:tc>
      </w:tr>
      <w:tr w:rsidR="006F7195" w:rsidTr="00E85210">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Probabilistic</w:t>
            </w:r>
            <w:r w:rsidR="0025209A" w:rsidRPr="007C6E61">
              <w:rPr>
                <w:color w:val="000000"/>
                <w:sz w:val="22"/>
                <w:szCs w:val="22"/>
              </w:rPr>
              <w:t xml:space="preserve"> (PSHA)</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0.20</w:t>
            </w:r>
          </w:p>
        </w:tc>
      </w:tr>
      <w:tr w:rsidR="006F7195" w:rsidTr="00E85210">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Mean rounded</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6F7195" w:rsidRPr="007C6E61" w:rsidRDefault="006F7195" w:rsidP="00390ADD">
            <w:pPr>
              <w:rPr>
                <w:color w:val="000000"/>
                <w:sz w:val="22"/>
                <w:szCs w:val="22"/>
              </w:rPr>
            </w:pPr>
            <w:r w:rsidRPr="007C6E61">
              <w:rPr>
                <w:color w:val="000000"/>
                <w:sz w:val="22"/>
                <w:szCs w:val="22"/>
              </w:rPr>
              <w:t>0.22</w:t>
            </w:r>
          </w:p>
        </w:tc>
      </w:tr>
    </w:tbl>
    <w:p w:rsidR="008C72C2" w:rsidRDefault="00535FB9" w:rsidP="00535FB9">
      <w:pPr>
        <w:pStyle w:val="Odstavecseseznamem"/>
        <w:spacing w:before="240"/>
      </w:pPr>
      <w:r w:rsidRPr="00535FB9">
        <w:t>According to IAEA standard that applied at the time</w:t>
      </w:r>
      <w:r>
        <w:t xml:space="preserve"> (NS-G-3.3, par. 5.3)</w:t>
      </w:r>
      <w:r w:rsidRPr="00535FB9">
        <w:t xml:space="preserve">, they were </w:t>
      </w:r>
      <w:r>
        <w:t>evaluated</w:t>
      </w:r>
      <w:r w:rsidRPr="00535FB9">
        <w:t xml:space="preserve"> two levels of </w:t>
      </w:r>
      <w:r>
        <w:t>ground motion hazard,</w:t>
      </w:r>
      <w:r w:rsidRPr="00535FB9">
        <w:t xml:space="preserve"> </w:t>
      </w:r>
      <w:r>
        <w:t>here named SSE (i.e. SL-2) and DBE (SL-1).</w:t>
      </w:r>
      <w:r w:rsidR="00E85210">
        <w:t xml:space="preserve"> </w:t>
      </w:r>
      <w:r w:rsidR="00A5448D">
        <w:t>SSE</w:t>
      </w:r>
      <w:r w:rsidR="00E85210" w:rsidRPr="00E85210">
        <w:t xml:space="preserve"> and </w:t>
      </w:r>
      <w:r w:rsidR="00A5448D">
        <w:t>DBE</w:t>
      </w:r>
      <w:r w:rsidR="00E85210" w:rsidRPr="00E85210">
        <w:t xml:space="preserve"> values for Bushehr NPP are listed in the </w:t>
      </w:r>
      <w:r w:rsidR="00A5448D">
        <w:t>“</w:t>
      </w:r>
      <w:r w:rsidR="00E85210" w:rsidRPr="00E85210">
        <w:t>R</w:t>
      </w:r>
      <w:r w:rsidR="00E85210">
        <w:t xml:space="preserve">eport </w:t>
      </w:r>
      <w:r w:rsidR="00E85210" w:rsidRPr="00E85210">
        <w:t>on safety analyses of Bushehr NPP at extreme external impacts</w:t>
      </w:r>
      <w:r w:rsidR="00A5448D">
        <w:t>”</w:t>
      </w:r>
      <w:r w:rsidR="00E85210">
        <w:t xml:space="preserve"> (Moscow, 2012). See </w:t>
      </w:r>
      <w:r w:rsidR="00A5448D">
        <w:fldChar w:fldCharType="begin"/>
      </w:r>
      <w:r w:rsidR="00A5448D">
        <w:instrText xml:space="preserve"> REF _Ref535058640 \h </w:instrText>
      </w:r>
      <w:r w:rsidR="00A5448D">
        <w:fldChar w:fldCharType="separate"/>
      </w:r>
      <w:r w:rsidR="00A5448D">
        <w:t xml:space="preserve">Table </w:t>
      </w:r>
      <w:r w:rsidR="00A5448D">
        <w:rPr>
          <w:noProof/>
        </w:rPr>
        <w:t>2</w:t>
      </w:r>
      <w:r w:rsidR="00A5448D">
        <w:fldChar w:fldCharType="end"/>
      </w:r>
      <w:r w:rsidR="00A5448D">
        <w:t xml:space="preserve"> and </w:t>
      </w:r>
      <w:r w:rsidR="00A5448D">
        <w:fldChar w:fldCharType="begin"/>
      </w:r>
      <w:r w:rsidR="00A5448D">
        <w:instrText xml:space="preserve"> REF _Ref535058647 \h </w:instrText>
      </w:r>
      <w:r w:rsidR="00A5448D">
        <w:fldChar w:fldCharType="separate"/>
      </w:r>
      <w:r w:rsidR="00A5448D">
        <w:t xml:space="preserve">Table </w:t>
      </w:r>
      <w:r w:rsidR="00A5448D">
        <w:rPr>
          <w:noProof/>
        </w:rPr>
        <w:t>3</w:t>
      </w:r>
      <w:r w:rsidR="00A5448D">
        <w:fldChar w:fldCharType="end"/>
      </w:r>
      <w:r w:rsidR="00E85210">
        <w:t>.</w:t>
      </w:r>
    </w:p>
    <w:p w:rsidR="00E85210" w:rsidRDefault="00E85210" w:rsidP="00E85210">
      <w:pPr>
        <w:pStyle w:val="Titulek"/>
      </w:pPr>
      <w:bookmarkStart w:id="8" w:name="_Ref535058640"/>
      <w:r>
        <w:t xml:space="preserve">Table </w:t>
      </w:r>
      <w:r w:rsidR="00A23856">
        <w:rPr>
          <w:noProof/>
        </w:rPr>
        <w:fldChar w:fldCharType="begin"/>
      </w:r>
      <w:r w:rsidR="00A23856">
        <w:rPr>
          <w:noProof/>
        </w:rPr>
        <w:instrText xml:space="preserve"> SEQ Table \* ARABIC </w:instrText>
      </w:r>
      <w:r w:rsidR="00A23856">
        <w:rPr>
          <w:noProof/>
        </w:rPr>
        <w:fldChar w:fldCharType="separate"/>
      </w:r>
      <w:r>
        <w:rPr>
          <w:noProof/>
        </w:rPr>
        <w:t>2</w:t>
      </w:r>
      <w:r w:rsidR="00A23856">
        <w:rPr>
          <w:noProof/>
        </w:rPr>
        <w:fldChar w:fldCharType="end"/>
      </w:r>
      <w:bookmarkEnd w:id="8"/>
      <w:r>
        <w:t xml:space="preserve">: </w:t>
      </w:r>
      <w:r w:rsidRPr="00C411BD">
        <w:t xml:space="preserve">Expected parameters of </w:t>
      </w:r>
      <w:r w:rsidR="00A5448D" w:rsidRPr="00C411BD">
        <w:t xml:space="preserve">strong ground movements for </w:t>
      </w:r>
      <w:r w:rsidR="00A5448D">
        <w:t>SSE</w:t>
      </w:r>
      <w:r>
        <w:t>.</w:t>
      </w: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134"/>
        <w:gridCol w:w="1134"/>
        <w:gridCol w:w="1244"/>
        <w:gridCol w:w="1591"/>
        <w:gridCol w:w="1407"/>
      </w:tblGrid>
      <w:tr w:rsidR="00E85210" w:rsidRPr="00401BB7" w:rsidTr="00E85210">
        <w:trPr>
          <w:cantSplit/>
          <w:trHeight w:val="227"/>
        </w:trPr>
        <w:tc>
          <w:tcPr>
            <w:tcW w:w="2410" w:type="dxa"/>
            <w:vMerge w:val="restart"/>
            <w:tcBorders>
              <w:top w:val="single" w:sz="4" w:space="0" w:color="auto"/>
              <w:left w:val="single" w:sz="4" w:space="0" w:color="auto"/>
              <w:right w:val="single" w:sz="4" w:space="0" w:color="auto"/>
            </w:tcBorders>
            <w:shd w:val="clear" w:color="auto" w:fill="D9D9D9" w:themeFill="background1" w:themeFillShade="D9"/>
          </w:tcPr>
          <w:p w:rsidR="00E85210" w:rsidRPr="00C411BD" w:rsidRDefault="00E85210" w:rsidP="00E85210">
            <w:pPr>
              <w:jc w:val="center"/>
            </w:pPr>
            <w:r w:rsidRPr="00C411BD">
              <w:t>Zone</w:t>
            </w:r>
            <w:r>
              <w:t xml:space="preserve"> </w:t>
            </w:r>
            <w:r w:rsidRPr="00C411BD">
              <w:t>PSC</w:t>
            </w:r>
          </w:p>
        </w:tc>
        <w:tc>
          <w:tcPr>
            <w:tcW w:w="2268" w:type="dxa"/>
            <w:gridSpan w:val="2"/>
            <w:tcBorders>
              <w:top w:val="single" w:sz="4" w:space="0" w:color="auto"/>
              <w:right w:val="single" w:sz="4" w:space="0" w:color="auto"/>
            </w:tcBorders>
            <w:shd w:val="clear" w:color="auto" w:fill="D9D9D9" w:themeFill="background1" w:themeFillShade="D9"/>
          </w:tcPr>
          <w:p w:rsidR="00E85210" w:rsidRPr="00C411BD" w:rsidRDefault="00E85210" w:rsidP="00E85210">
            <w:pPr>
              <w:jc w:val="center"/>
            </w:pPr>
            <w:r w:rsidRPr="00C411BD">
              <w:t>Peak Acceleration</w:t>
            </w:r>
          </w:p>
        </w:tc>
        <w:tc>
          <w:tcPr>
            <w:tcW w:w="1244" w:type="dxa"/>
            <w:vMerge w:val="restart"/>
            <w:tcBorders>
              <w:top w:val="single" w:sz="4" w:space="0" w:color="auto"/>
              <w:left w:val="nil"/>
              <w:right w:val="nil"/>
            </w:tcBorders>
            <w:shd w:val="clear" w:color="auto" w:fill="D9D9D9" w:themeFill="background1" w:themeFillShade="D9"/>
          </w:tcPr>
          <w:p w:rsidR="00E85210" w:rsidRPr="00C411BD" w:rsidRDefault="00E85210" w:rsidP="00E85210">
            <w:pPr>
              <w:jc w:val="center"/>
              <w:rPr>
                <w:iCs/>
              </w:rPr>
            </w:pPr>
            <w:r w:rsidRPr="00C411BD">
              <w:rPr>
                <w:iCs/>
              </w:rPr>
              <w:t>Duration</w:t>
            </w:r>
            <w:r>
              <w:rPr>
                <w:iCs/>
              </w:rPr>
              <w:t xml:space="preserve"> </w:t>
            </w:r>
            <w:r w:rsidRPr="00C411BD">
              <w:rPr>
                <w:i/>
                <w:iCs/>
              </w:rPr>
              <w:t>d</w:t>
            </w:r>
            <w:r w:rsidRPr="00C411BD">
              <w:t>+</w:t>
            </w:r>
            <w:r w:rsidRPr="00C411BD">
              <w:rPr>
                <w:i/>
                <w:iCs/>
              </w:rPr>
              <w:sym w:font="Symbol" w:char="F073"/>
            </w:r>
            <w:r w:rsidRPr="00C411BD">
              <w:t>, sec</w:t>
            </w:r>
          </w:p>
        </w:tc>
        <w:tc>
          <w:tcPr>
            <w:tcW w:w="1591" w:type="dxa"/>
            <w:vMerge w:val="restart"/>
            <w:tcBorders>
              <w:top w:val="single" w:sz="4" w:space="0" w:color="auto"/>
              <w:left w:val="single" w:sz="4" w:space="0" w:color="auto"/>
              <w:right w:val="single" w:sz="4" w:space="0" w:color="auto"/>
            </w:tcBorders>
            <w:shd w:val="clear" w:color="auto" w:fill="D9D9D9" w:themeFill="background1" w:themeFillShade="D9"/>
          </w:tcPr>
          <w:p w:rsidR="00E85210" w:rsidRPr="00E85210" w:rsidRDefault="00E85210" w:rsidP="00E85210">
            <w:pPr>
              <w:jc w:val="center"/>
              <w:rPr>
                <w:iCs/>
                <w:lang w:val="pl-PL"/>
              </w:rPr>
            </w:pPr>
            <w:r w:rsidRPr="00E85210">
              <w:rPr>
                <w:iCs/>
                <w:lang w:val="pl-PL"/>
              </w:rPr>
              <w:t>Zero period</w:t>
            </w:r>
            <w:r w:rsidRPr="00E85210">
              <w:rPr>
                <w:i/>
                <w:iCs/>
                <w:lang w:val="pl-PL"/>
              </w:rPr>
              <w:t>T</w:t>
            </w:r>
            <w:r w:rsidRPr="00E85210">
              <w:rPr>
                <w:i/>
                <w:iCs/>
                <w:vertAlign w:val="subscript"/>
                <w:lang w:val="pl-PL"/>
              </w:rPr>
              <w:t>0</w:t>
            </w:r>
            <w:r w:rsidRPr="00E85210">
              <w:rPr>
                <w:lang w:val="pl-PL"/>
              </w:rPr>
              <w:t xml:space="preserve">, sec; </w:t>
            </w:r>
            <w:r w:rsidRPr="00C411BD">
              <w:sym w:font="Symbol" w:char="F073"/>
            </w:r>
            <w:r w:rsidRPr="00E85210">
              <w:rPr>
                <w:lang w:val="pl-PL"/>
              </w:rPr>
              <w:t>, un.log.</w:t>
            </w:r>
          </w:p>
        </w:tc>
        <w:tc>
          <w:tcPr>
            <w:tcW w:w="1407" w:type="dxa"/>
            <w:vMerge w:val="restart"/>
            <w:tcBorders>
              <w:top w:val="single" w:sz="4" w:space="0" w:color="auto"/>
              <w:left w:val="nil"/>
              <w:right w:val="single" w:sz="4" w:space="0" w:color="auto"/>
            </w:tcBorders>
            <w:shd w:val="clear" w:color="auto" w:fill="D9D9D9" w:themeFill="background1" w:themeFillShade="D9"/>
          </w:tcPr>
          <w:p w:rsidR="00E85210" w:rsidRPr="00C411BD" w:rsidRDefault="00E85210" w:rsidP="00E85210">
            <w:pPr>
              <w:jc w:val="center"/>
              <w:rPr>
                <w:iCs/>
              </w:rPr>
            </w:pPr>
            <w:r w:rsidRPr="00C411BD">
              <w:rPr>
                <w:iCs/>
              </w:rPr>
              <w:t xml:space="preserve">spectrum width </w:t>
            </w:r>
            <w:r w:rsidRPr="00C411BD">
              <w:rPr>
                <w:i/>
                <w:iCs/>
              </w:rPr>
              <w:t>S</w:t>
            </w:r>
            <w:r w:rsidRPr="00C411BD">
              <w:t>+</w:t>
            </w:r>
            <w:r w:rsidRPr="00C411BD">
              <w:rPr>
                <w:i/>
                <w:iCs/>
              </w:rPr>
              <w:sym w:font="Symbol" w:char="F073"/>
            </w:r>
            <w:r w:rsidRPr="00C411BD">
              <w:t>, un.log.</w:t>
            </w:r>
          </w:p>
        </w:tc>
      </w:tr>
      <w:tr w:rsidR="00E85210" w:rsidRPr="00C411BD" w:rsidTr="00E85210">
        <w:trPr>
          <w:cantSplit/>
          <w:trHeight w:val="227"/>
        </w:trPr>
        <w:tc>
          <w:tcPr>
            <w:tcW w:w="2410" w:type="dxa"/>
            <w:vMerge/>
            <w:tcBorders>
              <w:left w:val="single" w:sz="4" w:space="0" w:color="auto"/>
              <w:bottom w:val="nil"/>
              <w:right w:val="single" w:sz="4" w:space="0" w:color="auto"/>
            </w:tcBorders>
          </w:tcPr>
          <w:p w:rsidR="00E85210" w:rsidRPr="00C411BD" w:rsidRDefault="00E85210" w:rsidP="00E85210"/>
        </w:tc>
        <w:tc>
          <w:tcPr>
            <w:tcW w:w="1134" w:type="dxa"/>
            <w:tcBorders>
              <w:top w:val="single" w:sz="4" w:space="0" w:color="auto"/>
              <w:right w:val="nil"/>
            </w:tcBorders>
            <w:shd w:val="clear" w:color="auto" w:fill="D9D9D9" w:themeFill="background1" w:themeFillShade="D9"/>
          </w:tcPr>
          <w:p w:rsidR="00E85210" w:rsidRPr="00C411BD" w:rsidRDefault="00E85210" w:rsidP="00E85210">
            <w:pPr>
              <w:jc w:val="center"/>
            </w:pPr>
            <w:r w:rsidRPr="00C411BD">
              <w:t xml:space="preserve">PGHA, </w:t>
            </w:r>
            <w:r w:rsidRPr="00C411BD">
              <w:rPr>
                <w:i/>
                <w:iCs/>
              </w:rPr>
              <w:t>g</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tcPr>
          <w:p w:rsidR="00E85210" w:rsidRPr="00C411BD" w:rsidRDefault="00E85210" w:rsidP="00E85210">
            <w:pPr>
              <w:jc w:val="center"/>
            </w:pPr>
            <w:r w:rsidRPr="00C411BD">
              <w:t xml:space="preserve">PGVA, </w:t>
            </w:r>
            <w:r w:rsidRPr="00C411BD">
              <w:rPr>
                <w:i/>
                <w:iCs/>
              </w:rPr>
              <w:t>g</w:t>
            </w:r>
          </w:p>
        </w:tc>
        <w:tc>
          <w:tcPr>
            <w:tcW w:w="1244" w:type="dxa"/>
            <w:vMerge/>
            <w:tcBorders>
              <w:left w:val="nil"/>
              <w:bottom w:val="nil"/>
              <w:right w:val="nil"/>
            </w:tcBorders>
          </w:tcPr>
          <w:p w:rsidR="00E85210" w:rsidRPr="00C411BD" w:rsidRDefault="00E85210" w:rsidP="00E85210">
            <w:pPr>
              <w:jc w:val="center"/>
            </w:pPr>
          </w:p>
        </w:tc>
        <w:tc>
          <w:tcPr>
            <w:tcW w:w="1591" w:type="dxa"/>
            <w:vMerge/>
            <w:tcBorders>
              <w:left w:val="single" w:sz="4" w:space="0" w:color="auto"/>
              <w:bottom w:val="nil"/>
              <w:right w:val="single" w:sz="4" w:space="0" w:color="auto"/>
            </w:tcBorders>
          </w:tcPr>
          <w:p w:rsidR="00E85210" w:rsidRPr="00C411BD" w:rsidRDefault="00E85210" w:rsidP="00E85210">
            <w:pPr>
              <w:jc w:val="center"/>
            </w:pPr>
          </w:p>
        </w:tc>
        <w:tc>
          <w:tcPr>
            <w:tcW w:w="1407" w:type="dxa"/>
            <w:vMerge/>
            <w:tcBorders>
              <w:left w:val="nil"/>
              <w:bottom w:val="nil"/>
              <w:right w:val="single" w:sz="4" w:space="0" w:color="auto"/>
            </w:tcBorders>
          </w:tcPr>
          <w:p w:rsidR="00E85210" w:rsidRPr="00C411BD" w:rsidRDefault="00E85210" w:rsidP="00E85210">
            <w:pPr>
              <w:jc w:val="center"/>
            </w:pPr>
          </w:p>
        </w:tc>
      </w:tr>
      <w:tr w:rsidR="00E85210" w:rsidRPr="00C411BD" w:rsidTr="00E85210">
        <w:trPr>
          <w:cantSplit/>
          <w:trHeight w:val="227"/>
        </w:trPr>
        <w:tc>
          <w:tcPr>
            <w:tcW w:w="2410" w:type="dxa"/>
            <w:tcBorders>
              <w:top w:val="single" w:sz="4" w:space="0" w:color="auto"/>
              <w:left w:val="single" w:sz="4" w:space="0" w:color="auto"/>
              <w:bottom w:val="single" w:sz="4" w:space="0" w:color="auto"/>
              <w:right w:val="single" w:sz="4" w:space="0" w:color="auto"/>
            </w:tcBorders>
          </w:tcPr>
          <w:p w:rsidR="00E85210" w:rsidRPr="00C411BD" w:rsidRDefault="00E85210" w:rsidP="00E85210">
            <w:r w:rsidRPr="00C411BD">
              <w:t>Delvar-Ahram</w:t>
            </w:r>
          </w:p>
        </w:tc>
        <w:tc>
          <w:tcPr>
            <w:tcW w:w="1134" w:type="dxa"/>
            <w:tcBorders>
              <w:top w:val="single" w:sz="4" w:space="0" w:color="auto"/>
              <w:right w:val="nil"/>
            </w:tcBorders>
          </w:tcPr>
          <w:p w:rsidR="00E85210" w:rsidRPr="00C411BD" w:rsidRDefault="00E85210" w:rsidP="00E85210">
            <w:pPr>
              <w:jc w:val="center"/>
            </w:pPr>
            <w:r w:rsidRPr="00C411BD">
              <w:t>0.40</w:t>
            </w:r>
          </w:p>
        </w:tc>
        <w:tc>
          <w:tcPr>
            <w:tcW w:w="1134"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0.22</w:t>
            </w:r>
          </w:p>
        </w:tc>
        <w:tc>
          <w:tcPr>
            <w:tcW w:w="1244" w:type="dxa"/>
            <w:tcBorders>
              <w:top w:val="single" w:sz="4" w:space="0" w:color="auto"/>
              <w:left w:val="nil"/>
              <w:bottom w:val="single" w:sz="4" w:space="0" w:color="auto"/>
              <w:right w:val="nil"/>
            </w:tcBorders>
          </w:tcPr>
          <w:p w:rsidR="00E85210" w:rsidRPr="00C411BD" w:rsidRDefault="00E85210" w:rsidP="00E85210">
            <w:pPr>
              <w:jc w:val="center"/>
            </w:pPr>
            <w:r w:rsidRPr="00C411BD">
              <w:t>3.1</w:t>
            </w:r>
          </w:p>
        </w:tc>
        <w:tc>
          <w:tcPr>
            <w:tcW w:w="1591"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0.15; 0.12</w:t>
            </w:r>
          </w:p>
        </w:tc>
        <w:tc>
          <w:tcPr>
            <w:tcW w:w="1407" w:type="dxa"/>
            <w:tcBorders>
              <w:top w:val="single" w:sz="4" w:space="0" w:color="auto"/>
              <w:left w:val="nil"/>
              <w:bottom w:val="single" w:sz="4" w:space="0" w:color="auto"/>
              <w:right w:val="single" w:sz="4" w:space="0" w:color="auto"/>
            </w:tcBorders>
          </w:tcPr>
          <w:p w:rsidR="00E85210" w:rsidRPr="00C411BD" w:rsidRDefault="00E85210" w:rsidP="00E85210">
            <w:pPr>
              <w:jc w:val="center"/>
            </w:pPr>
            <w:r w:rsidRPr="00C411BD">
              <w:t>0.78</w:t>
            </w:r>
          </w:p>
        </w:tc>
      </w:tr>
      <w:tr w:rsidR="00E85210" w:rsidRPr="00C411BD" w:rsidTr="00E85210">
        <w:trPr>
          <w:cantSplit/>
          <w:trHeight w:val="227"/>
        </w:trPr>
        <w:tc>
          <w:tcPr>
            <w:tcW w:w="2410" w:type="dxa"/>
            <w:tcBorders>
              <w:top w:val="single" w:sz="4" w:space="0" w:color="auto"/>
              <w:left w:val="single" w:sz="4" w:space="0" w:color="auto"/>
              <w:bottom w:val="single" w:sz="4" w:space="0" w:color="auto"/>
              <w:right w:val="single" w:sz="4" w:space="0" w:color="auto"/>
            </w:tcBorders>
          </w:tcPr>
          <w:p w:rsidR="00E85210" w:rsidRPr="00C411BD" w:rsidRDefault="00E85210" w:rsidP="00E85210">
            <w:r w:rsidRPr="00C411BD">
              <w:t>Delvar-Mand</w:t>
            </w:r>
          </w:p>
        </w:tc>
        <w:tc>
          <w:tcPr>
            <w:tcW w:w="1134" w:type="dxa"/>
            <w:tcBorders>
              <w:right w:val="nil"/>
            </w:tcBorders>
          </w:tcPr>
          <w:p w:rsidR="00E85210" w:rsidRPr="00C411BD" w:rsidRDefault="00E85210" w:rsidP="00E85210">
            <w:pPr>
              <w:jc w:val="center"/>
            </w:pPr>
            <w:r w:rsidRPr="00C411BD">
              <w:t>0.35</w:t>
            </w:r>
          </w:p>
        </w:tc>
        <w:tc>
          <w:tcPr>
            <w:tcW w:w="1134"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0.18</w:t>
            </w:r>
          </w:p>
        </w:tc>
        <w:tc>
          <w:tcPr>
            <w:tcW w:w="1244" w:type="dxa"/>
            <w:tcBorders>
              <w:top w:val="single" w:sz="4" w:space="0" w:color="auto"/>
              <w:left w:val="nil"/>
              <w:bottom w:val="single" w:sz="4" w:space="0" w:color="auto"/>
              <w:right w:val="nil"/>
            </w:tcBorders>
          </w:tcPr>
          <w:p w:rsidR="00E85210" w:rsidRPr="00C411BD" w:rsidRDefault="00E85210" w:rsidP="00E85210">
            <w:pPr>
              <w:jc w:val="center"/>
            </w:pPr>
            <w:r w:rsidRPr="00C411BD">
              <w:t>6.6</w:t>
            </w:r>
          </w:p>
        </w:tc>
        <w:tc>
          <w:tcPr>
            <w:tcW w:w="1591"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0.21; 0.12</w:t>
            </w:r>
          </w:p>
        </w:tc>
        <w:tc>
          <w:tcPr>
            <w:tcW w:w="1407" w:type="dxa"/>
            <w:tcBorders>
              <w:top w:val="single" w:sz="4" w:space="0" w:color="auto"/>
              <w:left w:val="nil"/>
              <w:bottom w:val="single" w:sz="4" w:space="0" w:color="auto"/>
              <w:right w:val="single" w:sz="4" w:space="0" w:color="auto"/>
            </w:tcBorders>
          </w:tcPr>
          <w:p w:rsidR="00E85210" w:rsidRPr="00C411BD" w:rsidRDefault="00E85210" w:rsidP="00E85210">
            <w:pPr>
              <w:jc w:val="center"/>
            </w:pPr>
            <w:r w:rsidRPr="00C411BD">
              <w:t>0.78</w:t>
            </w:r>
          </w:p>
        </w:tc>
      </w:tr>
      <w:tr w:rsidR="00E85210" w:rsidRPr="00C411BD" w:rsidTr="00E85210">
        <w:trPr>
          <w:cantSplit/>
          <w:trHeight w:val="227"/>
        </w:trPr>
        <w:tc>
          <w:tcPr>
            <w:tcW w:w="2410" w:type="dxa"/>
            <w:tcBorders>
              <w:top w:val="single" w:sz="4" w:space="0" w:color="auto"/>
              <w:left w:val="single" w:sz="4" w:space="0" w:color="auto"/>
              <w:bottom w:val="single" w:sz="4" w:space="0" w:color="auto"/>
              <w:right w:val="single" w:sz="4" w:space="0" w:color="auto"/>
            </w:tcBorders>
          </w:tcPr>
          <w:p w:rsidR="00E85210" w:rsidRPr="00C411BD" w:rsidRDefault="00E85210" w:rsidP="00E85210">
            <w:r w:rsidRPr="00C411BD">
              <w:t>Borazjan -KazerunII</w:t>
            </w:r>
          </w:p>
        </w:tc>
        <w:tc>
          <w:tcPr>
            <w:tcW w:w="1134" w:type="dxa"/>
            <w:tcBorders>
              <w:bottom w:val="single" w:sz="4" w:space="0" w:color="auto"/>
              <w:right w:val="nil"/>
            </w:tcBorders>
          </w:tcPr>
          <w:p w:rsidR="00E85210" w:rsidRPr="00C411BD" w:rsidRDefault="00E85210" w:rsidP="00E85210">
            <w:pPr>
              <w:jc w:val="center"/>
            </w:pPr>
            <w:r w:rsidRPr="00C411BD">
              <w:t>0.27</w:t>
            </w:r>
          </w:p>
        </w:tc>
        <w:tc>
          <w:tcPr>
            <w:tcW w:w="1134"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0.14</w:t>
            </w:r>
          </w:p>
        </w:tc>
        <w:tc>
          <w:tcPr>
            <w:tcW w:w="1244" w:type="dxa"/>
            <w:tcBorders>
              <w:top w:val="single" w:sz="4" w:space="0" w:color="auto"/>
              <w:left w:val="nil"/>
              <w:bottom w:val="single" w:sz="4" w:space="0" w:color="auto"/>
              <w:right w:val="nil"/>
            </w:tcBorders>
          </w:tcPr>
          <w:p w:rsidR="00E85210" w:rsidRPr="00C411BD" w:rsidRDefault="00E85210" w:rsidP="00E85210">
            <w:pPr>
              <w:jc w:val="center"/>
            </w:pPr>
            <w:r w:rsidRPr="00C411BD">
              <w:t>18.2</w:t>
            </w:r>
          </w:p>
        </w:tc>
        <w:tc>
          <w:tcPr>
            <w:tcW w:w="1591"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0.32; 0.12</w:t>
            </w:r>
          </w:p>
        </w:tc>
        <w:tc>
          <w:tcPr>
            <w:tcW w:w="1407" w:type="dxa"/>
            <w:tcBorders>
              <w:top w:val="single" w:sz="4" w:space="0" w:color="auto"/>
              <w:left w:val="nil"/>
              <w:bottom w:val="single" w:sz="4" w:space="0" w:color="auto"/>
              <w:right w:val="single" w:sz="4" w:space="0" w:color="auto"/>
            </w:tcBorders>
          </w:tcPr>
          <w:p w:rsidR="00E85210" w:rsidRPr="00C411BD" w:rsidRDefault="00E85210" w:rsidP="00E85210">
            <w:pPr>
              <w:jc w:val="center"/>
            </w:pPr>
            <w:r w:rsidRPr="00C411BD">
              <w:t>0.78</w:t>
            </w:r>
          </w:p>
        </w:tc>
      </w:tr>
      <w:tr w:rsidR="00E85210" w:rsidRPr="00C411BD" w:rsidTr="00E85210">
        <w:trPr>
          <w:cantSplit/>
          <w:trHeight w:val="227"/>
        </w:trPr>
        <w:tc>
          <w:tcPr>
            <w:tcW w:w="2410" w:type="dxa"/>
            <w:tcBorders>
              <w:top w:val="nil"/>
              <w:left w:val="single" w:sz="4" w:space="0" w:color="auto"/>
              <w:bottom w:val="single" w:sz="4" w:space="0" w:color="auto"/>
              <w:right w:val="single" w:sz="4" w:space="0" w:color="auto"/>
            </w:tcBorders>
          </w:tcPr>
          <w:p w:rsidR="00E85210" w:rsidRPr="00C411BD" w:rsidRDefault="00E85210" w:rsidP="00E85210">
            <w:r w:rsidRPr="00C411BD">
              <w:t xml:space="preserve">Diffused </w:t>
            </w:r>
            <w:r>
              <w:t>seismicity</w:t>
            </w:r>
          </w:p>
        </w:tc>
        <w:tc>
          <w:tcPr>
            <w:tcW w:w="1134" w:type="dxa"/>
            <w:tcBorders>
              <w:bottom w:val="single" w:sz="4" w:space="0" w:color="auto"/>
              <w:right w:val="nil"/>
            </w:tcBorders>
          </w:tcPr>
          <w:p w:rsidR="00E85210" w:rsidRPr="00C411BD" w:rsidRDefault="00E85210" w:rsidP="00E85210">
            <w:pPr>
              <w:jc w:val="center"/>
            </w:pPr>
            <w:r w:rsidRPr="00C411BD">
              <w:t>0.36</w:t>
            </w:r>
          </w:p>
        </w:tc>
        <w:tc>
          <w:tcPr>
            <w:tcW w:w="1134" w:type="dxa"/>
            <w:tcBorders>
              <w:top w:val="nil"/>
              <w:left w:val="single" w:sz="4" w:space="0" w:color="auto"/>
              <w:bottom w:val="single" w:sz="4" w:space="0" w:color="auto"/>
              <w:right w:val="single" w:sz="4" w:space="0" w:color="auto"/>
            </w:tcBorders>
          </w:tcPr>
          <w:p w:rsidR="00E85210" w:rsidRPr="00C411BD" w:rsidRDefault="00E85210" w:rsidP="00E85210">
            <w:pPr>
              <w:jc w:val="center"/>
            </w:pPr>
            <w:r w:rsidRPr="00C411BD">
              <w:t>0.21</w:t>
            </w:r>
          </w:p>
        </w:tc>
        <w:tc>
          <w:tcPr>
            <w:tcW w:w="1244" w:type="dxa"/>
            <w:tcBorders>
              <w:top w:val="nil"/>
              <w:left w:val="nil"/>
              <w:bottom w:val="single" w:sz="4" w:space="0" w:color="auto"/>
              <w:right w:val="nil"/>
            </w:tcBorders>
          </w:tcPr>
          <w:p w:rsidR="00E85210" w:rsidRPr="00C411BD" w:rsidRDefault="00E85210" w:rsidP="00E85210">
            <w:pPr>
              <w:jc w:val="center"/>
            </w:pPr>
            <w:r w:rsidRPr="00C411BD">
              <w:t>2.3</w:t>
            </w:r>
          </w:p>
        </w:tc>
        <w:tc>
          <w:tcPr>
            <w:tcW w:w="1591" w:type="dxa"/>
            <w:tcBorders>
              <w:top w:val="nil"/>
              <w:left w:val="single" w:sz="4" w:space="0" w:color="auto"/>
              <w:bottom w:val="single" w:sz="4" w:space="0" w:color="auto"/>
              <w:right w:val="single" w:sz="4" w:space="0" w:color="auto"/>
            </w:tcBorders>
          </w:tcPr>
          <w:p w:rsidR="00E85210" w:rsidRPr="00C411BD" w:rsidRDefault="00E85210" w:rsidP="00E85210">
            <w:pPr>
              <w:jc w:val="center"/>
            </w:pPr>
            <w:r w:rsidRPr="00C411BD">
              <w:t>0.13; 0.12</w:t>
            </w:r>
          </w:p>
        </w:tc>
        <w:tc>
          <w:tcPr>
            <w:tcW w:w="1407" w:type="dxa"/>
            <w:tcBorders>
              <w:top w:val="nil"/>
              <w:left w:val="nil"/>
              <w:bottom w:val="single" w:sz="4" w:space="0" w:color="auto"/>
              <w:right w:val="single" w:sz="4" w:space="0" w:color="auto"/>
            </w:tcBorders>
          </w:tcPr>
          <w:p w:rsidR="00E85210" w:rsidRPr="00C411BD" w:rsidRDefault="00E85210" w:rsidP="00E85210">
            <w:pPr>
              <w:jc w:val="center"/>
            </w:pPr>
            <w:r w:rsidRPr="00C411BD">
              <w:t>0.78</w:t>
            </w:r>
          </w:p>
        </w:tc>
      </w:tr>
    </w:tbl>
    <w:p w:rsidR="008C72C2" w:rsidRDefault="008C72C2" w:rsidP="000C7F88">
      <w:pPr>
        <w:pStyle w:val="Odstavecseseznamem"/>
        <w:spacing w:before="240"/>
      </w:pPr>
    </w:p>
    <w:p w:rsidR="00E85210" w:rsidRDefault="00E85210" w:rsidP="00E85210">
      <w:pPr>
        <w:pStyle w:val="Titulek"/>
      </w:pPr>
    </w:p>
    <w:p w:rsidR="00E85210" w:rsidRDefault="00E85210" w:rsidP="00E85210">
      <w:pPr>
        <w:pStyle w:val="Titulek"/>
      </w:pPr>
      <w:bookmarkStart w:id="9" w:name="_Ref535058647"/>
      <w:r>
        <w:t xml:space="preserve">Table </w:t>
      </w:r>
      <w:r w:rsidR="00F228D4">
        <w:rPr>
          <w:noProof/>
        </w:rPr>
        <w:fldChar w:fldCharType="begin"/>
      </w:r>
      <w:r w:rsidR="00F228D4">
        <w:rPr>
          <w:noProof/>
        </w:rPr>
        <w:instrText xml:space="preserve"> SEQ Table \* ARABIC </w:instrText>
      </w:r>
      <w:r w:rsidR="00F228D4">
        <w:rPr>
          <w:noProof/>
        </w:rPr>
        <w:fldChar w:fldCharType="separate"/>
      </w:r>
      <w:r>
        <w:rPr>
          <w:noProof/>
        </w:rPr>
        <w:t>3</w:t>
      </w:r>
      <w:r w:rsidR="00F228D4">
        <w:rPr>
          <w:noProof/>
        </w:rPr>
        <w:fldChar w:fldCharType="end"/>
      </w:r>
      <w:bookmarkEnd w:id="9"/>
      <w:r>
        <w:t xml:space="preserve">: </w:t>
      </w:r>
      <w:r w:rsidRPr="00C411BD">
        <w:t xml:space="preserve">Expected parameters of strong ground movements for </w:t>
      </w:r>
      <w:r>
        <w:t>DBE.</w:t>
      </w: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134"/>
        <w:gridCol w:w="1134"/>
        <w:gridCol w:w="1244"/>
        <w:gridCol w:w="1591"/>
        <w:gridCol w:w="1407"/>
      </w:tblGrid>
      <w:tr w:rsidR="00E85210" w:rsidRPr="00401BB7" w:rsidTr="00E85210">
        <w:trPr>
          <w:cantSplit/>
          <w:trHeight w:val="300"/>
        </w:trPr>
        <w:tc>
          <w:tcPr>
            <w:tcW w:w="2410" w:type="dxa"/>
            <w:vMerge w:val="restart"/>
            <w:tcBorders>
              <w:top w:val="single" w:sz="4" w:space="0" w:color="auto"/>
              <w:left w:val="single" w:sz="4" w:space="0" w:color="auto"/>
              <w:right w:val="single" w:sz="4" w:space="0" w:color="auto"/>
            </w:tcBorders>
            <w:shd w:val="clear" w:color="auto" w:fill="D9D9D9" w:themeFill="background1" w:themeFillShade="D9"/>
          </w:tcPr>
          <w:p w:rsidR="00E85210" w:rsidRPr="00C411BD" w:rsidRDefault="00E85210" w:rsidP="00E85210">
            <w:pPr>
              <w:jc w:val="center"/>
            </w:pPr>
            <w:r>
              <w:t xml:space="preserve">Zone </w:t>
            </w:r>
            <w:r w:rsidRPr="00C411BD">
              <w:t>PSC</w:t>
            </w:r>
          </w:p>
        </w:tc>
        <w:tc>
          <w:tcPr>
            <w:tcW w:w="2268" w:type="dxa"/>
            <w:gridSpan w:val="2"/>
            <w:tcBorders>
              <w:top w:val="single" w:sz="4" w:space="0" w:color="auto"/>
              <w:right w:val="single" w:sz="4" w:space="0" w:color="auto"/>
            </w:tcBorders>
            <w:shd w:val="clear" w:color="auto" w:fill="D9D9D9" w:themeFill="background1" w:themeFillShade="D9"/>
          </w:tcPr>
          <w:p w:rsidR="00E85210" w:rsidRPr="00C411BD" w:rsidRDefault="00E85210" w:rsidP="00E85210">
            <w:pPr>
              <w:jc w:val="center"/>
            </w:pPr>
            <w:r w:rsidRPr="00C411BD">
              <w:t>Peak Acceleration</w:t>
            </w:r>
          </w:p>
        </w:tc>
        <w:tc>
          <w:tcPr>
            <w:tcW w:w="1244" w:type="dxa"/>
            <w:vMerge w:val="restart"/>
            <w:tcBorders>
              <w:top w:val="single" w:sz="4" w:space="0" w:color="auto"/>
              <w:left w:val="nil"/>
              <w:right w:val="nil"/>
            </w:tcBorders>
            <w:shd w:val="clear" w:color="auto" w:fill="D9D9D9" w:themeFill="background1" w:themeFillShade="D9"/>
          </w:tcPr>
          <w:p w:rsidR="00E85210" w:rsidRPr="00C411BD" w:rsidRDefault="00E85210" w:rsidP="00E85210">
            <w:pPr>
              <w:jc w:val="center"/>
              <w:rPr>
                <w:iCs/>
              </w:rPr>
            </w:pPr>
            <w:r w:rsidRPr="00C411BD">
              <w:rPr>
                <w:iCs/>
              </w:rPr>
              <w:t xml:space="preserve">Duration </w:t>
            </w:r>
            <w:r w:rsidRPr="00C411BD">
              <w:rPr>
                <w:i/>
                <w:iCs/>
              </w:rPr>
              <w:t>d</w:t>
            </w:r>
            <w:r w:rsidRPr="00C411BD">
              <w:t>+</w:t>
            </w:r>
            <w:r w:rsidRPr="00C411BD">
              <w:rPr>
                <w:i/>
                <w:iCs/>
              </w:rPr>
              <w:sym w:font="Symbol" w:char="F073"/>
            </w:r>
            <w:r w:rsidRPr="00C411BD">
              <w:t>, sec</w:t>
            </w:r>
          </w:p>
        </w:tc>
        <w:tc>
          <w:tcPr>
            <w:tcW w:w="1591" w:type="dxa"/>
            <w:vMerge w:val="restart"/>
            <w:tcBorders>
              <w:top w:val="single" w:sz="4" w:space="0" w:color="auto"/>
              <w:left w:val="single" w:sz="4" w:space="0" w:color="auto"/>
              <w:right w:val="single" w:sz="4" w:space="0" w:color="auto"/>
            </w:tcBorders>
            <w:shd w:val="clear" w:color="auto" w:fill="D9D9D9" w:themeFill="background1" w:themeFillShade="D9"/>
          </w:tcPr>
          <w:p w:rsidR="00E85210" w:rsidRPr="00C411BD" w:rsidRDefault="00E85210" w:rsidP="00E85210">
            <w:pPr>
              <w:jc w:val="center"/>
              <w:rPr>
                <w:iCs/>
              </w:rPr>
            </w:pPr>
            <w:r w:rsidRPr="00C411BD">
              <w:rPr>
                <w:iCs/>
              </w:rPr>
              <w:t xml:space="preserve">Zero period </w:t>
            </w:r>
            <w:r w:rsidRPr="00C411BD">
              <w:rPr>
                <w:i/>
                <w:iCs/>
              </w:rPr>
              <w:t>T</w:t>
            </w:r>
            <w:r w:rsidRPr="00C411BD">
              <w:rPr>
                <w:i/>
                <w:iCs/>
                <w:vertAlign w:val="subscript"/>
              </w:rPr>
              <w:t>0</w:t>
            </w:r>
            <w:r w:rsidRPr="00C411BD">
              <w:t xml:space="preserve">, sec; </w:t>
            </w:r>
            <w:r w:rsidRPr="00C411BD">
              <w:sym w:font="Symbol" w:char="F073"/>
            </w:r>
            <w:r w:rsidRPr="00C411BD">
              <w:t>, un.log.</w:t>
            </w:r>
          </w:p>
        </w:tc>
        <w:tc>
          <w:tcPr>
            <w:tcW w:w="1407" w:type="dxa"/>
            <w:vMerge w:val="restart"/>
            <w:tcBorders>
              <w:top w:val="single" w:sz="4" w:space="0" w:color="auto"/>
              <w:left w:val="nil"/>
              <w:right w:val="single" w:sz="4" w:space="0" w:color="auto"/>
            </w:tcBorders>
            <w:shd w:val="clear" w:color="auto" w:fill="D9D9D9" w:themeFill="background1" w:themeFillShade="D9"/>
          </w:tcPr>
          <w:p w:rsidR="00E85210" w:rsidRPr="00C411BD" w:rsidRDefault="00E85210" w:rsidP="00E85210">
            <w:pPr>
              <w:jc w:val="center"/>
              <w:rPr>
                <w:iCs/>
              </w:rPr>
            </w:pPr>
            <w:r w:rsidRPr="00C411BD">
              <w:rPr>
                <w:iCs/>
              </w:rPr>
              <w:t xml:space="preserve">spectrum width </w:t>
            </w:r>
            <w:r w:rsidRPr="00C411BD">
              <w:rPr>
                <w:i/>
                <w:iCs/>
              </w:rPr>
              <w:t>S</w:t>
            </w:r>
            <w:r w:rsidRPr="00C411BD">
              <w:t>+</w:t>
            </w:r>
            <w:r w:rsidRPr="00C411BD">
              <w:rPr>
                <w:i/>
                <w:iCs/>
              </w:rPr>
              <w:sym w:font="Symbol" w:char="F073"/>
            </w:r>
            <w:r w:rsidRPr="00C411BD">
              <w:t>, un.log.</w:t>
            </w:r>
          </w:p>
        </w:tc>
      </w:tr>
      <w:tr w:rsidR="00E85210" w:rsidRPr="00C411BD" w:rsidTr="00E85210">
        <w:trPr>
          <w:cantSplit/>
          <w:trHeight w:val="300"/>
        </w:trPr>
        <w:tc>
          <w:tcPr>
            <w:tcW w:w="2410" w:type="dxa"/>
            <w:vMerge/>
            <w:tcBorders>
              <w:left w:val="single" w:sz="4" w:space="0" w:color="auto"/>
              <w:bottom w:val="nil"/>
              <w:right w:val="single" w:sz="4" w:space="0" w:color="auto"/>
            </w:tcBorders>
          </w:tcPr>
          <w:p w:rsidR="00E85210" w:rsidRPr="00C411BD" w:rsidRDefault="00E85210" w:rsidP="00E85210"/>
        </w:tc>
        <w:tc>
          <w:tcPr>
            <w:tcW w:w="1134" w:type="dxa"/>
            <w:tcBorders>
              <w:top w:val="single" w:sz="4" w:space="0" w:color="auto"/>
              <w:right w:val="nil"/>
            </w:tcBorders>
            <w:shd w:val="clear" w:color="auto" w:fill="D9D9D9" w:themeFill="background1" w:themeFillShade="D9"/>
          </w:tcPr>
          <w:p w:rsidR="00E85210" w:rsidRPr="00C411BD" w:rsidRDefault="00E85210" w:rsidP="00E85210">
            <w:pPr>
              <w:jc w:val="center"/>
            </w:pPr>
            <w:r w:rsidRPr="00C411BD">
              <w:t xml:space="preserve">PGHA, </w:t>
            </w:r>
            <w:r w:rsidRPr="00C411BD">
              <w:rPr>
                <w:i/>
                <w:iCs/>
              </w:rPr>
              <w:t>g</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tcPr>
          <w:p w:rsidR="00E85210" w:rsidRPr="00C411BD" w:rsidRDefault="00E85210" w:rsidP="00E85210">
            <w:pPr>
              <w:jc w:val="center"/>
            </w:pPr>
            <w:r w:rsidRPr="00C411BD">
              <w:t xml:space="preserve">PGVA, </w:t>
            </w:r>
            <w:r w:rsidRPr="00C411BD">
              <w:rPr>
                <w:i/>
                <w:iCs/>
              </w:rPr>
              <w:t>g</w:t>
            </w:r>
          </w:p>
        </w:tc>
        <w:tc>
          <w:tcPr>
            <w:tcW w:w="1244" w:type="dxa"/>
            <w:vMerge/>
            <w:tcBorders>
              <w:left w:val="nil"/>
              <w:bottom w:val="nil"/>
              <w:right w:val="nil"/>
            </w:tcBorders>
          </w:tcPr>
          <w:p w:rsidR="00E85210" w:rsidRPr="00C411BD" w:rsidRDefault="00E85210" w:rsidP="00E85210">
            <w:pPr>
              <w:jc w:val="center"/>
            </w:pPr>
          </w:p>
        </w:tc>
        <w:tc>
          <w:tcPr>
            <w:tcW w:w="1591" w:type="dxa"/>
            <w:vMerge/>
            <w:tcBorders>
              <w:left w:val="single" w:sz="4" w:space="0" w:color="auto"/>
              <w:bottom w:val="nil"/>
              <w:right w:val="single" w:sz="4" w:space="0" w:color="auto"/>
            </w:tcBorders>
          </w:tcPr>
          <w:p w:rsidR="00E85210" w:rsidRPr="00C411BD" w:rsidRDefault="00E85210" w:rsidP="00E85210">
            <w:pPr>
              <w:jc w:val="center"/>
            </w:pPr>
          </w:p>
        </w:tc>
        <w:tc>
          <w:tcPr>
            <w:tcW w:w="1407" w:type="dxa"/>
            <w:vMerge/>
            <w:tcBorders>
              <w:left w:val="nil"/>
              <w:bottom w:val="nil"/>
              <w:right w:val="single" w:sz="4" w:space="0" w:color="auto"/>
            </w:tcBorders>
          </w:tcPr>
          <w:p w:rsidR="00E85210" w:rsidRPr="00C411BD" w:rsidRDefault="00E85210" w:rsidP="00E85210">
            <w:pPr>
              <w:jc w:val="center"/>
            </w:pPr>
          </w:p>
        </w:tc>
      </w:tr>
      <w:tr w:rsidR="00E85210" w:rsidRPr="00C411BD" w:rsidTr="00246B77">
        <w:trPr>
          <w:cantSplit/>
          <w:trHeight w:val="300"/>
        </w:trPr>
        <w:tc>
          <w:tcPr>
            <w:tcW w:w="2410" w:type="dxa"/>
            <w:tcBorders>
              <w:top w:val="single" w:sz="4" w:space="0" w:color="auto"/>
              <w:left w:val="single" w:sz="4" w:space="0" w:color="auto"/>
              <w:bottom w:val="single" w:sz="4" w:space="0" w:color="auto"/>
              <w:right w:val="single" w:sz="4" w:space="0" w:color="auto"/>
            </w:tcBorders>
          </w:tcPr>
          <w:p w:rsidR="00E85210" w:rsidRPr="00C411BD" w:rsidRDefault="00E85210" w:rsidP="00E85210">
            <w:r w:rsidRPr="00C411BD">
              <w:t xml:space="preserve">Delvar-Ahram  and diffused </w:t>
            </w:r>
            <w:r>
              <w:t>seismicit</w:t>
            </w:r>
            <w:r w:rsidRPr="00C411BD">
              <w:t>y</w:t>
            </w:r>
          </w:p>
        </w:tc>
        <w:tc>
          <w:tcPr>
            <w:tcW w:w="1134" w:type="dxa"/>
            <w:tcBorders>
              <w:top w:val="single" w:sz="4" w:space="0" w:color="auto"/>
              <w:bottom w:val="single" w:sz="4" w:space="0" w:color="auto"/>
              <w:right w:val="nil"/>
            </w:tcBorders>
          </w:tcPr>
          <w:p w:rsidR="00E85210" w:rsidRPr="00C411BD" w:rsidRDefault="00E85210" w:rsidP="00E85210">
            <w:pPr>
              <w:jc w:val="center"/>
            </w:pPr>
            <w:r w:rsidRPr="00C411BD">
              <w:t>0.20</w:t>
            </w:r>
          </w:p>
        </w:tc>
        <w:tc>
          <w:tcPr>
            <w:tcW w:w="1134"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0.10</w:t>
            </w:r>
          </w:p>
        </w:tc>
        <w:tc>
          <w:tcPr>
            <w:tcW w:w="1244" w:type="dxa"/>
            <w:tcBorders>
              <w:top w:val="single" w:sz="4" w:space="0" w:color="auto"/>
              <w:left w:val="nil"/>
              <w:bottom w:val="single" w:sz="4" w:space="0" w:color="auto"/>
              <w:right w:val="nil"/>
            </w:tcBorders>
          </w:tcPr>
          <w:p w:rsidR="00E85210" w:rsidRPr="00C411BD" w:rsidRDefault="00E85210" w:rsidP="00E85210">
            <w:pPr>
              <w:jc w:val="center"/>
            </w:pPr>
            <w:r w:rsidRPr="00C411BD">
              <w:t>2.1</w:t>
            </w:r>
          </w:p>
        </w:tc>
        <w:tc>
          <w:tcPr>
            <w:tcW w:w="1591" w:type="dxa"/>
            <w:tcBorders>
              <w:top w:val="single" w:sz="4" w:space="0" w:color="auto"/>
              <w:left w:val="single" w:sz="4" w:space="0" w:color="auto"/>
              <w:bottom w:val="single" w:sz="4" w:space="0" w:color="auto"/>
              <w:right w:val="single" w:sz="4" w:space="0" w:color="auto"/>
            </w:tcBorders>
          </w:tcPr>
          <w:p w:rsidR="00E85210" w:rsidRPr="00C411BD" w:rsidRDefault="00E85210" w:rsidP="00E85210">
            <w:pPr>
              <w:jc w:val="center"/>
            </w:pPr>
            <w:r w:rsidRPr="00C411BD">
              <w:t>0.12; 0.12</w:t>
            </w:r>
          </w:p>
        </w:tc>
        <w:tc>
          <w:tcPr>
            <w:tcW w:w="1407" w:type="dxa"/>
            <w:tcBorders>
              <w:top w:val="single" w:sz="4" w:space="0" w:color="auto"/>
              <w:left w:val="nil"/>
              <w:bottom w:val="single" w:sz="4" w:space="0" w:color="auto"/>
              <w:right w:val="single" w:sz="4" w:space="0" w:color="auto"/>
            </w:tcBorders>
          </w:tcPr>
          <w:p w:rsidR="00E85210" w:rsidRPr="00C411BD" w:rsidRDefault="00E85210" w:rsidP="00E85210">
            <w:pPr>
              <w:jc w:val="center"/>
            </w:pPr>
            <w:r w:rsidRPr="00C411BD">
              <w:t>0.78</w:t>
            </w:r>
          </w:p>
        </w:tc>
      </w:tr>
    </w:tbl>
    <w:p w:rsidR="00E85210" w:rsidRDefault="00E85210" w:rsidP="00A5448D"/>
    <w:p w:rsidR="00A5448D" w:rsidRDefault="00CE54C7" w:rsidP="00A5448D">
      <w:pPr>
        <w:pStyle w:val="Nadpis4"/>
      </w:pPr>
      <w:r>
        <w:t>Methodology used to evaluate the design basis earthquake</w:t>
      </w:r>
    </w:p>
    <w:p w:rsidR="00A5448D" w:rsidRDefault="00AA7924" w:rsidP="000C7F88">
      <w:pPr>
        <w:pStyle w:val="Odstavecseseznamem"/>
        <w:spacing w:before="240"/>
      </w:pPr>
      <w:r w:rsidRPr="00AA7924">
        <w:t xml:space="preserve">This section discusses the procedures, the methods used to evaluate DBE and the results of this </w:t>
      </w:r>
      <w:r>
        <w:t>evaluation</w:t>
      </w:r>
      <w:r w:rsidRPr="003E273A">
        <w:t xml:space="preserve"> from the point of view of current requirements</w:t>
      </w:r>
      <w:r>
        <w:t xml:space="preserve"> and state-of-art approaches. </w:t>
      </w:r>
      <w:r w:rsidRPr="00AA7924">
        <w:t>Gradually all the steps of seismic hazard analysis</w:t>
      </w:r>
      <w:r>
        <w:t>,</w:t>
      </w:r>
      <w:r w:rsidRPr="00AA7924">
        <w:t xml:space="preserve"> as specified in the assignment, are discussed.</w:t>
      </w:r>
    </w:p>
    <w:p w:rsidR="00AA7924" w:rsidRDefault="009C34EA" w:rsidP="00AA7924">
      <w:pPr>
        <w:pStyle w:val="Nadpis-tun"/>
      </w:pPr>
      <w:r>
        <w:t>S</w:t>
      </w:r>
      <w:r w:rsidR="00A030FC">
        <w:t>ite geology</w:t>
      </w:r>
      <w:r w:rsidR="00FB2C9D">
        <w:t xml:space="preserve"> and tectonics</w:t>
      </w:r>
    </w:p>
    <w:p w:rsidR="008C72C2" w:rsidRDefault="001741E3" w:rsidP="000A64BF">
      <w:pPr>
        <w:pStyle w:val="Odstavecseseznamem"/>
      </w:pPr>
      <w:r w:rsidRPr="001741E3">
        <w:t>The description of the geology of the NPP and Bushehr site has been made in sufficient detail and addresses all significant geological and tectonic phenomena</w:t>
      </w:r>
      <w:r>
        <w:t xml:space="preserve"> (See </w:t>
      </w:r>
      <w:r w:rsidRPr="00142D17">
        <w:t>Report 49.BU.1 0.0.ОО.FSAR.RDR001</w:t>
      </w:r>
      <w:r>
        <w:t>,</w:t>
      </w:r>
      <w:r w:rsidRPr="00142D17">
        <w:t xml:space="preserve"> Chapter 2.5</w:t>
      </w:r>
      <w:r>
        <w:t>.1</w:t>
      </w:r>
      <w:r w:rsidRPr="00142D17">
        <w:t>).</w:t>
      </w:r>
      <w:r>
        <w:t xml:space="preserve"> </w:t>
      </w:r>
      <w:r w:rsidR="001851D0">
        <w:t xml:space="preserve">Evaluation of the </w:t>
      </w:r>
      <w:r w:rsidRPr="001741E3">
        <w:t>site</w:t>
      </w:r>
      <w:r w:rsidR="001851D0">
        <w:t xml:space="preserve"> vicinity</w:t>
      </w:r>
      <w:r w:rsidRPr="001741E3">
        <w:t xml:space="preserve"> is based on the division of </w:t>
      </w:r>
      <w:r w:rsidR="001851D0">
        <w:t>this area</w:t>
      </w:r>
      <w:r w:rsidRPr="001741E3">
        <w:t xml:space="preserve"> into surface morphogenetic units</w:t>
      </w:r>
      <w:r w:rsidR="001851D0" w:rsidRPr="001851D0">
        <w:rPr>
          <w:rFonts w:ascii="Arial" w:hAnsi="Arial" w:cs="Arial"/>
          <w:sz w:val="27"/>
          <w:szCs w:val="27"/>
        </w:rPr>
        <w:t xml:space="preserve"> </w:t>
      </w:r>
      <w:r w:rsidR="001851D0" w:rsidRPr="001851D0">
        <w:t>for which the following parameters were determined</w:t>
      </w:r>
      <w:r w:rsidR="001851D0">
        <w:t>:  characteristic of underlying soils, groundwater level depth, evolution of the recent physical and geological processes; a</w:t>
      </w:r>
      <w:r w:rsidR="001851D0" w:rsidRPr="001851D0">
        <w:t>nd also the active tectonic features were mapped</w:t>
      </w:r>
      <w:r w:rsidR="001851D0">
        <w:t>.</w:t>
      </w:r>
      <w:r w:rsidR="005414D2">
        <w:t xml:space="preserve"> Site vicinity faults</w:t>
      </w:r>
      <w:r w:rsidR="005414D2" w:rsidRPr="005414D2">
        <w:t xml:space="preserve"> were searched using seismic profiling</w:t>
      </w:r>
      <w:r w:rsidR="005414D2">
        <w:t xml:space="preserve">, as shown, e.g. in </w:t>
      </w:r>
      <w:bookmarkStart w:id="10" w:name="_Toc304303328"/>
      <w:bookmarkStart w:id="11" w:name="_Toc304447995"/>
      <w:r w:rsidR="005414D2">
        <w:t xml:space="preserve">the Section </w:t>
      </w:r>
      <w:r w:rsidR="005414D2" w:rsidRPr="009F5DE5">
        <w:t>2.5.1.1.4 Geophysical Study Results</w:t>
      </w:r>
      <w:bookmarkEnd w:id="10"/>
      <w:bookmarkEnd w:id="11"/>
      <w:r w:rsidR="005414D2">
        <w:t>.</w:t>
      </w:r>
    </w:p>
    <w:p w:rsidR="008C72C2" w:rsidRDefault="00FB2C9D" w:rsidP="000A64BF">
      <w:pPr>
        <w:pStyle w:val="Odstavecseseznamem"/>
      </w:pPr>
      <w:r w:rsidRPr="00FB2C9D">
        <w:t>The geology and tectonics were evaluated in accordance with the IAEA NS-G-3.3 standard that was in force at that time. Also, the recommended field survey methods were used and</w:t>
      </w:r>
      <w:r w:rsidR="000A64BF">
        <w:t xml:space="preserve"> near regional faults were</w:t>
      </w:r>
      <w:r w:rsidRPr="00FB2C9D">
        <w:t xml:space="preserve"> identified</w:t>
      </w:r>
      <w:r w:rsidR="000A64BF">
        <w:t>.</w:t>
      </w:r>
    </w:p>
    <w:p w:rsidR="008C72C2" w:rsidRDefault="000A64BF" w:rsidP="000A64BF">
      <w:pPr>
        <w:pStyle w:val="Odstavecseseznamem"/>
      </w:pPr>
      <w:r w:rsidRPr="000A64BF">
        <w:t>The results of the geological investigation are recorded in the FSAR</w:t>
      </w:r>
      <w:r>
        <w:t>.</w:t>
      </w:r>
      <w:r w:rsidRPr="000A64BF">
        <w:t xml:space="preserve"> </w:t>
      </w:r>
      <w:r>
        <w:t>H</w:t>
      </w:r>
      <w:r w:rsidRPr="000A64BF">
        <w:t xml:space="preserve">owever, </w:t>
      </w:r>
      <w:r>
        <w:t xml:space="preserve">there </w:t>
      </w:r>
      <w:r w:rsidRPr="000A64BF">
        <w:t>can be found some weaknesses</w:t>
      </w:r>
      <w:r>
        <w:t xml:space="preserve">, </w:t>
      </w:r>
      <w:r w:rsidRPr="000A64BF">
        <w:t xml:space="preserve">especially in the details of the description and documentation of the </w:t>
      </w:r>
      <w:r>
        <w:t>evidenc</w:t>
      </w:r>
      <w:r w:rsidRPr="000A64BF">
        <w:t>es.</w:t>
      </w:r>
      <w:r>
        <w:t xml:space="preserve"> </w:t>
      </w:r>
      <w:r w:rsidR="007155CA" w:rsidRPr="007155CA">
        <w:t xml:space="preserve">Missing particularly </w:t>
      </w:r>
      <w:r w:rsidR="007155CA">
        <w:t>comprehensive</w:t>
      </w:r>
      <w:r w:rsidR="007155CA" w:rsidRPr="007155CA">
        <w:t xml:space="preserve"> table </w:t>
      </w:r>
      <w:r w:rsidR="007155CA">
        <w:t>of faults</w:t>
      </w:r>
      <w:r w:rsidR="007155CA" w:rsidRPr="007155CA">
        <w:t xml:space="preserve"> </w:t>
      </w:r>
      <w:r w:rsidR="007155CA">
        <w:t>where</w:t>
      </w:r>
      <w:r w:rsidR="007155CA" w:rsidRPr="007155CA">
        <w:t xml:space="preserve"> the identified faults </w:t>
      </w:r>
      <w:r w:rsidR="007155CA">
        <w:t>would be</w:t>
      </w:r>
      <w:r w:rsidR="007155CA" w:rsidRPr="007155CA">
        <w:t xml:space="preserve"> described in terms of their parameters</w:t>
      </w:r>
      <w:r w:rsidR="001B10B6">
        <w:t xml:space="preserve"> (age, length, dip, slip rate, type of faulting, etc.)</w:t>
      </w:r>
      <w:r w:rsidR="007155CA" w:rsidRPr="007155CA">
        <w:t xml:space="preserve"> and estimat</w:t>
      </w:r>
      <w:r w:rsidR="00016820">
        <w:t>ion of</w:t>
      </w:r>
      <w:r w:rsidR="007155CA" w:rsidRPr="007155CA">
        <w:t xml:space="preserve"> the age of the </w:t>
      </w:r>
      <w:r w:rsidR="007155CA">
        <w:t>last movements.</w:t>
      </w:r>
    </w:p>
    <w:p w:rsidR="007155CA" w:rsidRDefault="003A0475" w:rsidP="003A0475">
      <w:pPr>
        <w:pStyle w:val="Odstavecseseznamem"/>
      </w:pPr>
      <w:r w:rsidRPr="003A0475">
        <w:t>It is also necessary to take into account that the requirements for investigating faults in the vicinity of nuclear facilities</w:t>
      </w:r>
      <w:r>
        <w:t xml:space="preserve"> </w:t>
      </w:r>
      <w:r w:rsidRPr="003A0475">
        <w:t>have increased in the last decade.</w:t>
      </w:r>
      <w:r>
        <w:t xml:space="preserve"> </w:t>
      </w:r>
      <w:r w:rsidRPr="003A0475">
        <w:t>Similarly, research methods have improved a lot</w:t>
      </w:r>
      <w:r w:rsidR="00B17CE7">
        <w:t>.</w:t>
      </w:r>
    </w:p>
    <w:p w:rsidR="00CB654C" w:rsidRPr="000D6788" w:rsidRDefault="00CB654C" w:rsidP="00CB654C">
      <w:pPr>
        <w:pStyle w:val="Odstavecseseznamem"/>
        <w:rPr>
          <w:color w:val="000000"/>
          <w:shd w:val="clear" w:color="auto" w:fill="FFFFFF"/>
        </w:rPr>
      </w:pPr>
      <w:r w:rsidRPr="00FA3E53">
        <w:rPr>
          <w:color w:val="000000"/>
          <w:shd w:val="clear" w:color="auto" w:fill="FFFFFF"/>
        </w:rPr>
        <w:t xml:space="preserve">According to current practice, if a </w:t>
      </w:r>
      <w:r>
        <w:rPr>
          <w:color w:val="000000"/>
          <w:shd w:val="clear" w:color="auto" w:fill="FFFFFF"/>
        </w:rPr>
        <w:t xml:space="preserve">capable </w:t>
      </w:r>
      <w:r w:rsidRPr="00FA3E53">
        <w:rPr>
          <w:color w:val="000000"/>
          <w:shd w:val="clear" w:color="auto" w:fill="FFFFFF"/>
        </w:rPr>
        <w:t>fault is detected in the site vicinity</w:t>
      </w:r>
      <w:r w:rsidRPr="00942744">
        <w:rPr>
          <w:color w:val="000000"/>
          <w:shd w:val="clear" w:color="auto" w:fill="FFFFFF"/>
        </w:rPr>
        <w:t xml:space="preserve"> </w:t>
      </w:r>
      <w:r>
        <w:rPr>
          <w:color w:val="000000"/>
          <w:shd w:val="clear" w:color="auto" w:fill="FFFFFF"/>
        </w:rPr>
        <w:t xml:space="preserve">of the NPP candidate site, IAEA recommends the consideration of an alternative site. </w:t>
      </w:r>
      <w:r w:rsidRPr="00942744">
        <w:rPr>
          <w:color w:val="000000"/>
          <w:shd w:val="clear" w:color="auto" w:fill="FFFFFF"/>
        </w:rPr>
        <w:t xml:space="preserve">It should be noted that </w:t>
      </w:r>
      <w:r>
        <w:rPr>
          <w:color w:val="000000"/>
          <w:shd w:val="clear" w:color="auto" w:fill="FFFFFF"/>
        </w:rPr>
        <w:t xml:space="preserve">capable faults may be found in existing site, too. In such a case, IAEA recommends evaluating the safety using fault displacement hazard assessment (FDHA). In any case, </w:t>
      </w:r>
      <w:r w:rsidRPr="000D6788">
        <w:rPr>
          <w:color w:val="000000"/>
          <w:shd w:val="clear" w:color="auto" w:fill="FFFFFF"/>
        </w:rPr>
        <w:t xml:space="preserve">it is necessary to collect information about faults in the </w:t>
      </w:r>
      <w:r>
        <w:rPr>
          <w:color w:val="000000"/>
          <w:shd w:val="clear" w:color="auto" w:fill="FFFFFF"/>
        </w:rPr>
        <w:t>near</w:t>
      </w:r>
      <w:r w:rsidRPr="000D6788">
        <w:rPr>
          <w:color w:val="000000"/>
          <w:shd w:val="clear" w:color="auto" w:fill="FFFFFF"/>
        </w:rPr>
        <w:t xml:space="preserve"> region and </w:t>
      </w:r>
      <w:r>
        <w:rPr>
          <w:color w:val="000000"/>
          <w:shd w:val="clear" w:color="auto" w:fill="FFFFFF"/>
        </w:rPr>
        <w:t>site vicinity</w:t>
      </w:r>
      <w:r w:rsidRPr="000D6788">
        <w:rPr>
          <w:color w:val="000000"/>
          <w:shd w:val="clear" w:color="auto" w:fill="FFFFFF"/>
        </w:rPr>
        <w:t xml:space="preserve"> (in terms of </w:t>
      </w:r>
      <w:r>
        <w:rPr>
          <w:color w:val="000000"/>
          <w:shd w:val="clear" w:color="auto" w:fill="FFFFFF"/>
        </w:rPr>
        <w:lastRenderedPageBreak/>
        <w:t>Section 3</w:t>
      </w:r>
      <w:r w:rsidRPr="000D6788">
        <w:rPr>
          <w:color w:val="000000"/>
          <w:shd w:val="clear" w:color="auto" w:fill="FFFFFF"/>
        </w:rPr>
        <w:t xml:space="preserve"> </w:t>
      </w:r>
      <w:r>
        <w:rPr>
          <w:color w:val="000000"/>
          <w:shd w:val="clear" w:color="auto" w:fill="FFFFFF"/>
        </w:rPr>
        <w:t xml:space="preserve">of the </w:t>
      </w:r>
      <w:r w:rsidRPr="000D6788">
        <w:rPr>
          <w:color w:val="000000"/>
          <w:shd w:val="clear" w:color="auto" w:fill="FFFFFF"/>
        </w:rPr>
        <w:t>IAEA standard SSG-9) in order to exclude</w:t>
      </w:r>
      <w:r>
        <w:rPr>
          <w:color w:val="000000"/>
          <w:shd w:val="clear" w:color="auto" w:fill="FFFFFF"/>
        </w:rPr>
        <w:t xml:space="preserve"> (or confirm)</w:t>
      </w:r>
      <w:r w:rsidRPr="000D6788">
        <w:rPr>
          <w:color w:val="000000"/>
          <w:shd w:val="clear" w:color="auto" w:fill="FFFFFF"/>
        </w:rPr>
        <w:t xml:space="preserve"> the presence </w:t>
      </w:r>
      <w:r>
        <w:rPr>
          <w:color w:val="000000"/>
          <w:shd w:val="clear" w:color="auto" w:fill="FFFFFF"/>
        </w:rPr>
        <w:t>of a c</w:t>
      </w:r>
      <w:r w:rsidRPr="000D6788">
        <w:rPr>
          <w:color w:val="000000"/>
          <w:shd w:val="clear" w:color="auto" w:fill="FFFFFF"/>
        </w:rPr>
        <w:t xml:space="preserve">apable </w:t>
      </w:r>
      <w:r>
        <w:rPr>
          <w:color w:val="000000"/>
          <w:shd w:val="clear" w:color="auto" w:fill="FFFFFF"/>
        </w:rPr>
        <w:t>fault</w:t>
      </w:r>
      <w:r w:rsidRPr="000D6788">
        <w:rPr>
          <w:color w:val="000000"/>
          <w:shd w:val="clear" w:color="auto" w:fill="FFFFFF"/>
        </w:rPr>
        <w:t xml:space="preserve"> in the site vicinity.</w:t>
      </w:r>
      <w:r>
        <w:rPr>
          <w:color w:val="000000"/>
          <w:shd w:val="clear" w:color="auto" w:fill="FFFFFF"/>
        </w:rPr>
        <w:t xml:space="preserve"> </w:t>
      </w:r>
    </w:p>
    <w:p w:rsidR="00B17CE7" w:rsidRDefault="00CB654C" w:rsidP="003A0475">
      <w:pPr>
        <w:pStyle w:val="Odstavecseseznamem"/>
      </w:pPr>
      <w:r w:rsidRPr="00CB654C">
        <w:t>In the present state of knowledge about the</w:t>
      </w:r>
      <w:r>
        <w:t xml:space="preserve"> site</w:t>
      </w:r>
      <w:r w:rsidR="00B17CE7" w:rsidRPr="00B17CE7">
        <w:t>, additional investigations, including the requirements of the IAEA Standard SSG-9 (2010) as well as the WENRA document</w:t>
      </w:r>
      <w:r w:rsidR="003C3CD0">
        <w:t xml:space="preserve"> (10/2015)</w:t>
      </w:r>
      <w:r w:rsidR="00B17CE7" w:rsidRPr="00B17CE7">
        <w:t>, must be recommended.</w:t>
      </w:r>
      <w:r w:rsidR="003C3CD0">
        <w:t xml:space="preserve"> </w:t>
      </w:r>
      <w:r w:rsidR="003C3CD0" w:rsidRPr="003C3CD0">
        <w:t>In particular, two analyzes must be completed</w:t>
      </w:r>
      <w:r w:rsidR="005C497C" w:rsidRPr="005C497C">
        <w:t xml:space="preserve"> </w:t>
      </w:r>
      <w:r w:rsidR="005C497C">
        <w:t>at least</w:t>
      </w:r>
      <w:r w:rsidR="003C3CD0">
        <w:t>:</w:t>
      </w:r>
    </w:p>
    <w:p w:rsidR="003C3CD0" w:rsidRDefault="003C3CD0" w:rsidP="003C3CD0">
      <w:pPr>
        <w:pStyle w:val="Odstavecseseznamem"/>
        <w:numPr>
          <w:ilvl w:val="0"/>
          <w:numId w:val="10"/>
        </w:numPr>
      </w:pPr>
      <w:r w:rsidRPr="003C3CD0">
        <w:t xml:space="preserve">Analysis of the digital model of relief </w:t>
      </w:r>
      <w:r>
        <w:t xml:space="preserve">(DMR) </w:t>
      </w:r>
      <w:r w:rsidRPr="003C3CD0">
        <w:t xml:space="preserve">for </w:t>
      </w:r>
      <w:r>
        <w:t>the NPP</w:t>
      </w:r>
      <w:r w:rsidRPr="003C3CD0">
        <w:t xml:space="preserve"> near region in order to identify morpho</w:t>
      </w:r>
      <w:r>
        <w:t>-lineaments and</w:t>
      </w:r>
      <w:r w:rsidRPr="003C3CD0">
        <w:t xml:space="preserve"> to </w:t>
      </w:r>
      <w:r w:rsidR="00D70C46">
        <w:t>check faults</w:t>
      </w:r>
      <w:r w:rsidRPr="003C3CD0">
        <w:t xml:space="preserve"> that </w:t>
      </w:r>
      <w:r w:rsidR="00D70C46">
        <w:t>have been detected</w:t>
      </w:r>
      <w:r w:rsidRPr="003C3CD0">
        <w:t xml:space="preserve"> by geophysical </w:t>
      </w:r>
      <w:r w:rsidR="00D70C46">
        <w:t>methods</w:t>
      </w:r>
      <w:r w:rsidRPr="003C3CD0">
        <w:t>.</w:t>
      </w:r>
    </w:p>
    <w:p w:rsidR="00D70C46" w:rsidRPr="003C3CD0" w:rsidRDefault="00D70C46" w:rsidP="003C3CD0">
      <w:pPr>
        <w:pStyle w:val="Odstavecseseznamem"/>
        <w:numPr>
          <w:ilvl w:val="0"/>
          <w:numId w:val="10"/>
        </w:numPr>
      </w:pPr>
      <w:r>
        <w:t>Checking</w:t>
      </w:r>
      <w:r w:rsidRPr="00D70C46">
        <w:t xml:space="preserve"> suspicious </w:t>
      </w:r>
      <w:r>
        <w:t>morpho-lineaments</w:t>
      </w:r>
      <w:r w:rsidRPr="00D70C46">
        <w:t xml:space="preserve"> and </w:t>
      </w:r>
      <w:r>
        <w:t>faults</w:t>
      </w:r>
      <w:r w:rsidRPr="00D70C46">
        <w:t xml:space="preserve"> </w:t>
      </w:r>
      <w:r>
        <w:t>using</w:t>
      </w:r>
      <w:r w:rsidRPr="00D70C46">
        <w:t xml:space="preserve"> paleo</w:t>
      </w:r>
      <w:r>
        <w:t>-</w:t>
      </w:r>
      <w:r w:rsidRPr="00D70C46">
        <w:t>seismological research</w:t>
      </w:r>
      <w:r>
        <w:t xml:space="preserve"> (trenching, drilling etc)</w:t>
      </w:r>
      <w:r w:rsidRPr="00D70C46">
        <w:t>.</w:t>
      </w:r>
      <w:r>
        <w:t xml:space="preserve"> See IAEA standard SSG-9 (2010), par. 8.6 or </w:t>
      </w:r>
      <w:r w:rsidRPr="0079674C">
        <w:t>TECDOC</w:t>
      </w:r>
      <w:r>
        <w:t>-1767 (2015).</w:t>
      </w:r>
    </w:p>
    <w:p w:rsidR="00FA3E53" w:rsidRPr="009C34EA" w:rsidRDefault="009C34EA" w:rsidP="009C34EA">
      <w:pPr>
        <w:pStyle w:val="Nadpis-tun"/>
        <w:rPr>
          <w:shd w:val="clear" w:color="auto" w:fill="FFFFFF"/>
        </w:rPr>
      </w:pPr>
      <w:r w:rsidRPr="009C34EA">
        <w:rPr>
          <w:shd w:val="clear" w:color="auto" w:fill="FFFFFF"/>
        </w:rPr>
        <w:t>Database of seismological data and their analysis</w:t>
      </w:r>
    </w:p>
    <w:p w:rsidR="00FA3E53" w:rsidRPr="009C34EA" w:rsidRDefault="009C34EA" w:rsidP="000C7F88">
      <w:pPr>
        <w:pStyle w:val="Odstavecseseznamem"/>
        <w:spacing w:before="240"/>
        <w:rPr>
          <w:color w:val="000000"/>
          <w:shd w:val="clear" w:color="auto" w:fill="FFFFFF"/>
        </w:rPr>
      </w:pPr>
      <w:r w:rsidRPr="009C34EA">
        <w:rPr>
          <w:color w:val="000000"/>
          <w:shd w:val="clear" w:color="auto" w:fill="FFFFFF"/>
        </w:rPr>
        <w:t xml:space="preserve">Although the requirement to create a seismic database is not explicitly stated in the IAEA standard NS-G-3.3, the standard recommends collecting </w:t>
      </w:r>
      <w:r>
        <w:rPr>
          <w:color w:val="000000"/>
          <w:shd w:val="clear" w:color="auto" w:fill="FFFFFF"/>
        </w:rPr>
        <w:t>“s</w:t>
      </w:r>
      <w:r w:rsidRPr="009C34EA">
        <w:rPr>
          <w:color w:val="000000"/>
          <w:shd w:val="clear" w:color="auto" w:fill="FFFFFF"/>
        </w:rPr>
        <w:t>eismic data and historical earthquake records</w:t>
      </w:r>
      <w:r>
        <w:rPr>
          <w:color w:val="000000"/>
          <w:shd w:val="clear" w:color="auto" w:fill="FFFFFF"/>
        </w:rPr>
        <w:t>”</w:t>
      </w:r>
      <w:r w:rsidRPr="009C34EA">
        <w:rPr>
          <w:color w:val="000000"/>
          <w:shd w:val="clear" w:color="auto" w:fill="FFFFFF"/>
        </w:rPr>
        <w:t xml:space="preserve"> in </w:t>
      </w:r>
      <w:r>
        <w:rPr>
          <w:color w:val="000000"/>
          <w:shd w:val="clear" w:color="auto" w:fill="FFFFFF"/>
        </w:rPr>
        <w:t>par.</w:t>
      </w:r>
      <w:r w:rsidRPr="009C34EA">
        <w:rPr>
          <w:color w:val="000000"/>
          <w:shd w:val="clear" w:color="auto" w:fill="FFFFFF"/>
        </w:rPr>
        <w:t xml:space="preserve"> 2.</w:t>
      </w:r>
      <w:r>
        <w:rPr>
          <w:color w:val="000000"/>
          <w:shd w:val="clear" w:color="auto" w:fill="FFFFFF"/>
        </w:rPr>
        <w:t xml:space="preserve">26. </w:t>
      </w:r>
    </w:p>
    <w:p w:rsidR="00B576F4" w:rsidRDefault="00B576F4" w:rsidP="00B576F4">
      <w:pPr>
        <w:pStyle w:val="Odstavecseseznamem"/>
        <w:rPr>
          <w:lang w:val="en-GB"/>
        </w:rPr>
      </w:pPr>
      <w:r>
        <w:rPr>
          <w:lang w:val="en-GB"/>
        </w:rPr>
        <w:t>These data</w:t>
      </w:r>
      <w:r w:rsidR="00292385">
        <w:rPr>
          <w:lang w:val="en-GB"/>
        </w:rPr>
        <w:t>, i.e.</w:t>
      </w:r>
      <w:r>
        <w:rPr>
          <w:lang w:val="en-GB"/>
        </w:rPr>
        <w:t xml:space="preserve"> </w:t>
      </w:r>
      <w:r w:rsidRPr="00372431">
        <w:rPr>
          <w:lang w:val="en-GB"/>
        </w:rPr>
        <w:t xml:space="preserve">earthquake catalogue for the period </w:t>
      </w:r>
      <w:r>
        <w:rPr>
          <w:lang w:val="en-GB"/>
        </w:rPr>
        <w:t xml:space="preserve">840-1899 and </w:t>
      </w:r>
      <w:r w:rsidRPr="00372431">
        <w:rPr>
          <w:lang w:val="en-GB"/>
        </w:rPr>
        <w:t>1900-1999</w:t>
      </w:r>
      <w:r w:rsidR="00292385">
        <w:rPr>
          <w:lang w:val="en-GB"/>
        </w:rPr>
        <w:t>,</w:t>
      </w:r>
      <w:r>
        <w:rPr>
          <w:lang w:val="en-GB"/>
        </w:rPr>
        <w:t xml:space="preserve"> are</w:t>
      </w:r>
      <w:r w:rsidRPr="00372431">
        <w:rPr>
          <w:lang w:val="en-GB"/>
        </w:rPr>
        <w:t xml:space="preserve"> presented in the report</w:t>
      </w:r>
      <w:r>
        <w:rPr>
          <w:lang w:val="en-GB"/>
        </w:rPr>
        <w:t xml:space="preserve"> </w:t>
      </w:r>
      <w:r w:rsidRPr="0085428D">
        <w:rPr>
          <w:lang w:val="en-GB"/>
        </w:rPr>
        <w:t>9S.BU.l 0.0.IZ.PM.PRR041</w:t>
      </w:r>
      <w:r>
        <w:rPr>
          <w:lang w:val="en-GB"/>
        </w:rPr>
        <w:t xml:space="preserve"> (Tehran, 1999) and later in the FSAR (</w:t>
      </w:r>
      <w:r>
        <w:t xml:space="preserve">report </w:t>
      </w:r>
      <w:r w:rsidRPr="00142D17">
        <w:t>49.BU.1</w:t>
      </w:r>
      <w:r>
        <w:t> </w:t>
      </w:r>
      <w:r w:rsidRPr="00142D17">
        <w:t>0.0.ОО.FSAR.</w:t>
      </w:r>
      <w:r>
        <w:t xml:space="preserve"> </w:t>
      </w:r>
      <w:r w:rsidRPr="00142D17">
        <w:t>RDR001</w:t>
      </w:r>
      <w:r>
        <w:t xml:space="preserve">, </w:t>
      </w:r>
      <w:r w:rsidRPr="00142D17">
        <w:t>Moscow, 2011</w:t>
      </w:r>
      <w:r>
        <w:t>)</w:t>
      </w:r>
      <w:r>
        <w:rPr>
          <w:lang w:val="en-GB"/>
        </w:rPr>
        <w:t xml:space="preserve">. </w:t>
      </w:r>
    </w:p>
    <w:p w:rsidR="00566333" w:rsidRDefault="00292385" w:rsidP="00566333">
      <w:pPr>
        <w:pStyle w:val="Odstavecseseznamem"/>
        <w:rPr>
          <w:color w:val="000000"/>
        </w:rPr>
      </w:pPr>
      <w:r>
        <w:t xml:space="preserve">Historical and paleo earthquake epicenter </w:t>
      </w:r>
      <w:r w:rsidRPr="00292385">
        <w:t xml:space="preserve">are shown in Figure </w:t>
      </w:r>
      <w:r>
        <w:t xml:space="preserve">2.5.2.1-1 </w:t>
      </w:r>
      <w:r w:rsidRPr="00292385">
        <w:t>in the report</w:t>
      </w:r>
      <w:r>
        <w:t xml:space="preserve"> </w:t>
      </w:r>
      <w:r w:rsidRPr="00142D17">
        <w:t>49.BU.1</w:t>
      </w:r>
      <w:r>
        <w:t> </w:t>
      </w:r>
      <w:r w:rsidRPr="00142D17">
        <w:t>0.0.ОО.FSAR.</w:t>
      </w:r>
      <w:r>
        <w:t xml:space="preserve"> </w:t>
      </w:r>
      <w:r w:rsidRPr="00142D17">
        <w:t>RDR001</w:t>
      </w:r>
      <w:r>
        <w:t xml:space="preserve"> (</w:t>
      </w:r>
      <w:r w:rsidRPr="00142D17">
        <w:t>Moscow, 2011</w:t>
      </w:r>
      <w:r>
        <w:t>)</w:t>
      </w:r>
      <w:r w:rsidRPr="00292385">
        <w:t>.</w:t>
      </w:r>
      <w:r>
        <w:t xml:space="preserve"> See </w:t>
      </w:r>
      <w:r>
        <w:fldChar w:fldCharType="begin"/>
      </w:r>
      <w:r>
        <w:instrText xml:space="preserve"> REF _Ref535136972 \h </w:instrText>
      </w:r>
      <w:r>
        <w:fldChar w:fldCharType="separate"/>
      </w:r>
      <w:r>
        <w:t xml:space="preserve">Fig.  </w:t>
      </w:r>
      <w:r>
        <w:rPr>
          <w:noProof/>
        </w:rPr>
        <w:t>1</w:t>
      </w:r>
      <w:r>
        <w:fldChar w:fldCharType="end"/>
      </w:r>
      <w:r>
        <w:t xml:space="preserve">. </w:t>
      </w:r>
      <w:r w:rsidR="00566333" w:rsidRPr="00566333">
        <w:t>The picture shows that the paleo earthquake data was also collected.</w:t>
      </w:r>
      <w:r w:rsidR="00566333">
        <w:t xml:space="preserve"> </w:t>
      </w:r>
      <w:r w:rsidR="00566333" w:rsidRPr="00566333">
        <w:t>This data was used to identify source zones, one of the criteria being a relation to</w:t>
      </w:r>
      <w:r w:rsidR="00566333">
        <w:t xml:space="preserve"> </w:t>
      </w:r>
      <w:r w:rsidR="00566333">
        <w:rPr>
          <w:color w:val="000000"/>
        </w:rPr>
        <w:t xml:space="preserve">the epicenters of instrumental and historical earthquakes, relations to manifestations on archaeological monuments and paleoseismicity. </w:t>
      </w:r>
    </w:p>
    <w:p w:rsidR="00663C18" w:rsidRDefault="00663C18" w:rsidP="00566333">
      <w:pPr>
        <w:pStyle w:val="Odstavecseseznamem"/>
      </w:pPr>
      <w:r>
        <w:fldChar w:fldCharType="begin"/>
      </w:r>
      <w:r>
        <w:instrText xml:space="preserve"> REF _Ref535137711 \h </w:instrText>
      </w:r>
      <w:r>
        <w:fldChar w:fldCharType="separate"/>
      </w:r>
      <w:r>
        <w:t xml:space="preserve">Fig.  </w:t>
      </w:r>
      <w:r>
        <w:rPr>
          <w:noProof/>
        </w:rPr>
        <w:t>1</w:t>
      </w:r>
      <w:r>
        <w:fldChar w:fldCharType="end"/>
      </w:r>
      <w:r w:rsidRPr="00663C18">
        <w:t xml:space="preserve"> depicts the epicenter of the nine paleo earthquakes, but it is not clear whether these are sites with damaged archaeological monuments or geological records of paleo earthquakes unearthed in the </w:t>
      </w:r>
      <w:r>
        <w:t>trenches</w:t>
      </w:r>
      <w:r w:rsidRPr="00663C18">
        <w:t>.</w:t>
      </w:r>
      <w:r>
        <w:t xml:space="preserve"> </w:t>
      </w:r>
      <w:r w:rsidRPr="00663C18">
        <w:t>Then, it is impossible to determine how the magnitude of these earthquakes has been estimated.</w:t>
      </w:r>
    </w:p>
    <w:p w:rsidR="00EA1021" w:rsidRDefault="00EA1021" w:rsidP="009F33D1">
      <w:pPr>
        <w:pStyle w:val="Odstavecseseznamem"/>
      </w:pPr>
      <w:r>
        <w:t>T</w:t>
      </w:r>
      <w:r w:rsidRPr="00372431">
        <w:t xml:space="preserve">he procedures </w:t>
      </w:r>
      <w:r>
        <w:t xml:space="preserve">of the seismic data analysis </w:t>
      </w:r>
      <w:r w:rsidRPr="00372431">
        <w:t>can be considered as standard, corresponding to the available methods of that time.</w:t>
      </w:r>
      <w:r>
        <w:t xml:space="preserve"> </w:t>
      </w:r>
      <w:r w:rsidR="00E51D81" w:rsidRPr="00E51D81">
        <w:t xml:space="preserve">The solution also meets the requirements of the current IAEA standard SSG-9 (2010) where, according to par. </w:t>
      </w:r>
      <w:r w:rsidR="009F33D1">
        <w:t xml:space="preserve"> 3.24 </w:t>
      </w:r>
      <w:r w:rsidR="00E51D81" w:rsidRPr="00E51D81">
        <w:t>is required</w:t>
      </w:r>
      <w:r w:rsidR="00E51D81">
        <w:t xml:space="preserve"> </w:t>
      </w:r>
      <w:r w:rsidR="00E51D81" w:rsidRPr="009F33D1">
        <w:t>“</w:t>
      </w:r>
      <w:r w:rsidR="009F33D1" w:rsidRPr="009F33D1">
        <w:t>Information on prehistorical,</w:t>
      </w:r>
      <w:r w:rsidR="009F33D1">
        <w:t xml:space="preserve"> </w:t>
      </w:r>
      <w:r w:rsidR="009F33D1" w:rsidRPr="009F33D1">
        <w:t>historical and instrumentally recorded earthquakes in the region shall be collected</w:t>
      </w:r>
      <w:r w:rsidR="009F33D1">
        <w:t xml:space="preserve"> </w:t>
      </w:r>
      <w:r w:rsidR="009F33D1" w:rsidRPr="009F33D1">
        <w:t>and documented.”</w:t>
      </w:r>
      <w:r w:rsidR="00E51D81">
        <w:t xml:space="preserve">  </w:t>
      </w:r>
      <w:r w:rsidRPr="009C6EAA">
        <w:t xml:space="preserve">However, the time gap from the analysis, unfortunately, could burden the result with </w:t>
      </w:r>
      <w:r>
        <w:t xml:space="preserve">additional </w:t>
      </w:r>
      <w:r w:rsidRPr="009C6EAA">
        <w:t>epistemic uncertainties.</w:t>
      </w:r>
      <w:r>
        <w:t xml:space="preserve"> </w:t>
      </w:r>
    </w:p>
    <w:p w:rsidR="006C0A95" w:rsidRDefault="006C0A95" w:rsidP="00566333">
      <w:pPr>
        <w:pStyle w:val="Odstavecseseznamem"/>
      </w:pPr>
      <w:r w:rsidRPr="006C0A95">
        <w:t xml:space="preserve">It is necessary to supplement the earthquake catalogue </w:t>
      </w:r>
      <w:r w:rsidRPr="009C6EAA">
        <w:t>with data from the years 1999-2019</w:t>
      </w:r>
      <w:r>
        <w:t>, as</w:t>
      </w:r>
      <w:r w:rsidRPr="006C0A95">
        <w:t xml:space="preserve"> the catalog </w:t>
      </w:r>
      <w:r>
        <w:t xml:space="preserve">is just ending </w:t>
      </w:r>
      <w:r w:rsidRPr="006C0A95">
        <w:t>in 1999.</w:t>
      </w:r>
      <w:r>
        <w:t xml:space="preserve"> </w:t>
      </w:r>
      <w:r w:rsidRPr="006C0A95">
        <w:t xml:space="preserve">It is also necessary to clearly clarify the paleo earthquake data, whether it is an "archeo" or "paleo" earthquake, and also to clarify </w:t>
      </w:r>
      <w:r>
        <w:t xml:space="preserve">way of </w:t>
      </w:r>
      <w:r w:rsidRPr="006C0A95">
        <w:t xml:space="preserve">the magnitude </w:t>
      </w:r>
      <w:r w:rsidR="004514D1">
        <w:t>estimation</w:t>
      </w:r>
      <w:r w:rsidRPr="006C0A95">
        <w:t>.</w:t>
      </w:r>
    </w:p>
    <w:p w:rsidR="009F33D1" w:rsidRDefault="009F33D1" w:rsidP="00566333">
      <w:pPr>
        <w:pStyle w:val="Odstavecseseznamem"/>
      </w:pPr>
      <w:r w:rsidRPr="009F33D1">
        <w:lastRenderedPageBreak/>
        <w:t xml:space="preserve">The issue of earthquake catalogs is associated with </w:t>
      </w:r>
      <w:r w:rsidR="00CE4D33">
        <w:t>several</w:t>
      </w:r>
      <w:r w:rsidRPr="009F33D1">
        <w:t xml:space="preserve"> discrepancies in the FSAR text</w:t>
      </w:r>
      <w:r w:rsidR="0075215B">
        <w:t xml:space="preserve"> </w:t>
      </w:r>
      <w:r w:rsidR="0075215B">
        <w:rPr>
          <w:lang w:val="en-GB"/>
        </w:rPr>
        <w:t>(</w:t>
      </w:r>
      <w:r w:rsidR="0075215B">
        <w:t xml:space="preserve">report </w:t>
      </w:r>
      <w:r w:rsidR="0075215B" w:rsidRPr="00142D17">
        <w:t>49.BU.1</w:t>
      </w:r>
      <w:r w:rsidR="0075215B">
        <w:t> </w:t>
      </w:r>
      <w:r w:rsidR="0075215B" w:rsidRPr="00142D17">
        <w:t>0.0.ОО.FSAR.</w:t>
      </w:r>
      <w:r w:rsidR="0075215B">
        <w:t xml:space="preserve"> </w:t>
      </w:r>
      <w:r w:rsidR="0075215B" w:rsidRPr="00142D17">
        <w:t>RDR001</w:t>
      </w:r>
      <w:r w:rsidR="0075215B">
        <w:t>)</w:t>
      </w:r>
      <w:r w:rsidRPr="009F33D1">
        <w:t>.</w:t>
      </w:r>
      <w:r w:rsidR="00CE4D33">
        <w:t xml:space="preserve"> </w:t>
      </w:r>
      <w:r w:rsidR="00561B28" w:rsidRPr="00561B28">
        <w:t xml:space="preserve">The text of Figure 2.5.2.1-4 indicates that the figure shows 606 epicenters. However, only 90 </w:t>
      </w:r>
      <w:r w:rsidR="00561B28">
        <w:t>events</w:t>
      </w:r>
      <w:r w:rsidR="00561B28" w:rsidRPr="00561B28">
        <w:t xml:space="preserve"> are recorded in Table 2.5.2.1-4, with </w:t>
      </w:r>
      <w:r w:rsidR="00561B28">
        <w:t xml:space="preserve">explanation that </w:t>
      </w:r>
      <w:r w:rsidR="00561B28" w:rsidRPr="00561B28">
        <w:t xml:space="preserve">only perceptible earthquakes (M&gt; 3.5, I&gt; 3 points) being selected. </w:t>
      </w:r>
      <w:r w:rsidR="00561B28">
        <w:t>Unfortunately, i</w:t>
      </w:r>
      <w:r w:rsidR="00561B28" w:rsidRPr="00561B28">
        <w:t>t is not clear what is meant by the term "perceptible".</w:t>
      </w:r>
      <w:r w:rsidR="00561B28">
        <w:t xml:space="preserve"> </w:t>
      </w:r>
    </w:p>
    <w:p w:rsidR="00FA3E53" w:rsidRDefault="00292385" w:rsidP="00A37B03">
      <w:pPr>
        <w:pStyle w:val="Titulek"/>
        <w:spacing w:before="240"/>
      </w:pPr>
      <w:bookmarkStart w:id="12" w:name="_Ref535137711"/>
      <w:r>
        <w:rPr>
          <w:noProof/>
          <w:lang w:val="cs-CZ" w:eastAsia="cs-CZ"/>
        </w:rPr>
        <w:lastRenderedPageBreak/>
        <w:drawing>
          <wp:anchor distT="0" distB="0" distL="114300" distR="114300" simplePos="0" relativeHeight="251666432" behindDoc="0" locked="1" layoutInCell="1" allowOverlap="0" wp14:anchorId="2ABF4EE8" wp14:editId="6BA8CE94">
            <wp:simplePos x="0" y="0"/>
            <wp:positionH relativeFrom="column">
              <wp:posOffset>1778</wp:posOffset>
            </wp:positionH>
            <wp:positionV relativeFrom="paragraph">
              <wp:posOffset>127</wp:posOffset>
            </wp:positionV>
            <wp:extent cx="5864400" cy="6969600"/>
            <wp:effectExtent l="0" t="0" r="3175" b="317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400" cy="696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3" w:name="_Ref535136972"/>
      <w:r>
        <w:t xml:space="preserve">Fig.  </w:t>
      </w:r>
      <w:r w:rsidR="00F228D4">
        <w:rPr>
          <w:noProof/>
        </w:rPr>
        <w:fldChar w:fldCharType="begin"/>
      </w:r>
      <w:r w:rsidR="00F228D4">
        <w:rPr>
          <w:noProof/>
        </w:rPr>
        <w:instrText xml:space="preserve"> SEQ Fig._ \* ARABIC </w:instrText>
      </w:r>
      <w:r w:rsidR="00F228D4">
        <w:rPr>
          <w:noProof/>
        </w:rPr>
        <w:fldChar w:fldCharType="separate"/>
      </w:r>
      <w:r w:rsidR="00BF7080">
        <w:rPr>
          <w:noProof/>
        </w:rPr>
        <w:t>1</w:t>
      </w:r>
      <w:r w:rsidR="00F228D4">
        <w:rPr>
          <w:noProof/>
        </w:rPr>
        <w:fldChar w:fldCharType="end"/>
      </w:r>
      <w:bookmarkEnd w:id="12"/>
      <w:bookmarkEnd w:id="13"/>
      <w:r>
        <w:t>: Map of historical and paleo earthquake epicenters.</w:t>
      </w:r>
    </w:p>
    <w:p w:rsidR="00CB654C" w:rsidRDefault="00CB654C" w:rsidP="00CB654C">
      <w:pPr>
        <w:pStyle w:val="Odstavecseseznamem"/>
      </w:pPr>
      <w:r w:rsidRPr="00304A00">
        <w:t xml:space="preserve">In Figure 2.5.2.1-4, 3 epicenters with magnitudes 3-4 are plotted near the NPP, but these epicenters are not listed in Table 2.5.2.1-4. This </w:t>
      </w:r>
      <w:r>
        <w:t>should be seen as</w:t>
      </w:r>
      <w:r w:rsidRPr="00304A00">
        <w:t xml:space="preserve"> an example of </w:t>
      </w:r>
      <w:r>
        <w:t>more serious</w:t>
      </w:r>
      <w:r w:rsidRPr="00304A00">
        <w:t xml:space="preserve"> discrepancies.</w:t>
      </w:r>
      <w:r>
        <w:t xml:space="preserve"> See </w:t>
      </w:r>
      <w:r>
        <w:fldChar w:fldCharType="begin"/>
      </w:r>
      <w:r>
        <w:instrText xml:space="preserve"> REF _Ref535247929 \h </w:instrText>
      </w:r>
      <w:r>
        <w:fldChar w:fldCharType="separate"/>
      </w:r>
      <w:r>
        <w:t xml:space="preserve">Fig.  </w:t>
      </w:r>
      <w:r>
        <w:rPr>
          <w:noProof/>
        </w:rPr>
        <w:t>2</w:t>
      </w:r>
      <w:r>
        <w:fldChar w:fldCharType="end"/>
      </w:r>
      <w:r>
        <w:t>, blue arrows.</w:t>
      </w:r>
    </w:p>
    <w:p w:rsidR="00C9698F" w:rsidRDefault="00FB4297" w:rsidP="00FB4297">
      <w:pPr>
        <w:pStyle w:val="Titulek"/>
      </w:pPr>
      <w:bookmarkStart w:id="14" w:name="_Ref535247929"/>
      <w:r>
        <w:rPr>
          <w:noProof/>
          <w:lang w:val="cs-CZ" w:eastAsia="cs-CZ"/>
        </w:rPr>
        <w:lastRenderedPageBreak/>
        <w:drawing>
          <wp:anchor distT="0" distB="0" distL="114300" distR="114300" simplePos="0" relativeHeight="251667456" behindDoc="0" locked="1" layoutInCell="1" allowOverlap="0" wp14:anchorId="5A10B69F" wp14:editId="0BBFBC54">
            <wp:simplePos x="0" y="0"/>
            <wp:positionH relativeFrom="column">
              <wp:align>center</wp:align>
            </wp:positionH>
            <wp:positionV relativeFrom="paragraph">
              <wp:posOffset>127</wp:posOffset>
            </wp:positionV>
            <wp:extent cx="5399405" cy="7559040"/>
            <wp:effectExtent l="0" t="0" r="0" b="381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9518" cy="75593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Fig.  </w:t>
      </w:r>
      <w:r w:rsidR="00F228D4">
        <w:rPr>
          <w:noProof/>
        </w:rPr>
        <w:fldChar w:fldCharType="begin"/>
      </w:r>
      <w:r w:rsidR="00F228D4">
        <w:rPr>
          <w:noProof/>
        </w:rPr>
        <w:instrText xml:space="preserve"> SEQ Fig._ \* ARABIC </w:instrText>
      </w:r>
      <w:r w:rsidR="00F228D4">
        <w:rPr>
          <w:noProof/>
        </w:rPr>
        <w:fldChar w:fldCharType="separate"/>
      </w:r>
      <w:r w:rsidR="00BF7080">
        <w:rPr>
          <w:noProof/>
        </w:rPr>
        <w:t>2</w:t>
      </w:r>
      <w:r w:rsidR="00F228D4">
        <w:rPr>
          <w:noProof/>
        </w:rPr>
        <w:fldChar w:fldCharType="end"/>
      </w:r>
      <w:bookmarkEnd w:id="14"/>
      <w:r>
        <w:t xml:space="preserve">: Epicenter map of earthquakes. Data from the regional catalogue (1900-1999). </w:t>
      </w:r>
      <w:r w:rsidR="00CE4D33" w:rsidRPr="00CE4D33">
        <w:t>The blue arrows show an example of discrepancies.</w:t>
      </w:r>
    </w:p>
    <w:p w:rsidR="00624CFB" w:rsidRDefault="00624CFB" w:rsidP="00624CFB">
      <w:pPr>
        <w:pStyle w:val="Nadpis-tun"/>
        <w:rPr>
          <w:shd w:val="clear" w:color="auto" w:fill="FFFFFF"/>
        </w:rPr>
      </w:pPr>
      <w:r w:rsidRPr="00A37B03">
        <w:rPr>
          <w:shd w:val="clear" w:color="auto" w:fill="FFFFFF"/>
        </w:rPr>
        <w:lastRenderedPageBreak/>
        <w:t>Identification of the seismic sources – seismotectonic models</w:t>
      </w:r>
    </w:p>
    <w:p w:rsidR="00C9698F" w:rsidRDefault="00304A00" w:rsidP="005A2E49">
      <w:pPr>
        <w:pStyle w:val="Odstavecseseznamem"/>
      </w:pPr>
      <w:r w:rsidRPr="00304A00">
        <w:t>The definition of seismic sources is based on two seismotectonic models, areal source zones and fault zones</w:t>
      </w:r>
      <w:r w:rsidR="00BF7080">
        <w:t xml:space="preserve"> (See </w:t>
      </w:r>
      <w:r w:rsidR="00BF7080">
        <w:fldChar w:fldCharType="begin"/>
      </w:r>
      <w:r w:rsidR="00BF7080">
        <w:instrText xml:space="preserve"> REF _Ref535251343 \h </w:instrText>
      </w:r>
      <w:r w:rsidR="00BF7080">
        <w:fldChar w:fldCharType="separate"/>
      </w:r>
      <w:r w:rsidR="00BF7080" w:rsidRPr="00BF7080">
        <w:t xml:space="preserve">Fig.  </w:t>
      </w:r>
      <w:r w:rsidR="00BF7080" w:rsidRPr="0071160D">
        <w:rPr>
          <w:noProof/>
        </w:rPr>
        <w:t>3</w:t>
      </w:r>
      <w:r w:rsidR="00BF7080">
        <w:fldChar w:fldCharType="end"/>
      </w:r>
      <w:r w:rsidR="00BF7080">
        <w:t>)</w:t>
      </w:r>
      <w:r w:rsidRPr="00304A00">
        <w:t>. Zone delineation was based on the analysis of seismic and tectonic information and 150 km region is considered, as it had been required by the IAEA standard NS-G-3.3.</w:t>
      </w:r>
      <w:r>
        <w:t xml:space="preserve"> </w:t>
      </w:r>
      <w:r w:rsidRPr="00304A00">
        <w:t>The definition of source zones seems to be logical, the source area with background (diffuse) seismicity is not omitted in the model.</w:t>
      </w:r>
    </w:p>
    <w:p w:rsidR="00304A00" w:rsidRDefault="00672086" w:rsidP="0071160D">
      <w:pPr>
        <w:pStyle w:val="Odstavecseseznamem"/>
      </w:pPr>
      <w:r w:rsidRPr="00672086">
        <w:t>It should be noted that</w:t>
      </w:r>
      <w:r>
        <w:t xml:space="preserve"> t</w:t>
      </w:r>
      <w:r w:rsidRPr="00487C72">
        <w:t xml:space="preserve">he currently valid IAEA standard </w:t>
      </w:r>
      <w:r>
        <w:t xml:space="preserve">SSG-9 (2010) </w:t>
      </w:r>
      <w:r w:rsidRPr="00487C72">
        <w:t xml:space="preserve">requires </w:t>
      </w:r>
      <w:r>
        <w:t xml:space="preserve">in the </w:t>
      </w:r>
      <w:r w:rsidRPr="00487C72">
        <w:t>par. 3.</w:t>
      </w:r>
      <w:r>
        <w:t>7</w:t>
      </w:r>
      <w:r w:rsidRPr="00487C72">
        <w:t xml:space="preserve"> </w:t>
      </w:r>
      <w:r>
        <w:t>evaluation of</w:t>
      </w:r>
      <w:r w:rsidRPr="00487C72">
        <w:t xml:space="preserve"> the region </w:t>
      </w:r>
      <w:r>
        <w:t>of</w:t>
      </w:r>
      <w:r w:rsidRPr="00487C72">
        <w:t xml:space="preserve"> 300 km.</w:t>
      </w:r>
      <w:r>
        <w:t xml:space="preserve"> </w:t>
      </w:r>
      <w:r w:rsidRPr="00672086">
        <w:t xml:space="preserve">It does not seem very likely that this expansion of the region will result in a </w:t>
      </w:r>
      <w:r>
        <w:t xml:space="preserve">significantly </w:t>
      </w:r>
      <w:r w:rsidRPr="00672086">
        <w:t xml:space="preserve">different resulting </w:t>
      </w:r>
      <w:r>
        <w:t xml:space="preserve">seismic </w:t>
      </w:r>
      <w:r w:rsidRPr="00672086">
        <w:t>hazard.</w:t>
      </w:r>
    </w:p>
    <w:p w:rsidR="00304A00" w:rsidRPr="00534AA5" w:rsidRDefault="00672086" w:rsidP="0071160D">
      <w:pPr>
        <w:pStyle w:val="Odstavecseseznamem"/>
      </w:pPr>
      <w:r w:rsidRPr="00672086">
        <w:t xml:space="preserve">Also, in case of </w:t>
      </w:r>
      <w:r>
        <w:t>seismotectonic model</w:t>
      </w:r>
      <w:r w:rsidR="00BF3231">
        <w:t>s</w:t>
      </w:r>
      <w:r w:rsidRPr="00672086">
        <w:t>, discrepancies can be detected.</w:t>
      </w:r>
      <w:r w:rsidR="00BF3231">
        <w:t xml:space="preserve"> </w:t>
      </w:r>
    </w:p>
    <w:p w:rsidR="00304A00" w:rsidRDefault="00E43D48" w:rsidP="00170702">
      <w:pPr>
        <w:pStyle w:val="Odstavecseseznamem"/>
      </w:pPr>
      <w:r w:rsidRPr="00534AA5">
        <w:t>From the FSAR text, the Delvar-Ahram</w:t>
      </w:r>
      <w:r>
        <w:t xml:space="preserve">, </w:t>
      </w:r>
      <w:r w:rsidRPr="00714E7C">
        <w:t>Borazjan-Kazerun</w:t>
      </w:r>
      <w:r>
        <w:t xml:space="preserve"> and </w:t>
      </w:r>
      <w:r w:rsidRPr="00EC1C99">
        <w:t>Delvar</w:t>
      </w:r>
      <w:r>
        <w:t>-Mand</w:t>
      </w:r>
      <w:r w:rsidRPr="00714E7C">
        <w:t xml:space="preserve"> source zone</w:t>
      </w:r>
      <w:r>
        <w:t>s</w:t>
      </w:r>
      <w:r w:rsidRPr="00534AA5">
        <w:t xml:space="preserve"> </w:t>
      </w:r>
      <w:r>
        <w:t>are</w:t>
      </w:r>
      <w:r w:rsidRPr="00534AA5">
        <w:t xml:space="preserve"> the most contributing to the seismic hazard of the </w:t>
      </w:r>
      <w:r>
        <w:t xml:space="preserve">Bushehr </w:t>
      </w:r>
      <w:r w:rsidRPr="00534AA5">
        <w:t>NPP.</w:t>
      </w:r>
      <w:r>
        <w:t xml:space="preserve"> </w:t>
      </w:r>
      <w:r w:rsidR="00714E7C" w:rsidRPr="00714E7C">
        <w:t>Clear and understandable is the definition of the Borazjan-Kazerun source zone</w:t>
      </w:r>
      <w:r w:rsidR="00EC1C99">
        <w:t xml:space="preserve"> (BK I/II/III)</w:t>
      </w:r>
      <w:r w:rsidR="00714E7C" w:rsidRPr="00714E7C">
        <w:t xml:space="preserve">. The outline of the zone fits both to the plot of the </w:t>
      </w:r>
      <w:r w:rsidR="00EC1C99">
        <w:t>fault branches</w:t>
      </w:r>
      <w:r w:rsidR="00714E7C" w:rsidRPr="00714E7C">
        <w:t xml:space="preserve"> and envelops the earthquake epicenter clusters. Also, the segmentation of this </w:t>
      </w:r>
      <w:r w:rsidR="00EC1C99">
        <w:t>fault</w:t>
      </w:r>
      <w:r w:rsidR="00714E7C" w:rsidRPr="00714E7C">
        <w:t xml:space="preserve"> seems to be justified.</w:t>
      </w:r>
      <w:r w:rsidR="00714E7C">
        <w:t xml:space="preserve"> </w:t>
      </w:r>
    </w:p>
    <w:p w:rsidR="00304A00" w:rsidRDefault="00E43D48" w:rsidP="00170702">
      <w:pPr>
        <w:pStyle w:val="Odstavecseseznamem"/>
      </w:pPr>
      <w:r w:rsidRPr="00534AA5">
        <w:t>On the other hand, the argument</w:t>
      </w:r>
      <w:r>
        <w:t>ation</w:t>
      </w:r>
      <w:r w:rsidRPr="00534AA5">
        <w:t xml:space="preserve"> </w:t>
      </w:r>
      <w:r>
        <w:t>concerning the Delvar-Ahram zone</w:t>
      </w:r>
      <w:r w:rsidRPr="00534AA5">
        <w:t xml:space="preserve"> is somewhat poor.</w:t>
      </w:r>
      <w:r>
        <w:t xml:space="preserve"> </w:t>
      </w:r>
      <w:r w:rsidRPr="00E43D48">
        <w:t xml:space="preserve">Nowhere is it possible to find </w:t>
      </w:r>
      <w:r w:rsidR="0071160D">
        <w:t xml:space="preserve">drawing of </w:t>
      </w:r>
      <w:r w:rsidRPr="00E43D48">
        <w:t xml:space="preserve">the Delvar-Ahram </w:t>
      </w:r>
      <w:r w:rsidR="0075215B">
        <w:t>fault (</w:t>
      </w:r>
      <w:r w:rsidR="0075215B" w:rsidRPr="0075215B">
        <w:t>even not in Fig</w:t>
      </w:r>
      <w:r w:rsidR="0075215B">
        <w:t>. 2.5.2.1-6)</w:t>
      </w:r>
      <w:r w:rsidRPr="00E43D48">
        <w:t>, even though it is described in the text</w:t>
      </w:r>
      <w:r w:rsidR="0075215B">
        <w:t xml:space="preserve"> (See report </w:t>
      </w:r>
      <w:r w:rsidR="0075215B" w:rsidRPr="00142D17">
        <w:t>49.BU.1</w:t>
      </w:r>
      <w:r w:rsidR="0075215B">
        <w:t> </w:t>
      </w:r>
      <w:r w:rsidR="0075215B" w:rsidRPr="00142D17">
        <w:t>0.0.ОО.FSAR.</w:t>
      </w:r>
      <w:r w:rsidR="0075215B">
        <w:t xml:space="preserve"> </w:t>
      </w:r>
      <w:r w:rsidR="0075215B" w:rsidRPr="00142D17">
        <w:t>RDR001</w:t>
      </w:r>
      <w:r w:rsidR="0075215B">
        <w:t>, p. 105).</w:t>
      </w:r>
      <w:r w:rsidR="00975F00">
        <w:t xml:space="preserve"> </w:t>
      </w:r>
      <w:r w:rsidR="000D6788">
        <w:t>Further</w:t>
      </w:r>
      <w:r w:rsidR="0071160D" w:rsidRPr="0071160D">
        <w:t xml:space="preserve">, the earthquakes that are attributed to this </w:t>
      </w:r>
      <w:r w:rsidR="0071160D">
        <w:t>fault</w:t>
      </w:r>
      <w:r w:rsidR="0071160D" w:rsidRPr="0071160D">
        <w:t xml:space="preserve"> are not clearly specified anywhere.</w:t>
      </w:r>
      <w:r w:rsidR="0071160D">
        <w:t xml:space="preserve"> </w:t>
      </w:r>
      <w:r w:rsidR="0071160D" w:rsidRPr="0071160D">
        <w:t xml:space="preserve">Also, the </w:t>
      </w:r>
      <w:r w:rsidR="0071160D">
        <w:t>fault</w:t>
      </w:r>
      <w:r w:rsidR="0071160D" w:rsidRPr="0071160D">
        <w:t xml:space="preserve"> </w:t>
      </w:r>
      <w:r w:rsidR="0071160D" w:rsidRPr="00EC1C99">
        <w:t>Delvar</w:t>
      </w:r>
      <w:r w:rsidR="0071160D">
        <w:t>-Mand (DM)</w:t>
      </w:r>
      <w:r w:rsidR="0071160D" w:rsidRPr="00EC1C99">
        <w:t xml:space="preserve"> </w:t>
      </w:r>
      <w:r w:rsidR="0071160D" w:rsidRPr="0071160D">
        <w:t>is described poorly.</w:t>
      </w:r>
    </w:p>
    <w:p w:rsidR="00170702" w:rsidRPr="00714E7C" w:rsidRDefault="0089002C" w:rsidP="00170702">
      <w:pPr>
        <w:pStyle w:val="Odstavecseseznamem"/>
      </w:pPr>
      <w:r w:rsidRPr="0089002C">
        <w:t xml:space="preserve">It is necessary to deepen the description of the key seismic source zones in order to make it clear how the parameters of these zones, such as </w:t>
      </w:r>
      <w:r w:rsidR="00BB5B2B">
        <w:t xml:space="preserve">constants of </w:t>
      </w:r>
      <w:r w:rsidRPr="0089002C">
        <w:t xml:space="preserve">the GR </w:t>
      </w:r>
      <w:r w:rsidR="00BB5B2B">
        <w:t>law</w:t>
      </w:r>
      <w:r w:rsidRPr="0089002C">
        <w:t xml:space="preserve"> and the maximum magnitude, have been derived.</w:t>
      </w:r>
      <w:r w:rsidR="00BB5B2B">
        <w:t xml:space="preserve"> </w:t>
      </w:r>
    </w:p>
    <w:p w:rsidR="008249E0" w:rsidRPr="00714E7C" w:rsidRDefault="00BB5B2B" w:rsidP="00170702">
      <w:pPr>
        <w:pStyle w:val="Odstavecseseznamem"/>
      </w:pPr>
      <w:r w:rsidRPr="00BB5B2B">
        <w:t>The number of recorded earthquakes and the maximum observed magnitude for each zone is very important knowledge</w:t>
      </w:r>
      <w:r>
        <w:t xml:space="preserve"> that cannot be missed</w:t>
      </w:r>
      <w:r w:rsidRPr="00BB5B2B">
        <w:t>. For such a significant zone as Delvar-Ahram, it would be very beneficial if there was evidence based on the outcome of paleoseismological research.</w:t>
      </w:r>
    </w:p>
    <w:p w:rsidR="008249E0" w:rsidRDefault="00BB5B2B" w:rsidP="00BB5B2B">
      <w:pPr>
        <w:pStyle w:val="Nadpis-tun"/>
      </w:pPr>
      <w:r>
        <w:t>Determination of DBE</w:t>
      </w:r>
    </w:p>
    <w:p w:rsidR="002D327A" w:rsidRPr="002D327A" w:rsidRDefault="00BB5B2B" w:rsidP="002D327A">
      <w:pPr>
        <w:pStyle w:val="Odstavecseseznamem"/>
      </w:pPr>
      <w:r w:rsidRPr="002D327A">
        <w:t xml:space="preserve">As required by the IAEA standards /NS-R-3 (2016), SSG-9 (2010)/, seismic hazard assessment (SHA) must be based on evaluation of the seismological and geological conditions in the region and the engineering geological aspects and geotechnical aspects of the proposed site area. </w:t>
      </w:r>
    </w:p>
    <w:p w:rsidR="002D327A" w:rsidRPr="002D327A" w:rsidRDefault="002D327A" w:rsidP="002D327A">
      <w:pPr>
        <w:pStyle w:val="Odstavecseseznamem"/>
      </w:pPr>
      <w:r w:rsidRPr="002D327A">
        <w:t>The choice of method for determining seismic hazard results from par. 5.1 The IAEA Standard SSG-9 (2010), which states "The ground motion hazard should preferably be evaluated by using both</w:t>
      </w:r>
      <w:r>
        <w:t xml:space="preserve"> </w:t>
      </w:r>
      <w:r w:rsidRPr="002D327A">
        <w:t>probabilistic and deterministic methods of seismic hazard analysis. When both</w:t>
      </w:r>
      <w:r>
        <w:t xml:space="preserve"> </w:t>
      </w:r>
      <w:r w:rsidRPr="002D327A">
        <w:t>deterministic and probabilistic results are obtained, deterministic assessments can</w:t>
      </w:r>
      <w:r>
        <w:t xml:space="preserve"> </w:t>
      </w:r>
      <w:r w:rsidRPr="002D327A">
        <w:t>be used as a check against probabilistic assessments in terms of the</w:t>
      </w:r>
      <w:r>
        <w:t xml:space="preserve"> </w:t>
      </w:r>
      <w:r w:rsidRPr="002D327A">
        <w:t>reasonableness of the results, particularly when small annual frequencies of</w:t>
      </w:r>
      <w:r>
        <w:t xml:space="preserve"> </w:t>
      </w:r>
      <w:r w:rsidRPr="002D327A">
        <w:t>exceedance are considered</w:t>
      </w:r>
      <w:r w:rsidR="00B25A9A">
        <w:t>.</w:t>
      </w:r>
      <w:r>
        <w:t>”</w:t>
      </w:r>
      <w:r w:rsidRPr="002D327A">
        <w:t>.</w:t>
      </w:r>
    </w:p>
    <w:p w:rsidR="002D327A" w:rsidRDefault="002D327A" w:rsidP="002D327A">
      <w:r>
        <w:rPr>
          <w:noProof/>
          <w:lang w:val="cs-CZ" w:eastAsia="cs-CZ"/>
        </w:rPr>
        <w:lastRenderedPageBreak/>
        <w:drawing>
          <wp:anchor distT="0" distB="0" distL="114300" distR="114300" simplePos="0" relativeHeight="251669504" behindDoc="0" locked="1" layoutInCell="1" allowOverlap="0" wp14:anchorId="537D238E" wp14:editId="02C9F26E">
            <wp:simplePos x="0" y="0"/>
            <wp:positionH relativeFrom="column">
              <wp:align>center</wp:align>
            </wp:positionH>
            <wp:positionV relativeFrom="paragraph">
              <wp:posOffset>0</wp:posOffset>
            </wp:positionV>
            <wp:extent cx="5400000" cy="6289200"/>
            <wp:effectExtent l="0" t="0" r="0" b="0"/>
            <wp:wrapTopAndBottom/>
            <wp:docPr id="8" name="Obrázek 8" descr="fig-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5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62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9E0" w:rsidRPr="0071160D" w:rsidRDefault="00BF7080" w:rsidP="00BF7080">
      <w:pPr>
        <w:pStyle w:val="Titulek"/>
      </w:pPr>
      <w:bookmarkStart w:id="15" w:name="_Ref535251343"/>
      <w:r w:rsidRPr="0071160D">
        <w:t xml:space="preserve">Fig.  </w:t>
      </w:r>
      <w:r>
        <w:fldChar w:fldCharType="begin"/>
      </w:r>
      <w:r w:rsidRPr="0071160D">
        <w:instrText xml:space="preserve"> SEQ Fig._ \* ARABIC </w:instrText>
      </w:r>
      <w:r>
        <w:fldChar w:fldCharType="separate"/>
      </w:r>
      <w:r w:rsidRPr="0071160D">
        <w:rPr>
          <w:noProof/>
        </w:rPr>
        <w:t>3</w:t>
      </w:r>
      <w:r>
        <w:fldChar w:fldCharType="end"/>
      </w:r>
      <w:bookmarkEnd w:id="15"/>
      <w:r w:rsidRPr="0071160D">
        <w:t>:  Seismic source zones (Fault Model).</w:t>
      </w:r>
    </w:p>
    <w:p w:rsidR="002D327A" w:rsidRPr="00B25A9A" w:rsidRDefault="00B25A9A" w:rsidP="007160EE">
      <w:pPr>
        <w:pStyle w:val="Odstavecseseznamem"/>
      </w:pPr>
      <w:r w:rsidRPr="00B25A9A">
        <w:t>At present, a probable approach is preferred in a number of countries.</w:t>
      </w:r>
      <w:r w:rsidR="007160EE">
        <w:t xml:space="preserve"> A</w:t>
      </w:r>
      <w:r w:rsidR="002D327A" w:rsidRPr="00B25A9A">
        <w:t xml:space="preserve"> typical output from SHA should contain:</w:t>
      </w:r>
    </w:p>
    <w:p w:rsidR="002D327A" w:rsidRDefault="002D327A" w:rsidP="002D327A">
      <w:pPr>
        <w:pStyle w:val="Odstavecseseznamem"/>
        <w:numPr>
          <w:ilvl w:val="0"/>
          <w:numId w:val="7"/>
        </w:numPr>
        <w:spacing w:after="0"/>
        <w:ind w:left="714" w:hanging="357"/>
      </w:pPr>
      <w:r>
        <w:t>Mean and fractile (</w:t>
      </w:r>
      <w:r w:rsidRPr="00C32FC1">
        <w:t>0.05, 0.16,</w:t>
      </w:r>
      <w:r>
        <w:t xml:space="preserve"> </w:t>
      </w:r>
      <w:r w:rsidRPr="00C32FC1">
        <w:t>0.50, 0.84 and 0.95</w:t>
      </w:r>
      <w:r>
        <w:t>) hazard curves;</w:t>
      </w:r>
    </w:p>
    <w:p w:rsidR="002D327A" w:rsidRDefault="002D327A" w:rsidP="007160EE">
      <w:pPr>
        <w:pStyle w:val="Odstavecseseznamem"/>
        <w:numPr>
          <w:ilvl w:val="0"/>
          <w:numId w:val="7"/>
        </w:numPr>
        <w:spacing w:after="0"/>
        <w:ind w:left="714" w:hanging="357"/>
      </w:pPr>
      <w:r w:rsidRPr="00C32FC1">
        <w:t>Mean and fractile uniform hazard response spectra</w:t>
      </w:r>
      <w:r>
        <w:t xml:space="preserve"> </w:t>
      </w:r>
      <w:r w:rsidRPr="00C32FC1">
        <w:t>for annual frequencies of</w:t>
      </w:r>
      <w:r>
        <w:t xml:space="preserve"> </w:t>
      </w:r>
      <w:r w:rsidRPr="00C32FC1">
        <w:t>exceedance of 10</w:t>
      </w:r>
      <w:r w:rsidRPr="00C32FC1">
        <w:rPr>
          <w:vertAlign w:val="superscript"/>
        </w:rPr>
        <w:t>−2</w:t>
      </w:r>
      <w:r w:rsidRPr="00C32FC1">
        <w:t>, 10</w:t>
      </w:r>
      <w:r w:rsidRPr="00C32FC1">
        <w:rPr>
          <w:vertAlign w:val="superscript"/>
        </w:rPr>
        <w:t>−3</w:t>
      </w:r>
      <w:r w:rsidRPr="00C32FC1">
        <w:t>, 10</w:t>
      </w:r>
      <w:r w:rsidRPr="00C32FC1">
        <w:rPr>
          <w:vertAlign w:val="superscript"/>
        </w:rPr>
        <w:t>−4</w:t>
      </w:r>
      <w:r w:rsidRPr="00C32FC1">
        <w:t>, 10</w:t>
      </w:r>
      <w:r w:rsidRPr="00C32FC1">
        <w:rPr>
          <w:vertAlign w:val="superscript"/>
        </w:rPr>
        <w:t>−5</w:t>
      </w:r>
      <w:r w:rsidRPr="00C32FC1">
        <w:t xml:space="preserve"> and</w:t>
      </w:r>
      <w:r>
        <w:t xml:space="preserve"> </w:t>
      </w:r>
      <w:r w:rsidRPr="00C32FC1">
        <w:t>10</w:t>
      </w:r>
      <w:r w:rsidRPr="00C32FC1">
        <w:rPr>
          <w:vertAlign w:val="superscript"/>
        </w:rPr>
        <w:t>−6</w:t>
      </w:r>
      <w:r w:rsidRPr="00C32FC1">
        <w:t xml:space="preserve"> and for fractile levels of 0.05, 0.16,</w:t>
      </w:r>
      <w:r>
        <w:t xml:space="preserve"> </w:t>
      </w:r>
      <w:r w:rsidRPr="00C32FC1">
        <w:t xml:space="preserve">0.50, </w:t>
      </w:r>
      <w:r>
        <w:t xml:space="preserve">mean, </w:t>
      </w:r>
      <w:r w:rsidRPr="00C32FC1">
        <w:t>0.84 and 0.95</w:t>
      </w:r>
      <w:r>
        <w:t>;</w:t>
      </w:r>
    </w:p>
    <w:p w:rsidR="007160EE" w:rsidRDefault="007160EE" w:rsidP="007160EE">
      <w:pPr>
        <w:pStyle w:val="Odstavecseseznamem"/>
        <w:numPr>
          <w:ilvl w:val="0"/>
          <w:numId w:val="7"/>
        </w:numPr>
        <w:spacing w:after="0"/>
        <w:ind w:left="714" w:hanging="357"/>
      </w:pPr>
      <w:r>
        <w:lastRenderedPageBreak/>
        <w:t>Treatment of uncertainties;</w:t>
      </w:r>
    </w:p>
    <w:p w:rsidR="002D327A" w:rsidRDefault="002D327A" w:rsidP="007160EE">
      <w:pPr>
        <w:pStyle w:val="Odstavecseseznamem"/>
        <w:numPr>
          <w:ilvl w:val="0"/>
          <w:numId w:val="7"/>
        </w:numPr>
        <w:spacing w:after="0"/>
        <w:ind w:left="714" w:hanging="357"/>
      </w:pPr>
      <w:r>
        <w:t>S</w:t>
      </w:r>
      <w:r w:rsidRPr="00C32FC1">
        <w:t>eismic source deaggregation</w:t>
      </w:r>
      <w:r>
        <w:t>;</w:t>
      </w:r>
    </w:p>
    <w:p w:rsidR="002D327A" w:rsidRDefault="002D327A" w:rsidP="007160EE">
      <w:pPr>
        <w:pStyle w:val="Odstavecseseznamem"/>
        <w:numPr>
          <w:ilvl w:val="0"/>
          <w:numId w:val="7"/>
        </w:numPr>
        <w:spacing w:after="0"/>
        <w:ind w:left="714" w:hanging="357"/>
      </w:pPr>
      <w:r>
        <w:t xml:space="preserve">Time histories; </w:t>
      </w:r>
    </w:p>
    <w:p w:rsidR="008249E0" w:rsidRDefault="002D327A" w:rsidP="007160EE">
      <w:pPr>
        <w:pStyle w:val="Odstavecseseznamem"/>
        <w:numPr>
          <w:ilvl w:val="0"/>
          <w:numId w:val="7"/>
        </w:numPr>
        <w:ind w:left="714" w:hanging="357"/>
      </w:pPr>
      <w:r>
        <w:t>Local conditions.</w:t>
      </w:r>
    </w:p>
    <w:p w:rsidR="007160EE" w:rsidRDefault="007160EE" w:rsidP="007160EE">
      <w:pPr>
        <w:pStyle w:val="Odstavecseseznamem"/>
      </w:pPr>
      <w:r w:rsidRPr="007160EE">
        <w:t>As mentioned above, three approaches were used to determine DBE</w:t>
      </w:r>
      <w:r>
        <w:t xml:space="preserve">: </w:t>
      </w:r>
      <w:r w:rsidRPr="00201FA8">
        <w:t>macroseismic, deterministic and probabili</w:t>
      </w:r>
      <w:r>
        <w:t xml:space="preserve">stic (See report </w:t>
      </w:r>
      <w:r w:rsidRPr="00142D17">
        <w:t>49.BU.1</w:t>
      </w:r>
      <w:r>
        <w:t> </w:t>
      </w:r>
      <w:r w:rsidRPr="00142D17">
        <w:t>0.0.ОО.FSAR.</w:t>
      </w:r>
      <w:r>
        <w:t xml:space="preserve"> </w:t>
      </w:r>
      <w:r w:rsidRPr="00142D17">
        <w:t>RDR001</w:t>
      </w:r>
      <w:r>
        <w:t xml:space="preserve">, </w:t>
      </w:r>
      <w:r w:rsidRPr="00142D17">
        <w:t>Moscow, 2011</w:t>
      </w:r>
      <w:r>
        <w:t xml:space="preserve"> / Table 2.5.2.6-6)</w:t>
      </w:r>
      <w:r w:rsidRPr="00201FA8">
        <w:t>.</w:t>
      </w:r>
      <w:r>
        <w:t xml:space="preserve"> See </w:t>
      </w:r>
      <w:r>
        <w:fldChar w:fldCharType="begin"/>
      </w:r>
      <w:r>
        <w:instrText xml:space="preserve"> REF _Ref535337562 \h </w:instrText>
      </w:r>
      <w:r>
        <w:fldChar w:fldCharType="separate"/>
      </w:r>
      <w:r>
        <w:t xml:space="preserve">Table </w:t>
      </w:r>
      <w:r>
        <w:rPr>
          <w:noProof/>
        </w:rPr>
        <w:t>4</w:t>
      </w:r>
      <w:r>
        <w:fldChar w:fldCharType="end"/>
      </w:r>
      <w:r>
        <w:t>.</w:t>
      </w:r>
    </w:p>
    <w:p w:rsidR="007160EE" w:rsidRPr="007160EE" w:rsidRDefault="007160EE" w:rsidP="007160EE">
      <w:pPr>
        <w:pStyle w:val="Titulek"/>
      </w:pPr>
      <w:bookmarkStart w:id="16" w:name="_Ref535337562"/>
      <w:r w:rsidRPr="007160EE">
        <w:t xml:space="preserve">Table </w:t>
      </w:r>
      <w:r w:rsidR="008B69A8">
        <w:fldChar w:fldCharType="begin"/>
      </w:r>
      <w:r w:rsidR="008B69A8">
        <w:instrText xml:space="preserve"> SEQ Table \* ARABIC </w:instrText>
      </w:r>
      <w:r w:rsidR="008B69A8">
        <w:fldChar w:fldCharType="separate"/>
      </w:r>
      <w:r w:rsidRPr="007160EE">
        <w:t>4</w:t>
      </w:r>
      <w:r w:rsidR="008B69A8">
        <w:fldChar w:fldCharType="end"/>
      </w:r>
      <w:bookmarkEnd w:id="16"/>
      <w:r w:rsidRPr="007160EE">
        <w:t>: SL-2 values determined using different approaches</w:t>
      </w:r>
      <w:r>
        <w:t>.</w:t>
      </w:r>
    </w:p>
    <w:tbl>
      <w:tblPr>
        <w:tblW w:w="0" w:type="auto"/>
        <w:jc w:val="center"/>
        <w:tblLayout w:type="fixed"/>
        <w:tblCellMar>
          <w:left w:w="107" w:type="dxa"/>
          <w:right w:w="107" w:type="dxa"/>
        </w:tblCellMar>
        <w:tblLook w:val="0000" w:firstRow="0" w:lastRow="0" w:firstColumn="0" w:lastColumn="0" w:noHBand="0" w:noVBand="0"/>
      </w:tblPr>
      <w:tblGrid>
        <w:gridCol w:w="2793"/>
        <w:gridCol w:w="1995"/>
        <w:gridCol w:w="1995"/>
      </w:tblGrid>
      <w:tr w:rsidR="007160EE" w:rsidTr="005D1643">
        <w:trPr>
          <w:trHeight w:val="227"/>
          <w:jc w:val="center"/>
        </w:trPr>
        <w:tc>
          <w:tcPr>
            <w:tcW w:w="27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160EE" w:rsidRPr="007C6E61" w:rsidRDefault="007160EE" w:rsidP="005D1643">
            <w:pPr>
              <w:rPr>
                <w:color w:val="000000"/>
                <w:sz w:val="22"/>
                <w:szCs w:val="22"/>
              </w:rPr>
            </w:pPr>
            <w:r w:rsidRPr="007C6E61">
              <w:rPr>
                <w:color w:val="000000"/>
                <w:sz w:val="22"/>
                <w:szCs w:val="22"/>
              </w:rPr>
              <w:t>Method</w:t>
            </w:r>
          </w:p>
        </w:tc>
        <w:tc>
          <w:tcPr>
            <w:tcW w:w="19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160EE" w:rsidRPr="007C6E61" w:rsidRDefault="007160EE" w:rsidP="005D1643">
            <w:pPr>
              <w:rPr>
                <w:color w:val="000000"/>
                <w:sz w:val="22"/>
                <w:szCs w:val="22"/>
              </w:rPr>
            </w:pPr>
            <w:r w:rsidRPr="007C6E61">
              <w:rPr>
                <w:color w:val="000000"/>
                <w:sz w:val="22"/>
                <w:szCs w:val="22"/>
              </w:rPr>
              <w:t xml:space="preserve">PGHA, </w:t>
            </w:r>
            <w:r w:rsidRPr="007C6E61">
              <w:rPr>
                <w:i/>
                <w:color w:val="000000"/>
                <w:sz w:val="22"/>
                <w:szCs w:val="22"/>
              </w:rPr>
              <w:t>g</w:t>
            </w:r>
          </w:p>
        </w:tc>
        <w:tc>
          <w:tcPr>
            <w:tcW w:w="19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160EE" w:rsidRPr="007C6E61" w:rsidRDefault="007160EE" w:rsidP="005D1643">
            <w:pPr>
              <w:rPr>
                <w:color w:val="000000"/>
                <w:sz w:val="22"/>
                <w:szCs w:val="22"/>
              </w:rPr>
            </w:pPr>
            <w:r w:rsidRPr="007C6E61">
              <w:rPr>
                <w:color w:val="000000"/>
                <w:sz w:val="22"/>
                <w:szCs w:val="22"/>
              </w:rPr>
              <w:t xml:space="preserve">PGVA, </w:t>
            </w:r>
            <w:r w:rsidRPr="007C6E61">
              <w:rPr>
                <w:i/>
                <w:color w:val="000000"/>
                <w:sz w:val="22"/>
                <w:szCs w:val="22"/>
              </w:rPr>
              <w:t>g</w:t>
            </w:r>
          </w:p>
        </w:tc>
      </w:tr>
      <w:tr w:rsidR="007160EE" w:rsidTr="005D1643">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Macroseismic</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0.22</w:t>
            </w:r>
          </w:p>
        </w:tc>
      </w:tr>
      <w:tr w:rsidR="007160EE" w:rsidTr="005D1643">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Deterministic (DSHA)</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0.22</w:t>
            </w:r>
          </w:p>
        </w:tc>
      </w:tr>
      <w:tr w:rsidR="007160EE" w:rsidTr="005D1643">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Probabilistic (PSHA)</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0.20</w:t>
            </w:r>
          </w:p>
        </w:tc>
      </w:tr>
      <w:tr w:rsidR="007160EE" w:rsidTr="005D1643">
        <w:trPr>
          <w:trHeight w:val="227"/>
          <w:jc w:val="center"/>
        </w:trPr>
        <w:tc>
          <w:tcPr>
            <w:tcW w:w="2793"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Mean rounded</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0.40</w:t>
            </w:r>
          </w:p>
        </w:tc>
        <w:tc>
          <w:tcPr>
            <w:tcW w:w="1995" w:type="dxa"/>
            <w:tcBorders>
              <w:top w:val="single" w:sz="6" w:space="0" w:color="auto"/>
              <w:left w:val="single" w:sz="6" w:space="0" w:color="auto"/>
              <w:bottom w:val="single" w:sz="6" w:space="0" w:color="auto"/>
              <w:right w:val="single" w:sz="6" w:space="0" w:color="auto"/>
            </w:tcBorders>
          </w:tcPr>
          <w:p w:rsidR="007160EE" w:rsidRPr="007C6E61" w:rsidRDefault="007160EE" w:rsidP="005D1643">
            <w:pPr>
              <w:rPr>
                <w:color w:val="000000"/>
                <w:sz w:val="22"/>
                <w:szCs w:val="22"/>
              </w:rPr>
            </w:pPr>
            <w:r w:rsidRPr="007C6E61">
              <w:rPr>
                <w:color w:val="000000"/>
                <w:sz w:val="22"/>
                <w:szCs w:val="22"/>
              </w:rPr>
              <w:t>0.22</w:t>
            </w:r>
          </w:p>
        </w:tc>
      </w:tr>
    </w:tbl>
    <w:p w:rsidR="007160EE" w:rsidRDefault="007160EE" w:rsidP="007160EE">
      <w:pPr>
        <w:pStyle w:val="Odstavecseseznamem"/>
      </w:pPr>
    </w:p>
    <w:p w:rsidR="007160EE" w:rsidRPr="00CD3C67" w:rsidRDefault="007160EE" w:rsidP="00CD3C67">
      <w:pPr>
        <w:pStyle w:val="Odstavecseseznamem"/>
      </w:pPr>
      <w:r w:rsidRPr="00CD3C67">
        <w:t>The fact that 3 different approaches have been used has to be assessed positively.</w:t>
      </w:r>
      <w:r w:rsidR="00CD3C67" w:rsidRPr="00CD3C67">
        <w:t xml:space="preserve"> However, it is strange that the same (almost equal) value was determined by all methods.</w:t>
      </w:r>
    </w:p>
    <w:p w:rsidR="00C32FC1" w:rsidRPr="00E02439" w:rsidRDefault="00C32FC1" w:rsidP="00185617">
      <w:pPr>
        <w:pStyle w:val="Nadpis-tun"/>
      </w:pPr>
      <w:r>
        <w:t>Hazard curves and levels of ground motion hazard</w:t>
      </w:r>
    </w:p>
    <w:p w:rsidR="00AA689B" w:rsidRPr="000B4FB0" w:rsidRDefault="00A546FA" w:rsidP="00AA689B">
      <w:pPr>
        <w:pStyle w:val="Odstavecseseznamem"/>
      </w:pPr>
      <w:r>
        <w:t>In accordance with the recommendation of par.</w:t>
      </w:r>
      <w:r>
        <w:rPr>
          <w:rFonts w:ascii="Arial" w:hAnsi="Arial" w:cs="Arial"/>
        </w:rPr>
        <w:t xml:space="preserve"> </w:t>
      </w:r>
      <w:r>
        <w:t>9.1 IAEA Standard SSG-9</w:t>
      </w:r>
      <w:r w:rsidR="00275490">
        <w:t xml:space="preserve"> (2010)</w:t>
      </w:r>
      <w:r>
        <w:t>, two levels of ground motion hazard, here named SSE and DBE, are defined as earthquake design basis for the Bushehr NPP.</w:t>
      </w:r>
      <w:r w:rsidR="00AA689B">
        <w:t xml:space="preserve"> </w:t>
      </w:r>
      <w:r w:rsidR="005475E2">
        <w:t>These v</w:t>
      </w:r>
      <w:r w:rsidR="005F11A8" w:rsidRPr="005F11A8">
        <w:t>alues were determined using PSHA</w:t>
      </w:r>
      <w:r w:rsidR="000B4FB0">
        <w:t xml:space="preserve"> </w:t>
      </w:r>
      <w:r w:rsidR="005475E2">
        <w:t xml:space="preserve">method </w:t>
      </w:r>
      <w:r w:rsidR="000B4FB0">
        <w:t xml:space="preserve">– See Report </w:t>
      </w:r>
      <w:r w:rsidR="000B4FB0" w:rsidRPr="000B4FB0">
        <w:t>18.BU.1 0.0.OO.VAB.PR</w:t>
      </w:r>
      <w:r w:rsidR="000B4FB0">
        <w:t xml:space="preserve"> (Moscow, 2009).</w:t>
      </w:r>
    </w:p>
    <w:p w:rsidR="00AA689B" w:rsidRPr="00C411BD" w:rsidRDefault="00AA689B" w:rsidP="00AA689B">
      <w:r w:rsidRPr="00C411BD">
        <w:t xml:space="preserve">For the level of </w:t>
      </w:r>
      <w:r>
        <w:t>Maximum Design (Safe Shutdown)</w:t>
      </w:r>
      <w:r w:rsidRPr="00C411BD">
        <w:t xml:space="preserve"> Earthquake (</w:t>
      </w:r>
      <w:r>
        <w:t>SS</w:t>
      </w:r>
      <w:r w:rsidRPr="00C411BD">
        <w:t>E):</w:t>
      </w:r>
    </w:p>
    <w:p w:rsidR="00AA689B" w:rsidRPr="00C411BD" w:rsidRDefault="00AA689B" w:rsidP="00AA689B">
      <w:pPr>
        <w:ind w:firstLine="720"/>
      </w:pPr>
      <w:r w:rsidRPr="00C411BD">
        <w:t>0.4 g – in horizontal direction</w:t>
      </w:r>
      <w:r>
        <w:t>, resp.</w:t>
      </w:r>
    </w:p>
    <w:p w:rsidR="00AA689B" w:rsidRPr="00C411BD" w:rsidRDefault="00AA689B" w:rsidP="00AA689B">
      <w:pPr>
        <w:pStyle w:val="Odstavecseseznamem"/>
        <w:ind w:firstLine="720"/>
      </w:pPr>
      <w:r w:rsidRPr="00C411BD">
        <w:t>0.26 g – in vertical direction.</w:t>
      </w:r>
    </w:p>
    <w:p w:rsidR="00AA689B" w:rsidRPr="00C411BD" w:rsidRDefault="00AA689B" w:rsidP="00AA689B">
      <w:r w:rsidRPr="00C411BD">
        <w:t xml:space="preserve">For the level of </w:t>
      </w:r>
      <w:r>
        <w:t>Design Basis Earthquake</w:t>
      </w:r>
      <w:r w:rsidRPr="00C411BD">
        <w:t xml:space="preserve"> (</w:t>
      </w:r>
      <w:r>
        <w:t>DBE</w:t>
      </w:r>
      <w:r w:rsidRPr="00C411BD">
        <w:t>):</w:t>
      </w:r>
    </w:p>
    <w:p w:rsidR="00AA689B" w:rsidRPr="00C411BD" w:rsidRDefault="00AA689B" w:rsidP="00AA689B">
      <w:pPr>
        <w:ind w:firstLine="720"/>
      </w:pPr>
      <w:r w:rsidRPr="00C411BD">
        <w:t>0.2 g – n horizontal direction</w:t>
      </w:r>
      <w:r>
        <w:t>, resp.</w:t>
      </w:r>
    </w:p>
    <w:p w:rsidR="00AA689B" w:rsidRPr="00C411BD" w:rsidRDefault="00AA689B" w:rsidP="00FA23F3">
      <w:pPr>
        <w:spacing w:after="120"/>
        <w:ind w:firstLine="720"/>
      </w:pPr>
      <w:r w:rsidRPr="00C411BD">
        <w:t>0.1 g – in vertical direction.</w:t>
      </w:r>
    </w:p>
    <w:p w:rsidR="005F11A8" w:rsidRDefault="00F23E59" w:rsidP="00FA23F3">
      <w:pPr>
        <w:pStyle w:val="Odstavecseseznamem"/>
      </w:pPr>
      <w:r w:rsidRPr="00F23E59">
        <w:t xml:space="preserve">The values were determined for </w:t>
      </w:r>
      <w:r w:rsidR="00FA23F3" w:rsidRPr="00FA23F3">
        <w:t>probability of being exceeded</w:t>
      </w:r>
      <w:r>
        <w:t xml:space="preserve"> </w:t>
      </w:r>
      <w:r w:rsidR="00FA23F3" w:rsidRPr="00FA23F3">
        <w:t xml:space="preserve">of 1 </w:t>
      </w:r>
      <w:r>
        <w:t>x</w:t>
      </w:r>
      <w:r w:rsidR="00FA23F3" w:rsidRPr="00FA23F3">
        <w:t xml:space="preserve"> 10</w:t>
      </w:r>
      <w:r>
        <w:rPr>
          <w:vertAlign w:val="superscript"/>
        </w:rPr>
        <w:t>-</w:t>
      </w:r>
      <w:r w:rsidR="00FA23F3" w:rsidRPr="00F23E59">
        <w:rPr>
          <w:vertAlign w:val="superscript"/>
        </w:rPr>
        <w:t>2</w:t>
      </w:r>
      <w:r>
        <w:t xml:space="preserve"> (DBE value), resp. </w:t>
      </w:r>
      <w:r w:rsidRPr="00FA23F3">
        <w:t xml:space="preserve">1 </w:t>
      </w:r>
      <w:r>
        <w:t>x</w:t>
      </w:r>
      <w:r w:rsidRPr="00FA23F3">
        <w:t xml:space="preserve"> 10</w:t>
      </w:r>
      <w:r>
        <w:rPr>
          <w:vertAlign w:val="superscript"/>
        </w:rPr>
        <w:t>-4</w:t>
      </w:r>
      <w:r>
        <w:t xml:space="preserve"> (DBE value). </w:t>
      </w:r>
    </w:p>
    <w:p w:rsidR="00F23E59" w:rsidRDefault="005F11A8" w:rsidP="00FA23F3">
      <w:pPr>
        <w:pStyle w:val="Odstavecseseznamem"/>
        <w:rPr>
          <w:i/>
        </w:rPr>
      </w:pPr>
      <w:r w:rsidRPr="005F11A8">
        <w:rPr>
          <w:i/>
        </w:rPr>
        <w:t xml:space="preserve">Note: </w:t>
      </w:r>
      <w:r w:rsidR="00FA23F3" w:rsidRPr="005F11A8">
        <w:rPr>
          <w:i/>
        </w:rPr>
        <w:t>These values represent a conservative estimate of both levels since they were derived from the 84</w:t>
      </w:r>
      <w:r w:rsidR="00FA23F3" w:rsidRPr="005F11A8">
        <w:rPr>
          <w:i/>
          <w:vertAlign w:val="superscript"/>
        </w:rPr>
        <w:t>th</w:t>
      </w:r>
      <w:r w:rsidR="00FA23F3" w:rsidRPr="005F11A8">
        <w:rPr>
          <w:i/>
        </w:rPr>
        <w:t xml:space="preserve"> fractile hazard curve, as shown by the report 18.BU.1 0.0.OO.VAB.PR. </w:t>
      </w:r>
      <w:r w:rsidR="00F23E59" w:rsidRPr="005F11A8">
        <w:rPr>
          <w:i/>
        </w:rPr>
        <w:t>In many countries, 50</w:t>
      </w:r>
      <w:r w:rsidR="00F23E59" w:rsidRPr="005F11A8">
        <w:rPr>
          <w:i/>
          <w:vertAlign w:val="superscript"/>
        </w:rPr>
        <w:t>th</w:t>
      </w:r>
      <w:r w:rsidR="00F23E59" w:rsidRPr="005F11A8">
        <w:rPr>
          <w:i/>
        </w:rPr>
        <w:t xml:space="preserve"> (median) fractile or mean value is used</w:t>
      </w:r>
      <w:r w:rsidR="000B4FB0">
        <w:rPr>
          <w:i/>
        </w:rPr>
        <w:t xml:space="preserve"> (See IAEA Standard NS-G-1.6, par. 2.3)</w:t>
      </w:r>
      <w:r w:rsidR="00F23E59" w:rsidRPr="005F11A8">
        <w:rPr>
          <w:i/>
        </w:rPr>
        <w:t xml:space="preserve">, depending on the requirements of the regulatory body. </w:t>
      </w:r>
    </w:p>
    <w:p w:rsidR="005475E2" w:rsidRPr="003C2DD9" w:rsidRDefault="005475E2" w:rsidP="003C2DD9">
      <w:pPr>
        <w:pStyle w:val="Odstavecseseznamem"/>
      </w:pPr>
      <w:r w:rsidRPr="005475E2">
        <w:t xml:space="preserve">As can be seen from the text of the report 18.BU.1 0.0.OO.VAB.PR (Moscow, 2009), PSHA was performed in a standard way, including </w:t>
      </w:r>
      <w:r w:rsidR="004578BE">
        <w:t>dealing with uncertainties</w:t>
      </w:r>
      <w:r w:rsidRPr="005475E2">
        <w:t>.</w:t>
      </w:r>
      <w:r w:rsidR="004578BE">
        <w:t xml:space="preserve"> </w:t>
      </w:r>
      <w:r w:rsidR="004578BE" w:rsidRPr="004578BE">
        <w:t>Work would benefit if curves were presented in the usual way</w:t>
      </w:r>
      <w:r w:rsidR="004578BE">
        <w:t xml:space="preserve">, i.e. curves for mean and </w:t>
      </w:r>
      <w:r w:rsidR="004578BE" w:rsidRPr="00C32FC1">
        <w:t>0.05, 0.16,</w:t>
      </w:r>
      <w:r w:rsidR="004578BE">
        <w:t xml:space="preserve"> </w:t>
      </w:r>
      <w:r w:rsidR="004578BE" w:rsidRPr="00C32FC1">
        <w:t>0.50, 0.84 and 0.95</w:t>
      </w:r>
      <w:r w:rsidR="004578BE" w:rsidRPr="004578BE">
        <w:t xml:space="preserve"> </w:t>
      </w:r>
      <w:r w:rsidR="004578BE">
        <w:t>fractiles.</w:t>
      </w:r>
      <w:r w:rsidR="003C2DD9">
        <w:t xml:space="preserve"> </w:t>
      </w:r>
      <w:r w:rsidR="003C2DD9" w:rsidRPr="003C2DD9">
        <w:t xml:space="preserve">Then there would be a clear degree of epistemic uncertainty </w:t>
      </w:r>
      <w:r w:rsidR="00AF19B6">
        <w:t>in</w:t>
      </w:r>
      <w:r w:rsidR="003C2DD9" w:rsidRPr="003C2DD9">
        <w:t xml:space="preserve"> the </w:t>
      </w:r>
      <w:r w:rsidR="00AF19B6">
        <w:t xml:space="preserve">seismic hazard </w:t>
      </w:r>
      <w:r w:rsidR="003C2DD9" w:rsidRPr="003C2DD9">
        <w:t>analysis</w:t>
      </w:r>
      <w:r w:rsidR="00AF19B6">
        <w:t>.</w:t>
      </w:r>
    </w:p>
    <w:p w:rsidR="003B6E8E" w:rsidRDefault="003B6E8E" w:rsidP="0097000B">
      <w:pPr>
        <w:pStyle w:val="Nadpis-tun"/>
      </w:pPr>
      <w:r>
        <w:lastRenderedPageBreak/>
        <w:t>R</w:t>
      </w:r>
      <w:r w:rsidR="00927812" w:rsidRPr="00C32FC1">
        <w:t>esponse spectra</w:t>
      </w:r>
    </w:p>
    <w:p w:rsidR="007B630B" w:rsidRDefault="0072115C" w:rsidP="003B6E8E">
      <w:pPr>
        <w:pStyle w:val="Odstavecseseznamem"/>
      </w:pPr>
      <w:r w:rsidRPr="0072115C">
        <w:t xml:space="preserve">FSAR and other documents show that the response of Bushehr's site to seismic </w:t>
      </w:r>
      <w:r w:rsidR="003A6359">
        <w:t>load</w:t>
      </w:r>
      <w:r w:rsidRPr="0072115C">
        <w:t xml:space="preserve"> was also evaluated</w:t>
      </w:r>
      <w:r w:rsidR="003A6359">
        <w:t xml:space="preserve"> (See report </w:t>
      </w:r>
      <w:r w:rsidR="007B630B" w:rsidRPr="007B630B">
        <w:t>49.BU.1 0.0..FSAR.RDR001</w:t>
      </w:r>
      <w:r w:rsidR="003A6359">
        <w:t>, Moscow, 2011, B</w:t>
      </w:r>
      <w:r w:rsidR="007B630B" w:rsidRPr="007B630B">
        <w:t>ook2</w:t>
      </w:r>
      <w:r w:rsidR="003A6359">
        <w:t xml:space="preserve">, p. </w:t>
      </w:r>
      <w:r w:rsidR="007B630B">
        <w:t>127</w:t>
      </w:r>
      <w:r w:rsidR="003A6359">
        <w:t xml:space="preserve"> -). </w:t>
      </w:r>
    </w:p>
    <w:p w:rsidR="003A6359" w:rsidRDefault="003A6359" w:rsidP="003B6E8E">
      <w:pPr>
        <w:pStyle w:val="Odstavecseseznamem"/>
        <w:rPr>
          <w:color w:val="000000"/>
        </w:rPr>
      </w:pPr>
      <w:r>
        <w:rPr>
          <w:color w:val="000000"/>
        </w:rPr>
        <w:t xml:space="preserve">The response spectra were developed using two methods, standard and so called “site specific”, </w:t>
      </w:r>
      <w:r w:rsidRPr="003A6359">
        <w:rPr>
          <w:color w:val="000000"/>
        </w:rPr>
        <w:t>as recommended at the time the valid standard IAEA NS-G-3.3 (par. 5.9).</w:t>
      </w:r>
      <w:r>
        <w:rPr>
          <w:color w:val="000000"/>
        </w:rPr>
        <w:t xml:space="preserve"> For the construction of the response spectra with different damping (2, 5, 7, 10 and 20</w:t>
      </w:r>
      <w:r w:rsidRPr="00943758">
        <w:rPr>
          <w:color w:val="000000"/>
        </w:rPr>
        <w:t> </w:t>
      </w:r>
      <w:r>
        <w:rPr>
          <w:color w:val="000000"/>
        </w:rPr>
        <w:t xml:space="preserve">%), empirical relations between the maximum level of response spectrum and maximum ground acceleration were used. </w:t>
      </w:r>
      <w:r w:rsidR="0073513E">
        <w:rPr>
          <w:color w:val="000000"/>
        </w:rPr>
        <w:t xml:space="preserve">“Site specific” spectra were developed for for Delvar-Ahram, Delvar-Mand Borazjan-Kazerun II seismic zones in the epicentral distances 8, 16  and 36 km from the site. </w:t>
      </w:r>
    </w:p>
    <w:p w:rsidR="0073513E" w:rsidRDefault="0073513E" w:rsidP="003B6E8E">
      <w:pPr>
        <w:pStyle w:val="Odstavecseseznamem"/>
        <w:rPr>
          <w:color w:val="000000"/>
        </w:rPr>
      </w:pPr>
      <w:r>
        <w:rPr>
          <w:color w:val="000000"/>
        </w:rPr>
        <w:t xml:space="preserve">In </w:t>
      </w:r>
      <w:r w:rsidR="007C6E61">
        <w:rPr>
          <w:color w:val="000000"/>
        </w:rPr>
        <w:fldChar w:fldCharType="begin"/>
      </w:r>
      <w:r w:rsidR="007C6E61">
        <w:rPr>
          <w:color w:val="000000"/>
        </w:rPr>
        <w:instrText xml:space="preserve"> REF _Ref534979422 \h </w:instrText>
      </w:r>
      <w:r w:rsidR="007C6E61">
        <w:rPr>
          <w:color w:val="000000"/>
        </w:rPr>
      </w:r>
      <w:r w:rsidR="007C6E61">
        <w:rPr>
          <w:color w:val="000000"/>
        </w:rPr>
        <w:fldChar w:fldCharType="separate"/>
      </w:r>
      <w:r w:rsidR="00185617">
        <w:t xml:space="preserve">Fig.  </w:t>
      </w:r>
      <w:r w:rsidR="00185617">
        <w:rPr>
          <w:noProof/>
        </w:rPr>
        <w:t>2</w:t>
      </w:r>
      <w:r w:rsidR="007C6E61">
        <w:rPr>
          <w:color w:val="000000"/>
        </w:rPr>
        <w:fldChar w:fldCharType="end"/>
      </w:r>
      <w:r>
        <w:rPr>
          <w:color w:val="000000"/>
        </w:rPr>
        <w:t xml:space="preserve"> below is shown the comparison of expected spectra calculated using the standard and “site specific” methods. As it could be observed from these figures, results obtained using different methods are in a good agreement with each other.</w:t>
      </w:r>
    </w:p>
    <w:p w:rsidR="0011142C" w:rsidRPr="0011142C" w:rsidRDefault="0011142C" w:rsidP="0011142C">
      <w:pPr>
        <w:pStyle w:val="Odstavecseseznamem"/>
      </w:pPr>
      <w:r w:rsidRPr="0011142C">
        <w:t>At present, a uniform hazard response spectrum</w:t>
      </w:r>
      <w:r>
        <w:t xml:space="preserve"> (</w:t>
      </w:r>
      <w:r w:rsidRPr="0011142C">
        <w:t>UHRS</w:t>
      </w:r>
      <w:r>
        <w:t>)</w:t>
      </w:r>
      <w:r w:rsidRPr="0011142C">
        <w:t xml:space="preserve"> is used to analyze the seismic response</w:t>
      </w:r>
      <w:r>
        <w:t xml:space="preserve"> (See IAEA standard SSG-9, 2010, par. 9.4). </w:t>
      </w:r>
      <w:r w:rsidRPr="0011142C">
        <w:t>UHRS is developed by</w:t>
      </w:r>
      <w:r>
        <w:t xml:space="preserve"> </w:t>
      </w:r>
      <w:r w:rsidRPr="0011142C">
        <w:t>selecting the values of the response spectral ordinates that correspond to the</w:t>
      </w:r>
      <w:r>
        <w:t xml:space="preserve"> </w:t>
      </w:r>
      <w:r w:rsidRPr="0011142C">
        <w:t>annual frequencies of exceedance of interest from the seismic hazard curves.</w:t>
      </w:r>
      <w:r>
        <w:t xml:space="preserve"> </w:t>
      </w:r>
      <w:r w:rsidR="006F32C2" w:rsidRPr="006F32C2">
        <w:t>And it is possible to use the data from</w:t>
      </w:r>
      <w:r w:rsidR="006F32C2">
        <w:t xml:space="preserve"> </w:t>
      </w:r>
      <w:r w:rsidR="006F32C2" w:rsidRPr="006F32C2">
        <w:t>Next Generation Attenuation (NGA) Models.</w:t>
      </w:r>
    </w:p>
    <w:p w:rsidR="00951E64" w:rsidRDefault="00951E64" w:rsidP="00951E64">
      <w:r>
        <w:rPr>
          <w:noProof/>
          <w:sz w:val="22"/>
          <w:lang w:val="cs-CZ" w:eastAsia="cs-CZ"/>
        </w:rPr>
        <w:drawing>
          <wp:anchor distT="0" distB="0" distL="114300" distR="114300" simplePos="0" relativeHeight="251661312" behindDoc="0" locked="1" layoutInCell="0" allowOverlap="0" wp14:anchorId="77F1CA73" wp14:editId="005BC41A">
            <wp:simplePos x="0" y="0"/>
            <wp:positionH relativeFrom="column">
              <wp:align>center</wp:align>
            </wp:positionH>
            <wp:positionV relativeFrom="paragraph">
              <wp:posOffset>0</wp:posOffset>
            </wp:positionV>
            <wp:extent cx="2880000" cy="2804339"/>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80000" cy="2804339"/>
                    </a:xfrm>
                    <a:prstGeom prst="rect">
                      <a:avLst/>
                    </a:prstGeom>
                    <a:noFill/>
                  </pic:spPr>
                </pic:pic>
              </a:graphicData>
            </a:graphic>
            <wp14:sizeRelH relativeFrom="page">
              <wp14:pctWidth>0</wp14:pctWidth>
            </wp14:sizeRelH>
            <wp14:sizeRelV relativeFrom="page">
              <wp14:pctHeight>0</wp14:pctHeight>
            </wp14:sizeRelV>
          </wp:anchor>
        </w:drawing>
      </w:r>
      <w:r>
        <w:rPr>
          <w:sz w:val="22"/>
        </w:rPr>
        <w:t xml:space="preserve">                 </w:t>
      </w:r>
    </w:p>
    <w:p w:rsidR="00951E64" w:rsidRDefault="00951E64" w:rsidP="00951E64">
      <w:pPr>
        <w:pStyle w:val="Titulek"/>
      </w:pPr>
      <w:bookmarkStart w:id="17" w:name="_Ref534979422"/>
      <w:r>
        <w:t xml:space="preserve">Fig.  </w:t>
      </w:r>
      <w:r w:rsidR="00A23856">
        <w:rPr>
          <w:noProof/>
        </w:rPr>
        <w:fldChar w:fldCharType="begin"/>
      </w:r>
      <w:r w:rsidR="00A23856">
        <w:rPr>
          <w:noProof/>
        </w:rPr>
        <w:instrText xml:space="preserve"> SEQ Fig._ \* ARABIC </w:instrText>
      </w:r>
      <w:r w:rsidR="00A23856">
        <w:rPr>
          <w:noProof/>
        </w:rPr>
        <w:fldChar w:fldCharType="separate"/>
      </w:r>
      <w:r w:rsidR="00BF7080">
        <w:rPr>
          <w:noProof/>
        </w:rPr>
        <w:t>5</w:t>
      </w:r>
      <w:r w:rsidR="00A23856">
        <w:rPr>
          <w:noProof/>
        </w:rPr>
        <w:fldChar w:fldCharType="end"/>
      </w:r>
      <w:bookmarkEnd w:id="17"/>
      <w:r>
        <w:t>: Comparison of expected spectra obtained by standard method (black line) and by site specific method (color lines). Red line – Borazjan-Kazerun II zone, blue line – Delvar-Mand zone, green line – Delvar-Ahram zone. Larger horizontal component, 5</w:t>
      </w:r>
      <w:r w:rsidRPr="00D1796A">
        <w:t xml:space="preserve"> </w:t>
      </w:r>
      <w:r>
        <w:t>% damping, SL-2 earthquake.</w:t>
      </w:r>
    </w:p>
    <w:p w:rsidR="00AF19B6" w:rsidRDefault="00AF19B6" w:rsidP="00AF19B6">
      <w:pPr>
        <w:pStyle w:val="Odstavecseseznamem"/>
      </w:pPr>
      <w:r>
        <w:t xml:space="preserve">Like the seismic hazard curves, this step has been done </w:t>
      </w:r>
      <w:r w:rsidRPr="005475E2">
        <w:t>in a standard way</w:t>
      </w:r>
      <w:r>
        <w:t xml:space="preserve">. </w:t>
      </w:r>
      <w:r w:rsidRPr="00AF19B6">
        <w:t>However, the response spectrum should also be constructed for</w:t>
      </w:r>
      <w:r w:rsidRPr="00C32FC1">
        <w:t xml:space="preserve"> annual frequencies of</w:t>
      </w:r>
      <w:r>
        <w:t xml:space="preserve"> </w:t>
      </w:r>
      <w:r w:rsidRPr="00C32FC1">
        <w:t>exceedance of 10</w:t>
      </w:r>
      <w:r w:rsidRPr="00C32FC1">
        <w:rPr>
          <w:vertAlign w:val="superscript"/>
        </w:rPr>
        <w:t>−2</w:t>
      </w:r>
      <w:r w:rsidRPr="00C32FC1">
        <w:t>, 10</w:t>
      </w:r>
      <w:r w:rsidRPr="00C32FC1">
        <w:rPr>
          <w:vertAlign w:val="superscript"/>
        </w:rPr>
        <w:t>−3</w:t>
      </w:r>
      <w:r w:rsidRPr="00C32FC1">
        <w:t>, 10</w:t>
      </w:r>
      <w:r w:rsidRPr="00C32FC1">
        <w:rPr>
          <w:vertAlign w:val="superscript"/>
        </w:rPr>
        <w:t>−4</w:t>
      </w:r>
      <w:r w:rsidRPr="00C32FC1">
        <w:t>, 10</w:t>
      </w:r>
      <w:r w:rsidRPr="00C32FC1">
        <w:rPr>
          <w:vertAlign w:val="superscript"/>
        </w:rPr>
        <w:t>−5</w:t>
      </w:r>
      <w:r w:rsidRPr="00C32FC1">
        <w:t xml:space="preserve"> and</w:t>
      </w:r>
      <w:r>
        <w:t xml:space="preserve"> </w:t>
      </w:r>
      <w:r w:rsidRPr="00C32FC1">
        <w:t>10</w:t>
      </w:r>
      <w:r w:rsidRPr="00C32FC1">
        <w:rPr>
          <w:vertAlign w:val="superscript"/>
        </w:rPr>
        <w:t>−6</w:t>
      </w:r>
      <w:r w:rsidRPr="00C32FC1">
        <w:t xml:space="preserve"> and for fractile levels of 0.05, 0.16,</w:t>
      </w:r>
      <w:r>
        <w:t xml:space="preserve"> </w:t>
      </w:r>
      <w:r w:rsidRPr="00C32FC1">
        <w:t xml:space="preserve">0.50, </w:t>
      </w:r>
      <w:r>
        <w:t xml:space="preserve">mean, </w:t>
      </w:r>
      <w:r w:rsidRPr="00C32FC1">
        <w:t>0.84 and 0.95</w:t>
      </w:r>
      <w:r>
        <w:t>.</w:t>
      </w:r>
      <w:r w:rsidR="00DF3C0F">
        <w:t xml:space="preserve"> </w:t>
      </w:r>
      <w:r w:rsidR="00DF3C0F" w:rsidRPr="00DF3C0F">
        <w:t xml:space="preserve">Very </w:t>
      </w:r>
      <w:r w:rsidR="00DF3C0F" w:rsidRPr="00DF3C0F">
        <w:lastRenderedPageBreak/>
        <w:t>useful would be to construct UHRS using newly developed NGA models</w:t>
      </w:r>
      <w:r w:rsidR="00DF3C0F">
        <w:t xml:space="preserve"> or </w:t>
      </w:r>
      <w:r w:rsidR="00DF3C0F" w:rsidRPr="00DF3C0F">
        <w:t xml:space="preserve">a </w:t>
      </w:r>
      <w:r w:rsidR="00DF3C0F">
        <w:t>site</w:t>
      </w:r>
      <w:r w:rsidR="00DF3C0F" w:rsidRPr="00DF3C0F">
        <w:t xml:space="preserve">-specific relationship </w:t>
      </w:r>
      <w:r w:rsidR="00DF3C0F">
        <w:t>of</w:t>
      </w:r>
      <w:r w:rsidR="00DF3C0F" w:rsidRPr="00DF3C0F">
        <w:t xml:space="preserve"> the next generation.</w:t>
      </w:r>
    </w:p>
    <w:p w:rsidR="005475E2" w:rsidRDefault="005475E2" w:rsidP="005475E2">
      <w:pPr>
        <w:pStyle w:val="Nadpis-tun"/>
      </w:pPr>
      <w:r>
        <w:t>T</w:t>
      </w:r>
      <w:r w:rsidRPr="007A05E2">
        <w:t>reatment of uncertainties</w:t>
      </w:r>
    </w:p>
    <w:p w:rsidR="005475E2" w:rsidRDefault="005475E2" w:rsidP="005475E2">
      <w:pPr>
        <w:pStyle w:val="Odstavecseseznamem"/>
      </w:pPr>
      <w:r w:rsidRPr="00275490">
        <w:t>As stated in par. 6.4 IAEA Standards SSG-9</w:t>
      </w:r>
      <w:r>
        <w:t xml:space="preserve"> (2010)</w:t>
      </w:r>
      <w:r w:rsidRPr="00275490">
        <w:t>, an acceptable method for propagating the epistemic uncertainties through the probabilistic seismic hazard analysis is the development of a logic tree</w:t>
      </w:r>
      <w:r>
        <w:t xml:space="preserve">. </w:t>
      </w:r>
      <w:r>
        <w:rPr>
          <w:lang w:val="en-GB"/>
        </w:rPr>
        <w:t>This</w:t>
      </w:r>
      <w:r w:rsidRPr="0069627E">
        <w:rPr>
          <w:lang w:val="en-GB"/>
        </w:rPr>
        <w:t xml:space="preserve"> approach allows the use of alternative models, each of which is assigned a weighting factor that is interpreted as the relative likelihood of that model being correct.</w:t>
      </w:r>
    </w:p>
    <w:p w:rsidR="005475E2" w:rsidRDefault="005475E2" w:rsidP="005475E2">
      <w:pPr>
        <w:pStyle w:val="Odstavecseseznamem"/>
      </w:pPr>
      <w:r w:rsidRPr="00247FCC">
        <w:t xml:space="preserve">The logic tree method was </w:t>
      </w:r>
      <w:r>
        <w:t xml:space="preserve">also </w:t>
      </w:r>
      <w:r w:rsidRPr="00247FCC">
        <w:t>used in the Bushehr NPP seismic hazard assessment, as shown in Figure 2-1 of the report</w:t>
      </w:r>
      <w:r>
        <w:t xml:space="preserve"> </w:t>
      </w:r>
      <w:r w:rsidRPr="000B4FB0">
        <w:t>18.BU.1 0.0.OO.VAB.PR</w:t>
      </w:r>
      <w:r>
        <w:t xml:space="preserve"> (Moscow, 2009). </w:t>
      </w:r>
      <w:r w:rsidR="00DD3CAE" w:rsidRPr="00487C72">
        <w:rPr>
          <w:lang w:val="en-GB"/>
        </w:rPr>
        <w:t xml:space="preserve">A standard logic tree was used; </w:t>
      </w:r>
      <w:r w:rsidR="00DD3CAE">
        <w:rPr>
          <w:lang w:val="en-GB"/>
        </w:rPr>
        <w:t>nodes</w:t>
      </w:r>
      <w:r w:rsidR="00DD3CAE" w:rsidRPr="00734248">
        <w:rPr>
          <w:lang w:val="en-GB"/>
        </w:rPr>
        <w:t xml:space="preserve"> </w:t>
      </w:r>
      <w:r w:rsidR="00DD3CAE">
        <w:rPr>
          <w:lang w:val="en-GB"/>
        </w:rPr>
        <w:t xml:space="preserve">of </w:t>
      </w:r>
      <w:r w:rsidR="00DD3CAE" w:rsidRPr="00734248">
        <w:rPr>
          <w:lang w:val="en-GB"/>
        </w:rPr>
        <w:t xml:space="preserve">models for attenuation, </w:t>
      </w:r>
      <w:r w:rsidR="00DD3CAE">
        <w:rPr>
          <w:lang w:val="en-GB"/>
        </w:rPr>
        <w:t>parameters of GR distribution</w:t>
      </w:r>
      <w:r w:rsidR="00DD3CAE" w:rsidRPr="00734248">
        <w:rPr>
          <w:lang w:val="en-GB"/>
        </w:rPr>
        <w:t xml:space="preserve">, </w:t>
      </w:r>
      <w:r w:rsidR="00DD3CAE">
        <w:rPr>
          <w:lang w:val="en-GB"/>
        </w:rPr>
        <w:t xml:space="preserve">Mmax. and seismic source </w:t>
      </w:r>
      <w:r w:rsidR="00DD3CAE" w:rsidRPr="00734248">
        <w:rPr>
          <w:lang w:val="en-GB"/>
        </w:rPr>
        <w:t>were considered</w:t>
      </w:r>
      <w:r w:rsidR="00DD3CAE">
        <w:rPr>
          <w:lang w:val="en-GB"/>
        </w:rPr>
        <w:t xml:space="preserve">, </w:t>
      </w:r>
      <w:r w:rsidR="00DD3CAE" w:rsidRPr="00734248">
        <w:rPr>
          <w:lang w:val="en-GB"/>
        </w:rPr>
        <w:t xml:space="preserve">as shown in the </w:t>
      </w:r>
      <w:r>
        <w:fldChar w:fldCharType="begin"/>
      </w:r>
      <w:r>
        <w:instrText xml:space="preserve"> REF _Ref535052620 \h </w:instrText>
      </w:r>
      <w:r>
        <w:fldChar w:fldCharType="separate"/>
      </w:r>
      <w:r>
        <w:t xml:space="preserve">Fig.  </w:t>
      </w:r>
      <w:r>
        <w:rPr>
          <w:noProof/>
        </w:rPr>
        <w:t>1</w:t>
      </w:r>
      <w:r>
        <w:fldChar w:fldCharType="end"/>
      </w:r>
      <w:r>
        <w:t>.</w:t>
      </w:r>
    </w:p>
    <w:p w:rsidR="005475E2" w:rsidRDefault="005475E2" w:rsidP="005475E2">
      <w:pPr>
        <w:pStyle w:val="Titulek"/>
        <w:spacing w:before="240"/>
        <w:rPr>
          <w:sz w:val="23"/>
          <w:szCs w:val="23"/>
        </w:rPr>
      </w:pPr>
      <w:bookmarkStart w:id="18" w:name="_Ref535052620"/>
      <w:r>
        <w:t xml:space="preserve">Fig.  </w:t>
      </w:r>
      <w:r>
        <w:rPr>
          <w:noProof/>
        </w:rPr>
        <w:fldChar w:fldCharType="begin"/>
      </w:r>
      <w:r>
        <w:rPr>
          <w:noProof/>
        </w:rPr>
        <w:instrText xml:space="preserve"> SEQ Fig._ \* ARABIC </w:instrText>
      </w:r>
      <w:r>
        <w:rPr>
          <w:noProof/>
        </w:rPr>
        <w:fldChar w:fldCharType="separate"/>
      </w:r>
      <w:r>
        <w:rPr>
          <w:noProof/>
        </w:rPr>
        <w:t>4</w:t>
      </w:r>
      <w:r>
        <w:rPr>
          <w:noProof/>
        </w:rPr>
        <w:fldChar w:fldCharType="end"/>
      </w:r>
      <w:bookmarkEnd w:id="18"/>
      <w:r w:rsidRPr="00275490">
        <w:rPr>
          <w:noProof/>
          <w:lang w:val="cs-CZ" w:eastAsia="cs-CZ"/>
        </w:rPr>
        <w:drawing>
          <wp:anchor distT="0" distB="0" distL="114300" distR="114300" simplePos="0" relativeHeight="251671552" behindDoc="0" locked="1" layoutInCell="1" allowOverlap="0" wp14:anchorId="6FBEC29E" wp14:editId="043D1A1E">
            <wp:simplePos x="0" y="0"/>
            <wp:positionH relativeFrom="column">
              <wp:posOffset>0</wp:posOffset>
            </wp:positionH>
            <wp:positionV relativeFrom="paragraph">
              <wp:posOffset>107950</wp:posOffset>
            </wp:positionV>
            <wp:extent cx="5965200" cy="3193200"/>
            <wp:effectExtent l="0" t="0" r="0" b="762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200" cy="319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sz w:val="23"/>
          <w:szCs w:val="23"/>
        </w:rPr>
        <w:t xml:space="preserve">Logic tree for analysis of seismic hazard. </w:t>
      </w:r>
    </w:p>
    <w:p w:rsidR="001E232B" w:rsidRPr="001E232B" w:rsidRDefault="001E232B" w:rsidP="001E232B">
      <w:pPr>
        <w:pStyle w:val="Nadpis-tun"/>
        <w:rPr>
          <w:lang w:val="en-GB"/>
        </w:rPr>
      </w:pPr>
      <w:r w:rsidRPr="001E232B">
        <w:rPr>
          <w:lang w:val="en-GB"/>
        </w:rPr>
        <w:t>Attenuation models</w:t>
      </w:r>
    </w:p>
    <w:p w:rsidR="001E232B" w:rsidRDefault="00EB7F3D" w:rsidP="00DD3CAE">
      <w:pPr>
        <w:pStyle w:val="Odstavecseseznamem"/>
        <w:rPr>
          <w:lang w:val="en-GB"/>
        </w:rPr>
      </w:pPr>
      <w:r w:rsidRPr="00EB7F3D">
        <w:rPr>
          <w:lang w:val="en-GB"/>
        </w:rPr>
        <w:t>As can be seen from the logic tree, three models of attenuation were used in PSHA.</w:t>
      </w:r>
      <w:r w:rsidR="00A72E83">
        <w:rPr>
          <w:lang w:val="en-GB"/>
        </w:rPr>
        <w:t xml:space="preserve"> </w:t>
      </w:r>
      <w:r w:rsidR="00A72E83" w:rsidRPr="00500390">
        <w:rPr>
          <w:lang w:val="en-GB"/>
        </w:rPr>
        <w:t>Two of them can be considered site-specific.</w:t>
      </w:r>
      <w:r w:rsidR="00FE0685">
        <w:rPr>
          <w:lang w:val="en-GB"/>
        </w:rPr>
        <w:t xml:space="preserve"> </w:t>
      </w:r>
      <w:r w:rsidR="00991FD6" w:rsidRPr="00991FD6">
        <w:rPr>
          <w:lang w:val="en-GB"/>
        </w:rPr>
        <w:t>The choice of attenuation relationships is unfortunately marked by a time gap</w:t>
      </w:r>
      <w:r w:rsidR="00FE0685" w:rsidRPr="00FE0685">
        <w:t xml:space="preserve"> </w:t>
      </w:r>
      <w:r w:rsidR="00FE0685" w:rsidRPr="009C6EAA">
        <w:t>from the analysis</w:t>
      </w:r>
      <w:r w:rsidR="00FE0685">
        <w:t xml:space="preserve">. </w:t>
      </w:r>
      <w:r w:rsidR="00FE0685" w:rsidRPr="00726266">
        <w:t>At present, much more sophisticated NGA models</w:t>
      </w:r>
      <w:r w:rsidR="00FE0685">
        <w:t xml:space="preserve"> (</w:t>
      </w:r>
      <w:r w:rsidR="00FE0685" w:rsidRPr="00726266">
        <w:t>Next Generation Attenuation) are available</w:t>
      </w:r>
      <w:r w:rsidR="00FE0685">
        <w:t>.</w:t>
      </w:r>
    </w:p>
    <w:p w:rsidR="005475E2" w:rsidRDefault="008C2630" w:rsidP="002B6984">
      <w:pPr>
        <w:pStyle w:val="Odstavecseseznamem"/>
      </w:pPr>
      <w:r w:rsidRPr="008C2630">
        <w:t xml:space="preserve">Thanks to these new relationships, it is possible to solve the path of seismic waves between the source and the target </w:t>
      </w:r>
      <w:r>
        <w:t xml:space="preserve">with </w:t>
      </w:r>
      <w:r w:rsidR="002B6984">
        <w:t xml:space="preserve">inclusion of </w:t>
      </w:r>
      <w:r w:rsidRPr="002B6984">
        <w:t>the effect of near‐surface geology</w:t>
      </w:r>
      <w:r w:rsidRPr="008C2630">
        <w:t>.</w:t>
      </w:r>
      <w:r w:rsidR="00DD3CAE">
        <w:t xml:space="preserve"> </w:t>
      </w:r>
      <w:r w:rsidRPr="002B6984">
        <w:t xml:space="preserve">If subsurface materials are composed of sediments, two levels </w:t>
      </w:r>
      <w:r w:rsidR="002B6984" w:rsidRPr="002B6984">
        <w:t>must be</w:t>
      </w:r>
      <w:r w:rsidRPr="002B6984">
        <w:t xml:space="preserve"> defined - bedrock (hard rock) and free field (surface). The passage of seismic waves can </w:t>
      </w:r>
      <w:r w:rsidR="002B6984">
        <w:t xml:space="preserve">thus </w:t>
      </w:r>
      <w:r w:rsidRPr="002B6984">
        <w:t xml:space="preserve">be </w:t>
      </w:r>
      <w:r w:rsidR="002B6984">
        <w:t>addressed</w:t>
      </w:r>
      <w:r w:rsidRPr="002B6984">
        <w:t xml:space="preserve"> separately and </w:t>
      </w:r>
      <w:r w:rsidR="002B6984">
        <w:t xml:space="preserve">can be </w:t>
      </w:r>
      <w:r w:rsidRPr="002B6984">
        <w:lastRenderedPageBreak/>
        <w:t xml:space="preserve">expressed </w:t>
      </w:r>
      <w:r w:rsidR="002B6984">
        <w:t xml:space="preserve">ground motion amplification caused by </w:t>
      </w:r>
      <w:r w:rsidR="002B6984" w:rsidRPr="002B6984">
        <w:t>vertically propagating body waves</w:t>
      </w:r>
      <w:r w:rsidR="002B6984">
        <w:t xml:space="preserve"> in the sedimentary layer. Well, then </w:t>
      </w:r>
      <w:r w:rsidR="002B6984" w:rsidRPr="002B6984">
        <w:t xml:space="preserve">amplification can be analytically calculated in a manner </w:t>
      </w:r>
      <w:r w:rsidR="002B6984">
        <w:t>consistent</w:t>
      </w:r>
      <w:r w:rsidR="002B6984" w:rsidRPr="002B6984">
        <w:t xml:space="preserve"> to current hazard practices.</w:t>
      </w:r>
      <w:r w:rsidR="00593F34">
        <w:t xml:space="preserve"> </w:t>
      </w:r>
      <w:r w:rsidR="00593F34" w:rsidRPr="00593F34">
        <w:t xml:space="preserve">Considering the local geology of the </w:t>
      </w:r>
      <w:r w:rsidR="00593F34">
        <w:t xml:space="preserve">Bushehr </w:t>
      </w:r>
      <w:r w:rsidR="00593F34" w:rsidRPr="00593F34">
        <w:t>site, the application of such a procedure must be recommended.</w:t>
      </w:r>
    </w:p>
    <w:p w:rsidR="00185617" w:rsidRDefault="00185617" w:rsidP="0097000B">
      <w:pPr>
        <w:pStyle w:val="Nadpis-tun"/>
      </w:pPr>
      <w:r>
        <w:t xml:space="preserve">De-aggregation </w:t>
      </w:r>
    </w:p>
    <w:p w:rsidR="00185617" w:rsidRDefault="00185617" w:rsidP="00185617">
      <w:pPr>
        <w:pStyle w:val="Odstavecseseznamem"/>
      </w:pPr>
      <w:r>
        <w:t>De-aggregation of the hazard is a typical output of probabilistic seismic hazard analysis (See IAEA standard SSG-9, 2010, Annex, Table A-1). D</w:t>
      </w:r>
      <w:r w:rsidRPr="00B5773B">
        <w:t>e-aggregation plot</w:t>
      </w:r>
      <w:r>
        <w:t xml:space="preserve"> is a </w:t>
      </w:r>
      <w:r w:rsidRPr="00B5773B">
        <w:t>tool for identifying likely major contributors to seismic hazard, which helps identify the magnitudes and distances of controlling seismic sources.</w:t>
      </w:r>
      <w:r>
        <w:t xml:space="preserve"> It</w:t>
      </w:r>
      <w:r w:rsidRPr="00B5773B">
        <w:t xml:space="preserve"> should be</w:t>
      </w:r>
      <w:r>
        <w:t xml:space="preserve"> </w:t>
      </w:r>
      <w:r w:rsidRPr="00B5773B">
        <w:t>presented for ground motion levels</w:t>
      </w:r>
      <w:r>
        <w:t xml:space="preserve"> </w:t>
      </w:r>
      <w:r w:rsidRPr="00B5773B">
        <w:t>corresponding to selected annual</w:t>
      </w:r>
      <w:r>
        <w:t xml:space="preserve"> </w:t>
      </w:r>
      <w:r w:rsidRPr="00B5773B">
        <w:t>frequencies of exceedance for each</w:t>
      </w:r>
      <w:r>
        <w:t xml:space="preserve"> </w:t>
      </w:r>
      <w:r w:rsidRPr="00B5773B">
        <w:t>ground motion parameter considered</w:t>
      </w:r>
      <w:r>
        <w:t xml:space="preserve"> </w:t>
      </w:r>
      <w:r w:rsidRPr="00B5773B">
        <w:t>in the probabilistic seismic hazard</w:t>
      </w:r>
      <w:r>
        <w:t xml:space="preserve"> </w:t>
      </w:r>
      <w:r w:rsidRPr="00B5773B">
        <w:t>analysis.</w:t>
      </w:r>
    </w:p>
    <w:p w:rsidR="00CC1DE3" w:rsidRPr="00CC1DE3" w:rsidRDefault="00CC1DE3" w:rsidP="00CC1DE3">
      <w:pPr>
        <w:pStyle w:val="Odstavecseseznamem"/>
      </w:pPr>
      <w:r w:rsidRPr="00CC1DE3">
        <w:t>This issue was not solved in the usual way, i</w:t>
      </w:r>
      <w:r>
        <w:t>.</w:t>
      </w:r>
      <w:r w:rsidRPr="00CC1DE3">
        <w:t>e</w:t>
      </w:r>
      <w:r>
        <w:t>.</w:t>
      </w:r>
      <w:r w:rsidRPr="00CC1DE3">
        <w:t xml:space="preserve"> through</w:t>
      </w:r>
      <w:r>
        <w:t xml:space="preserve"> a de-aggregation M-D plot for all sources and more return periods. </w:t>
      </w:r>
      <w:r w:rsidRPr="007C6E61">
        <w:t xml:space="preserve">However, the share of the seismic load originating from selected seismic sources can be judged </w:t>
      </w:r>
      <w:r w:rsidR="007C6E61" w:rsidRPr="007C6E61">
        <w:t>based on</w:t>
      </w:r>
      <w:r w:rsidRPr="007C6E61">
        <w:t xml:space="preserve"> deterministic analysis</w:t>
      </w:r>
      <w:r w:rsidR="007C6E61">
        <w:t xml:space="preserve">, as shown in the </w:t>
      </w:r>
      <w:r w:rsidR="007C6E61">
        <w:fldChar w:fldCharType="begin"/>
      </w:r>
      <w:r w:rsidR="007C6E61">
        <w:instrText xml:space="preserve"> REF _Ref534979391 \h </w:instrText>
      </w:r>
      <w:r w:rsidR="007C6E61">
        <w:fldChar w:fldCharType="separate"/>
      </w:r>
      <w:r w:rsidR="00185617">
        <w:t xml:space="preserve">Table </w:t>
      </w:r>
      <w:r w:rsidR="00185617">
        <w:rPr>
          <w:noProof/>
        </w:rPr>
        <w:t>2</w:t>
      </w:r>
      <w:r w:rsidR="007C6E61">
        <w:fldChar w:fldCharType="end"/>
      </w:r>
      <w:r w:rsidR="007C6E61">
        <w:t xml:space="preserve"> taken from the report </w:t>
      </w:r>
      <w:r w:rsidR="007C6E61" w:rsidRPr="007B630B">
        <w:t>49.BU.1 0.0..FSAR.RDR001</w:t>
      </w:r>
      <w:r w:rsidR="007C6E61">
        <w:t>,</w:t>
      </w:r>
      <w:r w:rsidR="007C6E61" w:rsidRPr="007C6E61">
        <w:t xml:space="preserve"> </w:t>
      </w:r>
      <w:r w:rsidR="007C6E61">
        <w:t>Moscow (2011), B</w:t>
      </w:r>
      <w:r w:rsidR="007C6E61" w:rsidRPr="007B630B">
        <w:t>ook2</w:t>
      </w:r>
      <w:r w:rsidR="007C6E61">
        <w:t>, p. 126,</w:t>
      </w:r>
      <w:r w:rsidR="007C6E61" w:rsidRPr="007C6E61">
        <w:t xml:space="preserve"> </w:t>
      </w:r>
      <w:r w:rsidR="007C6E61">
        <w:t>Table 2.5.2.6-3.</w:t>
      </w:r>
    </w:p>
    <w:p w:rsidR="00062520" w:rsidRDefault="007C6E61" w:rsidP="007C6E61">
      <w:pPr>
        <w:pStyle w:val="Titulek"/>
      </w:pPr>
      <w:bookmarkStart w:id="19" w:name="_Ref534979391"/>
      <w:bookmarkStart w:id="20" w:name="_Toc304303675"/>
      <w:bookmarkStart w:id="21" w:name="_Toc480958294"/>
      <w:bookmarkStart w:id="22" w:name="_Toc481006845"/>
      <w:bookmarkStart w:id="23" w:name="_Toc483323341"/>
      <w:r>
        <w:t xml:space="preserve">Table </w:t>
      </w:r>
      <w:r w:rsidR="00A23856">
        <w:rPr>
          <w:noProof/>
        </w:rPr>
        <w:fldChar w:fldCharType="begin"/>
      </w:r>
      <w:r w:rsidR="00A23856">
        <w:rPr>
          <w:noProof/>
        </w:rPr>
        <w:instrText xml:space="preserve"> SEQ Table \* ARABIC </w:instrText>
      </w:r>
      <w:r w:rsidR="00A23856">
        <w:rPr>
          <w:noProof/>
        </w:rPr>
        <w:fldChar w:fldCharType="separate"/>
      </w:r>
      <w:r w:rsidR="00E85210">
        <w:rPr>
          <w:noProof/>
        </w:rPr>
        <w:t>3</w:t>
      </w:r>
      <w:r w:rsidR="00A23856">
        <w:rPr>
          <w:noProof/>
        </w:rPr>
        <w:fldChar w:fldCharType="end"/>
      </w:r>
      <w:bookmarkEnd w:id="19"/>
      <w:r>
        <w:t xml:space="preserve">: </w:t>
      </w:r>
      <w:r w:rsidR="00062520">
        <w:t>Deterministic estimation of PGHA (SL-2)</w:t>
      </w:r>
      <w:bookmarkEnd w:id="20"/>
      <w:bookmarkEnd w:id="21"/>
      <w:bookmarkEnd w:id="22"/>
      <w:bookmarkEnd w:id="23"/>
    </w:p>
    <w:tbl>
      <w:tblPr>
        <w:tblW w:w="52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5"/>
        <w:gridCol w:w="2825"/>
      </w:tblGrid>
      <w:tr w:rsidR="007C6E61" w:rsidRPr="00CC1DE3" w:rsidTr="007C6E61">
        <w:trPr>
          <w:cantSplit/>
          <w:jc w:val="center"/>
        </w:trPr>
        <w:tc>
          <w:tcPr>
            <w:tcW w:w="2415" w:type="dxa"/>
            <w:vMerge w:val="restart"/>
            <w:tcBorders>
              <w:top w:val="single" w:sz="4" w:space="0" w:color="auto"/>
              <w:left w:val="single" w:sz="4" w:space="0" w:color="auto"/>
            </w:tcBorders>
            <w:vAlign w:val="center"/>
          </w:tcPr>
          <w:p w:rsidR="007C6E61" w:rsidRPr="007C6E61" w:rsidRDefault="007C6E61" w:rsidP="007C6E61">
            <w:pPr>
              <w:pStyle w:val="Odstavecseseznamem"/>
              <w:spacing w:after="0"/>
              <w:rPr>
                <w:sz w:val="22"/>
                <w:szCs w:val="22"/>
              </w:rPr>
            </w:pPr>
            <w:r w:rsidRPr="007C6E61">
              <w:rPr>
                <w:sz w:val="22"/>
                <w:szCs w:val="22"/>
              </w:rPr>
              <w:t xml:space="preserve">Zone </w:t>
            </w:r>
          </w:p>
        </w:tc>
        <w:tc>
          <w:tcPr>
            <w:tcW w:w="2825" w:type="dxa"/>
            <w:tcBorders>
              <w:top w:val="single" w:sz="4" w:space="0" w:color="auto"/>
            </w:tcBorders>
            <w:vAlign w:val="center"/>
          </w:tcPr>
          <w:p w:rsidR="007C6E61" w:rsidRPr="007C6E61" w:rsidRDefault="007C6E61" w:rsidP="007C6E61">
            <w:pPr>
              <w:pStyle w:val="Odstavecseseznamem"/>
              <w:spacing w:after="0"/>
              <w:jc w:val="center"/>
              <w:rPr>
                <w:sz w:val="22"/>
                <w:szCs w:val="22"/>
              </w:rPr>
            </w:pPr>
            <w:r w:rsidRPr="007C6E61">
              <w:rPr>
                <w:sz w:val="22"/>
                <w:szCs w:val="22"/>
              </w:rPr>
              <w:t xml:space="preserve">PGHA </w:t>
            </w:r>
            <w:r w:rsidRPr="007C6E61">
              <w:rPr>
                <w:rFonts w:cstheme="minorHAnsi"/>
                <w:sz w:val="22"/>
                <w:szCs w:val="22"/>
              </w:rPr>
              <w:t>[</w:t>
            </w:r>
            <w:r w:rsidRPr="007C6E61">
              <w:rPr>
                <w:sz w:val="22"/>
                <w:szCs w:val="22"/>
              </w:rPr>
              <w:t>g</w:t>
            </w:r>
            <w:r w:rsidRPr="007C6E61">
              <w:rPr>
                <w:rFonts w:cstheme="minorHAnsi"/>
                <w:sz w:val="22"/>
                <w:szCs w:val="22"/>
              </w:rPr>
              <w:t>]</w:t>
            </w:r>
          </w:p>
        </w:tc>
      </w:tr>
      <w:tr w:rsidR="007C6E61" w:rsidRPr="00CC1DE3" w:rsidTr="007C6E61">
        <w:trPr>
          <w:cantSplit/>
          <w:jc w:val="center"/>
        </w:trPr>
        <w:tc>
          <w:tcPr>
            <w:tcW w:w="2415" w:type="dxa"/>
            <w:vMerge/>
            <w:tcBorders>
              <w:left w:val="single" w:sz="4" w:space="0" w:color="auto"/>
              <w:bottom w:val="nil"/>
            </w:tcBorders>
          </w:tcPr>
          <w:p w:rsidR="007C6E61" w:rsidRPr="007C6E61" w:rsidRDefault="007C6E61" w:rsidP="007C6E61">
            <w:pPr>
              <w:pStyle w:val="Odstavecseseznamem"/>
              <w:spacing w:after="0"/>
              <w:rPr>
                <w:sz w:val="22"/>
                <w:szCs w:val="22"/>
              </w:rPr>
            </w:pPr>
          </w:p>
        </w:tc>
        <w:tc>
          <w:tcPr>
            <w:tcW w:w="2825" w:type="dxa"/>
            <w:vAlign w:val="center"/>
          </w:tcPr>
          <w:p w:rsidR="007C6E61" w:rsidRPr="007C6E61" w:rsidRDefault="007C6E61" w:rsidP="007C6E61">
            <w:pPr>
              <w:pStyle w:val="Odstavecseseznamem"/>
              <w:spacing w:after="0"/>
              <w:jc w:val="center"/>
              <w:rPr>
                <w:sz w:val="22"/>
                <w:szCs w:val="22"/>
              </w:rPr>
            </w:pPr>
            <w:r w:rsidRPr="007C6E61">
              <w:rPr>
                <w:sz w:val="22"/>
                <w:szCs w:val="22"/>
              </w:rPr>
              <w:t>Average</w:t>
            </w:r>
          </w:p>
        </w:tc>
      </w:tr>
      <w:tr w:rsidR="007C6E61" w:rsidRPr="00CC1DE3" w:rsidTr="007C6E61">
        <w:trPr>
          <w:cantSplit/>
          <w:jc w:val="center"/>
        </w:trPr>
        <w:tc>
          <w:tcPr>
            <w:tcW w:w="2415" w:type="dxa"/>
            <w:tcBorders>
              <w:left w:val="single" w:sz="4" w:space="0" w:color="auto"/>
            </w:tcBorders>
          </w:tcPr>
          <w:p w:rsidR="007C6E61" w:rsidRPr="007C6E61" w:rsidRDefault="007C6E61" w:rsidP="007C6E61">
            <w:pPr>
              <w:pStyle w:val="Odstavecseseznamem"/>
              <w:spacing w:after="0"/>
              <w:rPr>
                <w:sz w:val="22"/>
                <w:szCs w:val="22"/>
              </w:rPr>
            </w:pPr>
            <w:r w:rsidRPr="007C6E61">
              <w:rPr>
                <w:sz w:val="22"/>
                <w:szCs w:val="22"/>
              </w:rPr>
              <w:t>Delvar-Ahram</w:t>
            </w:r>
          </w:p>
        </w:tc>
        <w:tc>
          <w:tcPr>
            <w:tcW w:w="2825" w:type="dxa"/>
            <w:tcBorders>
              <w:left w:val="nil"/>
            </w:tcBorders>
            <w:vAlign w:val="center"/>
          </w:tcPr>
          <w:p w:rsidR="007C6E61" w:rsidRPr="007C6E61" w:rsidRDefault="007C6E61" w:rsidP="007C6E61">
            <w:pPr>
              <w:pStyle w:val="Odstavecseseznamem"/>
              <w:spacing w:after="0"/>
              <w:jc w:val="center"/>
              <w:rPr>
                <w:sz w:val="22"/>
                <w:szCs w:val="22"/>
              </w:rPr>
            </w:pPr>
            <w:r w:rsidRPr="007C6E61">
              <w:rPr>
                <w:sz w:val="22"/>
                <w:szCs w:val="22"/>
              </w:rPr>
              <w:t>0.404</w:t>
            </w:r>
          </w:p>
        </w:tc>
      </w:tr>
      <w:tr w:rsidR="007C6E61" w:rsidRPr="00CC1DE3" w:rsidTr="007C6E61">
        <w:trPr>
          <w:cantSplit/>
          <w:jc w:val="center"/>
        </w:trPr>
        <w:tc>
          <w:tcPr>
            <w:tcW w:w="2415" w:type="dxa"/>
            <w:tcBorders>
              <w:top w:val="nil"/>
              <w:left w:val="single" w:sz="4" w:space="0" w:color="auto"/>
            </w:tcBorders>
          </w:tcPr>
          <w:p w:rsidR="007C6E61" w:rsidRPr="007C6E61" w:rsidRDefault="007C6E61" w:rsidP="007C6E61">
            <w:pPr>
              <w:pStyle w:val="Odstavecseseznamem"/>
              <w:spacing w:after="0"/>
              <w:rPr>
                <w:sz w:val="22"/>
                <w:szCs w:val="22"/>
              </w:rPr>
            </w:pPr>
            <w:r w:rsidRPr="007C6E61">
              <w:rPr>
                <w:sz w:val="22"/>
                <w:szCs w:val="22"/>
              </w:rPr>
              <w:t>Delvar-Mand</w:t>
            </w:r>
          </w:p>
        </w:tc>
        <w:tc>
          <w:tcPr>
            <w:tcW w:w="2825" w:type="dxa"/>
            <w:tcBorders>
              <w:left w:val="nil"/>
            </w:tcBorders>
            <w:vAlign w:val="center"/>
          </w:tcPr>
          <w:p w:rsidR="007C6E61" w:rsidRPr="007C6E61" w:rsidRDefault="007C6E61" w:rsidP="007C6E61">
            <w:pPr>
              <w:pStyle w:val="Odstavecseseznamem"/>
              <w:spacing w:after="0"/>
              <w:jc w:val="center"/>
              <w:rPr>
                <w:sz w:val="22"/>
                <w:szCs w:val="22"/>
              </w:rPr>
            </w:pPr>
            <w:r w:rsidRPr="007C6E61">
              <w:rPr>
                <w:sz w:val="22"/>
                <w:szCs w:val="22"/>
              </w:rPr>
              <w:t>0.348</w:t>
            </w:r>
          </w:p>
        </w:tc>
      </w:tr>
      <w:tr w:rsidR="007C6E61" w:rsidRPr="00CC1DE3" w:rsidTr="007C6E61">
        <w:trPr>
          <w:cantSplit/>
          <w:jc w:val="center"/>
        </w:trPr>
        <w:tc>
          <w:tcPr>
            <w:tcW w:w="2415" w:type="dxa"/>
            <w:tcBorders>
              <w:top w:val="nil"/>
              <w:left w:val="single" w:sz="4" w:space="0" w:color="auto"/>
            </w:tcBorders>
          </w:tcPr>
          <w:p w:rsidR="007C6E61" w:rsidRPr="007C6E61" w:rsidRDefault="007C6E61" w:rsidP="007C6E61">
            <w:pPr>
              <w:pStyle w:val="Odstavecseseznamem"/>
              <w:spacing w:after="0"/>
              <w:rPr>
                <w:sz w:val="22"/>
                <w:szCs w:val="22"/>
              </w:rPr>
            </w:pPr>
            <w:r w:rsidRPr="007C6E61">
              <w:rPr>
                <w:sz w:val="22"/>
                <w:szCs w:val="22"/>
              </w:rPr>
              <w:t>Borazjan-Kazerun II</w:t>
            </w:r>
          </w:p>
        </w:tc>
        <w:tc>
          <w:tcPr>
            <w:tcW w:w="2825" w:type="dxa"/>
            <w:vAlign w:val="center"/>
          </w:tcPr>
          <w:p w:rsidR="007C6E61" w:rsidRPr="007C6E61" w:rsidRDefault="007C6E61" w:rsidP="007C6E61">
            <w:pPr>
              <w:pStyle w:val="Odstavecseseznamem"/>
              <w:spacing w:after="0"/>
              <w:jc w:val="center"/>
              <w:rPr>
                <w:sz w:val="22"/>
                <w:szCs w:val="22"/>
              </w:rPr>
            </w:pPr>
            <w:r w:rsidRPr="007C6E61">
              <w:rPr>
                <w:sz w:val="22"/>
                <w:szCs w:val="22"/>
              </w:rPr>
              <w:t>0.270</w:t>
            </w:r>
          </w:p>
        </w:tc>
      </w:tr>
      <w:tr w:rsidR="007C6E61" w:rsidRPr="00CC1DE3" w:rsidTr="007C6E61">
        <w:trPr>
          <w:cantSplit/>
          <w:jc w:val="center"/>
        </w:trPr>
        <w:tc>
          <w:tcPr>
            <w:tcW w:w="2415" w:type="dxa"/>
            <w:tcBorders>
              <w:left w:val="single" w:sz="4" w:space="0" w:color="auto"/>
            </w:tcBorders>
          </w:tcPr>
          <w:p w:rsidR="007C6E61" w:rsidRPr="007C6E61" w:rsidRDefault="007C6E61" w:rsidP="007C6E61">
            <w:pPr>
              <w:pStyle w:val="Odstavecseseznamem"/>
              <w:spacing w:after="0"/>
              <w:rPr>
                <w:sz w:val="22"/>
                <w:szCs w:val="22"/>
              </w:rPr>
            </w:pPr>
            <w:r w:rsidRPr="007C6E61">
              <w:rPr>
                <w:sz w:val="22"/>
                <w:szCs w:val="22"/>
              </w:rPr>
              <w:t>Bushehr</w:t>
            </w:r>
          </w:p>
        </w:tc>
        <w:tc>
          <w:tcPr>
            <w:tcW w:w="2825" w:type="dxa"/>
            <w:vAlign w:val="center"/>
          </w:tcPr>
          <w:p w:rsidR="007C6E61" w:rsidRPr="007C6E61" w:rsidRDefault="007C6E61" w:rsidP="007C6E61">
            <w:pPr>
              <w:pStyle w:val="Odstavecseseznamem"/>
              <w:spacing w:after="0"/>
              <w:jc w:val="center"/>
              <w:rPr>
                <w:sz w:val="22"/>
                <w:szCs w:val="22"/>
              </w:rPr>
            </w:pPr>
            <w:r w:rsidRPr="007C6E61">
              <w:rPr>
                <w:sz w:val="22"/>
                <w:szCs w:val="22"/>
              </w:rPr>
              <w:t>0.185</w:t>
            </w:r>
          </w:p>
        </w:tc>
      </w:tr>
      <w:tr w:rsidR="007C6E61" w:rsidRPr="00CC1DE3" w:rsidTr="007C6E61">
        <w:trPr>
          <w:cantSplit/>
          <w:jc w:val="center"/>
        </w:trPr>
        <w:tc>
          <w:tcPr>
            <w:tcW w:w="2415" w:type="dxa"/>
            <w:tcBorders>
              <w:left w:val="single" w:sz="4" w:space="0" w:color="auto"/>
            </w:tcBorders>
          </w:tcPr>
          <w:p w:rsidR="007C6E61" w:rsidRPr="007C6E61" w:rsidRDefault="007C6E61" w:rsidP="007C6E61">
            <w:pPr>
              <w:pStyle w:val="Odstavecseseznamem"/>
              <w:spacing w:after="0"/>
              <w:rPr>
                <w:sz w:val="22"/>
                <w:szCs w:val="22"/>
              </w:rPr>
            </w:pPr>
            <w:r w:rsidRPr="007C6E61">
              <w:rPr>
                <w:sz w:val="22"/>
                <w:szCs w:val="22"/>
              </w:rPr>
              <w:t>Shue</w:t>
            </w:r>
          </w:p>
        </w:tc>
        <w:tc>
          <w:tcPr>
            <w:tcW w:w="2825" w:type="dxa"/>
            <w:vAlign w:val="center"/>
          </w:tcPr>
          <w:p w:rsidR="007C6E61" w:rsidRPr="007C6E61" w:rsidRDefault="007C6E61" w:rsidP="007C6E61">
            <w:pPr>
              <w:pStyle w:val="Odstavecseseznamem"/>
              <w:spacing w:after="0"/>
              <w:jc w:val="center"/>
              <w:rPr>
                <w:sz w:val="22"/>
                <w:szCs w:val="22"/>
              </w:rPr>
            </w:pPr>
            <w:r w:rsidRPr="007C6E61">
              <w:rPr>
                <w:sz w:val="22"/>
                <w:szCs w:val="22"/>
              </w:rPr>
              <w:t>0.224</w:t>
            </w:r>
          </w:p>
        </w:tc>
      </w:tr>
      <w:tr w:rsidR="007C6E61" w:rsidRPr="00CC1DE3" w:rsidTr="007C6E61">
        <w:trPr>
          <w:cantSplit/>
          <w:jc w:val="center"/>
        </w:trPr>
        <w:tc>
          <w:tcPr>
            <w:tcW w:w="2415" w:type="dxa"/>
            <w:tcBorders>
              <w:left w:val="single" w:sz="4" w:space="0" w:color="auto"/>
            </w:tcBorders>
          </w:tcPr>
          <w:p w:rsidR="007C6E61" w:rsidRPr="007C6E61" w:rsidRDefault="007C6E61" w:rsidP="007C6E61">
            <w:pPr>
              <w:pStyle w:val="Odstavecseseznamem"/>
              <w:spacing w:after="0"/>
              <w:rPr>
                <w:sz w:val="22"/>
                <w:szCs w:val="22"/>
              </w:rPr>
            </w:pPr>
            <w:r w:rsidRPr="007C6E61">
              <w:rPr>
                <w:sz w:val="22"/>
                <w:szCs w:val="22"/>
              </w:rPr>
              <w:t>Khark I</w:t>
            </w:r>
          </w:p>
        </w:tc>
        <w:tc>
          <w:tcPr>
            <w:tcW w:w="2825" w:type="dxa"/>
            <w:vAlign w:val="center"/>
          </w:tcPr>
          <w:p w:rsidR="007C6E61" w:rsidRPr="007C6E61" w:rsidRDefault="007C6E61" w:rsidP="007C6E61">
            <w:pPr>
              <w:pStyle w:val="Odstavecseseznamem"/>
              <w:spacing w:after="0"/>
              <w:jc w:val="center"/>
              <w:rPr>
                <w:sz w:val="22"/>
                <w:szCs w:val="22"/>
              </w:rPr>
            </w:pPr>
            <w:r w:rsidRPr="007C6E61">
              <w:rPr>
                <w:sz w:val="22"/>
                <w:szCs w:val="22"/>
              </w:rPr>
              <w:t>0.242</w:t>
            </w:r>
          </w:p>
        </w:tc>
      </w:tr>
      <w:tr w:rsidR="007C6E61" w:rsidRPr="00CC1DE3" w:rsidTr="007C6E61">
        <w:trPr>
          <w:cantSplit/>
          <w:jc w:val="center"/>
        </w:trPr>
        <w:tc>
          <w:tcPr>
            <w:tcW w:w="2415" w:type="dxa"/>
            <w:tcBorders>
              <w:left w:val="single" w:sz="4" w:space="0" w:color="auto"/>
              <w:bottom w:val="single" w:sz="4" w:space="0" w:color="auto"/>
            </w:tcBorders>
          </w:tcPr>
          <w:p w:rsidR="007C6E61" w:rsidRPr="007C6E61" w:rsidRDefault="007C6E61" w:rsidP="007C6E61">
            <w:pPr>
              <w:pStyle w:val="Odstavecseseznamem"/>
              <w:spacing w:after="0"/>
              <w:rPr>
                <w:sz w:val="22"/>
                <w:szCs w:val="22"/>
              </w:rPr>
            </w:pPr>
            <w:r w:rsidRPr="007C6E61">
              <w:rPr>
                <w:sz w:val="22"/>
                <w:szCs w:val="22"/>
              </w:rPr>
              <w:t>Dispersed</w:t>
            </w:r>
          </w:p>
        </w:tc>
        <w:tc>
          <w:tcPr>
            <w:tcW w:w="2825" w:type="dxa"/>
            <w:tcBorders>
              <w:bottom w:val="single" w:sz="4" w:space="0" w:color="auto"/>
            </w:tcBorders>
            <w:vAlign w:val="center"/>
          </w:tcPr>
          <w:p w:rsidR="007C6E61" w:rsidRPr="007C6E61" w:rsidRDefault="007C6E61" w:rsidP="007C6E61">
            <w:pPr>
              <w:pStyle w:val="Odstavecseseznamem"/>
              <w:spacing w:after="0"/>
              <w:jc w:val="center"/>
              <w:rPr>
                <w:sz w:val="22"/>
                <w:szCs w:val="22"/>
              </w:rPr>
            </w:pPr>
            <w:r w:rsidRPr="007C6E61">
              <w:rPr>
                <w:sz w:val="22"/>
                <w:szCs w:val="22"/>
              </w:rPr>
              <w:t>0.360</w:t>
            </w:r>
          </w:p>
        </w:tc>
      </w:tr>
    </w:tbl>
    <w:p w:rsidR="00062520" w:rsidRDefault="00062520" w:rsidP="00CC1DE3">
      <w:pPr>
        <w:pStyle w:val="Odstavecseseznamem"/>
      </w:pPr>
    </w:p>
    <w:p w:rsidR="007B630B" w:rsidRDefault="007B630B" w:rsidP="0097000B">
      <w:pPr>
        <w:pStyle w:val="Nadpis-tun"/>
      </w:pPr>
      <w:r>
        <w:t>Time histor</w:t>
      </w:r>
      <w:r w:rsidR="00380E10">
        <w:t>ies</w:t>
      </w:r>
    </w:p>
    <w:p w:rsidR="00BE01C4" w:rsidRDefault="00380E10" w:rsidP="00380E10">
      <w:pPr>
        <w:pStyle w:val="Odstavecseseznamem"/>
      </w:pPr>
      <w:r w:rsidRPr="00380E10">
        <w:t>The developing of design time histories for Bushehr site were based on artificial time histories</w:t>
      </w:r>
      <w:r>
        <w:t xml:space="preserve">, </w:t>
      </w:r>
      <w:r w:rsidRPr="00380E10">
        <w:t>which is in line with IAEA standards</w:t>
      </w:r>
      <w:r>
        <w:t xml:space="preserve">. </w:t>
      </w:r>
      <w:r w:rsidR="000A2A6B" w:rsidRPr="000A2A6B">
        <w:t>Accelerograms were generated for an earthquake from three source areas for both horizontal and vertical components.</w:t>
      </w:r>
      <w:r w:rsidR="000A2A6B">
        <w:t xml:space="preserve"> </w:t>
      </w:r>
      <w:r w:rsidR="000A2A6B">
        <w:rPr>
          <w:color w:val="000000"/>
        </w:rPr>
        <w:t xml:space="preserve">The accelerogram for the strongest earthquake in the Delvar-Ahram zone (DA2) is shown in </w:t>
      </w:r>
      <w:r w:rsidR="002F252F">
        <w:rPr>
          <w:color w:val="000000"/>
        </w:rPr>
        <w:fldChar w:fldCharType="begin"/>
      </w:r>
      <w:r w:rsidR="002F252F">
        <w:rPr>
          <w:color w:val="000000"/>
        </w:rPr>
        <w:instrText xml:space="preserve"> REF _Ref534985874 \h </w:instrText>
      </w:r>
      <w:r w:rsidR="002F252F">
        <w:rPr>
          <w:color w:val="000000"/>
        </w:rPr>
      </w:r>
      <w:r w:rsidR="002F252F">
        <w:rPr>
          <w:color w:val="000000"/>
        </w:rPr>
        <w:fldChar w:fldCharType="separate"/>
      </w:r>
      <w:r w:rsidR="00185617">
        <w:t xml:space="preserve">Fig.  </w:t>
      </w:r>
      <w:r w:rsidR="00185617">
        <w:rPr>
          <w:noProof/>
        </w:rPr>
        <w:t>3</w:t>
      </w:r>
      <w:r w:rsidR="002F252F">
        <w:rPr>
          <w:color w:val="000000"/>
        </w:rPr>
        <w:fldChar w:fldCharType="end"/>
      </w:r>
      <w:r w:rsidR="000A2A6B">
        <w:rPr>
          <w:color w:val="000000"/>
        </w:rPr>
        <w:t>.</w:t>
      </w:r>
      <w:r w:rsidR="002F252F">
        <w:rPr>
          <w:color w:val="000000"/>
        </w:rPr>
        <w:t xml:space="preserve"> (See report </w:t>
      </w:r>
      <w:r w:rsidR="002F252F" w:rsidRPr="00142D17">
        <w:t xml:space="preserve">49.BU.1 0.0.ОО.FSAR.RDR001 (Chapter </w:t>
      </w:r>
      <w:r w:rsidR="002F252F">
        <w:t>3.7</w:t>
      </w:r>
      <w:r w:rsidR="002F252F" w:rsidRPr="00142D17">
        <w:t>)</w:t>
      </w:r>
      <w:r w:rsidR="002F252F">
        <w:t>, p. 12).</w:t>
      </w:r>
    </w:p>
    <w:p w:rsidR="00593F34" w:rsidRDefault="00593F34" w:rsidP="00593F34">
      <w:pPr>
        <w:pStyle w:val="Odstavecseseznamem"/>
      </w:pPr>
      <w:bookmarkStart w:id="24" w:name="_Toc481006867"/>
      <w:r>
        <w:t xml:space="preserve">Duration of </w:t>
      </w:r>
      <w:bookmarkEnd w:id="24"/>
      <w:r>
        <w:t xml:space="preserve">vibrations was determined using two different methods, as an effective duration </w:t>
      </w:r>
      <w:r w:rsidRPr="00895E2A">
        <w:t>and as a</w:t>
      </w:r>
      <w:r>
        <w:t xml:space="preserve"> pulse width. </w:t>
      </w:r>
    </w:p>
    <w:p w:rsidR="00593F34" w:rsidRDefault="00593F34" w:rsidP="00593F34">
      <w:pPr>
        <w:pStyle w:val="Odstavecseseznamem"/>
      </w:pPr>
      <w:r>
        <w:t xml:space="preserve">In the </w:t>
      </w:r>
      <w:r>
        <w:fldChar w:fldCharType="begin"/>
      </w:r>
      <w:r>
        <w:instrText xml:space="preserve"> REF _Ref534986174 \h </w:instrText>
      </w:r>
      <w:r>
        <w:fldChar w:fldCharType="separate"/>
      </w:r>
      <w:r>
        <w:t xml:space="preserve">Table </w:t>
      </w:r>
      <w:r>
        <w:rPr>
          <w:noProof/>
        </w:rPr>
        <w:t>3</w:t>
      </w:r>
      <w:r>
        <w:fldChar w:fldCharType="end"/>
      </w:r>
      <w:r>
        <w:t xml:space="preserve"> are shown the estimations of values </w:t>
      </w:r>
      <w:r>
        <w:rPr>
          <w:i/>
        </w:rPr>
        <w:t>D</w:t>
      </w:r>
      <w:r>
        <w:t xml:space="preserve"> and </w:t>
      </w:r>
      <w:r>
        <w:rPr>
          <w:i/>
        </w:rPr>
        <w:t>d</w:t>
      </w:r>
      <w:r>
        <w:t xml:space="preserve"> related to the strong ground motions at the Bushehr site during the design earthquakes in different zones. </w:t>
      </w:r>
    </w:p>
    <w:p w:rsidR="00593F34" w:rsidRDefault="00593F34" w:rsidP="00593F34">
      <w:pPr>
        <w:pStyle w:val="Titulek"/>
      </w:pPr>
      <w:bookmarkStart w:id="25" w:name="_Ref534986174"/>
      <w:bookmarkStart w:id="26" w:name="_Toc304303681"/>
      <w:bookmarkStart w:id="27" w:name="_Toc481006869"/>
      <w:bookmarkStart w:id="28" w:name="_Toc483323349"/>
    </w:p>
    <w:p w:rsidR="00593F34" w:rsidRDefault="00593F34" w:rsidP="00593F34">
      <w:pPr>
        <w:pStyle w:val="Titulek"/>
      </w:pPr>
    </w:p>
    <w:p w:rsidR="00593F34" w:rsidRDefault="00593F34" w:rsidP="00593F34">
      <w:pPr>
        <w:pStyle w:val="Titulek"/>
      </w:pPr>
    </w:p>
    <w:p w:rsidR="00593F34" w:rsidRDefault="00593F34" w:rsidP="00593F34">
      <w:pPr>
        <w:pStyle w:val="Titulek"/>
      </w:pPr>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25"/>
      <w:r>
        <w:t>: Duration of strong ground motions during expected earthquakes (SL-2)</w:t>
      </w:r>
      <w:bookmarkEnd w:id="26"/>
      <w:bookmarkEnd w:id="27"/>
      <w:bookmarkEnd w:id="28"/>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1824"/>
        <w:gridCol w:w="1938"/>
        <w:gridCol w:w="1938"/>
      </w:tblGrid>
      <w:tr w:rsidR="00593F34" w:rsidTr="005D1643">
        <w:trPr>
          <w:trHeight w:val="283"/>
        </w:trPr>
        <w:tc>
          <w:tcPr>
            <w:tcW w:w="2736" w:type="dxa"/>
            <w:shd w:val="clear" w:color="auto" w:fill="D9D9D9" w:themeFill="background1" w:themeFillShade="D9"/>
          </w:tcPr>
          <w:p w:rsidR="00593F34" w:rsidRPr="00FA4590" w:rsidRDefault="00593F34" w:rsidP="005D1643">
            <w:pPr>
              <w:pStyle w:val="Odstavecseseznamem"/>
              <w:spacing w:after="0"/>
              <w:rPr>
                <w:sz w:val="22"/>
                <w:szCs w:val="22"/>
              </w:rPr>
            </w:pPr>
            <w:r w:rsidRPr="00FA4590">
              <w:rPr>
                <w:sz w:val="22"/>
                <w:szCs w:val="22"/>
              </w:rPr>
              <w:t>Zone</w:t>
            </w:r>
          </w:p>
        </w:tc>
        <w:tc>
          <w:tcPr>
            <w:tcW w:w="1824" w:type="dxa"/>
            <w:shd w:val="clear" w:color="auto" w:fill="D9D9D9" w:themeFill="background1" w:themeFillShade="D9"/>
            <w:vAlign w:val="center"/>
          </w:tcPr>
          <w:p w:rsidR="00593F34" w:rsidRPr="00FA4590" w:rsidRDefault="00593F34" w:rsidP="005D1643">
            <w:pPr>
              <w:pStyle w:val="Odstavecseseznamem"/>
              <w:spacing w:after="0"/>
              <w:jc w:val="center"/>
              <w:rPr>
                <w:sz w:val="22"/>
                <w:szCs w:val="22"/>
              </w:rPr>
            </w:pPr>
            <w:r w:rsidRPr="00FA4590">
              <w:rPr>
                <w:i/>
                <w:sz w:val="22"/>
                <w:szCs w:val="22"/>
              </w:rPr>
              <w:t>D</w:t>
            </w:r>
            <w:r w:rsidRPr="00FA4590">
              <w:rPr>
                <w:i/>
                <w:sz w:val="22"/>
                <w:szCs w:val="22"/>
                <w:vertAlign w:val="subscript"/>
              </w:rPr>
              <w:t>horiz</w:t>
            </w:r>
            <w:r w:rsidRPr="00FA4590">
              <w:rPr>
                <w:sz w:val="22"/>
                <w:szCs w:val="22"/>
              </w:rPr>
              <w:t>, s</w:t>
            </w:r>
          </w:p>
        </w:tc>
        <w:tc>
          <w:tcPr>
            <w:tcW w:w="1938" w:type="dxa"/>
            <w:shd w:val="clear" w:color="auto" w:fill="D9D9D9" w:themeFill="background1" w:themeFillShade="D9"/>
            <w:vAlign w:val="center"/>
          </w:tcPr>
          <w:p w:rsidR="00593F34" w:rsidRPr="00FA4590" w:rsidRDefault="00593F34" w:rsidP="005D1643">
            <w:pPr>
              <w:pStyle w:val="Odstavecseseznamem"/>
              <w:spacing w:after="0"/>
              <w:jc w:val="center"/>
              <w:rPr>
                <w:sz w:val="22"/>
                <w:szCs w:val="22"/>
              </w:rPr>
            </w:pPr>
            <w:r w:rsidRPr="00FA4590">
              <w:rPr>
                <w:i/>
                <w:sz w:val="22"/>
                <w:szCs w:val="22"/>
              </w:rPr>
              <w:t>D</w:t>
            </w:r>
            <w:r w:rsidRPr="00FA4590">
              <w:rPr>
                <w:i/>
                <w:sz w:val="22"/>
                <w:szCs w:val="22"/>
                <w:vertAlign w:val="subscript"/>
              </w:rPr>
              <w:t>vert</w:t>
            </w:r>
            <w:r w:rsidRPr="00FA4590">
              <w:rPr>
                <w:sz w:val="22"/>
                <w:szCs w:val="22"/>
              </w:rPr>
              <w:t>, s</w:t>
            </w:r>
          </w:p>
        </w:tc>
        <w:tc>
          <w:tcPr>
            <w:tcW w:w="1938" w:type="dxa"/>
            <w:shd w:val="clear" w:color="auto" w:fill="D9D9D9" w:themeFill="background1" w:themeFillShade="D9"/>
            <w:vAlign w:val="center"/>
          </w:tcPr>
          <w:p w:rsidR="00593F34" w:rsidRPr="00FA4590" w:rsidRDefault="00593F34" w:rsidP="005D1643">
            <w:pPr>
              <w:pStyle w:val="Odstavecseseznamem"/>
              <w:spacing w:after="0"/>
              <w:jc w:val="center"/>
              <w:rPr>
                <w:sz w:val="22"/>
                <w:szCs w:val="22"/>
              </w:rPr>
            </w:pPr>
            <w:r w:rsidRPr="00FA4590">
              <w:rPr>
                <w:i/>
                <w:sz w:val="22"/>
                <w:szCs w:val="22"/>
              </w:rPr>
              <w:t>d</w:t>
            </w:r>
            <w:r w:rsidRPr="00FA4590">
              <w:rPr>
                <w:sz w:val="22"/>
                <w:szCs w:val="22"/>
              </w:rPr>
              <w:t>+</w:t>
            </w:r>
            <w:r w:rsidRPr="00FA4590">
              <w:rPr>
                <w:i/>
                <w:sz w:val="22"/>
                <w:szCs w:val="22"/>
              </w:rPr>
              <w:sym w:font="Symbol" w:char="F073"/>
            </w:r>
            <w:r w:rsidRPr="00FA4590">
              <w:rPr>
                <w:sz w:val="22"/>
                <w:szCs w:val="22"/>
              </w:rPr>
              <w:t>, s</w:t>
            </w:r>
          </w:p>
        </w:tc>
      </w:tr>
      <w:tr w:rsidR="00593F34" w:rsidTr="005D1643">
        <w:trPr>
          <w:trHeight w:val="283"/>
        </w:trPr>
        <w:tc>
          <w:tcPr>
            <w:tcW w:w="2736" w:type="dxa"/>
          </w:tcPr>
          <w:p w:rsidR="00593F34" w:rsidRPr="00FA4590" w:rsidRDefault="00593F34" w:rsidP="005D1643">
            <w:pPr>
              <w:pStyle w:val="Odstavecseseznamem"/>
              <w:spacing w:after="0"/>
              <w:rPr>
                <w:sz w:val="22"/>
                <w:szCs w:val="22"/>
              </w:rPr>
            </w:pPr>
            <w:r w:rsidRPr="007C6E61">
              <w:rPr>
                <w:sz w:val="22"/>
                <w:szCs w:val="22"/>
              </w:rPr>
              <w:t>Borazjan-Kazerun II</w:t>
            </w:r>
          </w:p>
        </w:tc>
        <w:tc>
          <w:tcPr>
            <w:tcW w:w="1824" w:type="dxa"/>
            <w:vAlign w:val="center"/>
          </w:tcPr>
          <w:p w:rsidR="00593F34" w:rsidRPr="00FA4590" w:rsidRDefault="00593F34" w:rsidP="005D1643">
            <w:pPr>
              <w:pStyle w:val="Odstavecseseznamem"/>
              <w:spacing w:after="0"/>
              <w:jc w:val="center"/>
              <w:rPr>
                <w:sz w:val="22"/>
                <w:szCs w:val="22"/>
              </w:rPr>
            </w:pPr>
            <w:r w:rsidRPr="00FA4590">
              <w:rPr>
                <w:sz w:val="22"/>
                <w:szCs w:val="22"/>
              </w:rPr>
              <w:t>10.9</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13.0</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18.2</w:t>
            </w:r>
          </w:p>
        </w:tc>
      </w:tr>
      <w:tr w:rsidR="00593F34" w:rsidTr="005D1643">
        <w:trPr>
          <w:trHeight w:val="283"/>
        </w:trPr>
        <w:tc>
          <w:tcPr>
            <w:tcW w:w="2736" w:type="dxa"/>
          </w:tcPr>
          <w:p w:rsidR="00593F34" w:rsidRPr="00FA4590" w:rsidRDefault="00593F34" w:rsidP="005D1643">
            <w:pPr>
              <w:pStyle w:val="Odstavecseseznamem"/>
              <w:spacing w:after="0"/>
              <w:rPr>
                <w:sz w:val="22"/>
                <w:szCs w:val="22"/>
              </w:rPr>
            </w:pPr>
            <w:r w:rsidRPr="007C6E61">
              <w:rPr>
                <w:sz w:val="22"/>
                <w:szCs w:val="22"/>
              </w:rPr>
              <w:t>Delvar-Mand</w:t>
            </w:r>
          </w:p>
        </w:tc>
        <w:tc>
          <w:tcPr>
            <w:tcW w:w="1824" w:type="dxa"/>
            <w:vAlign w:val="center"/>
          </w:tcPr>
          <w:p w:rsidR="00593F34" w:rsidRPr="00FA4590" w:rsidRDefault="00593F34" w:rsidP="005D1643">
            <w:pPr>
              <w:pStyle w:val="Odstavecseseznamem"/>
              <w:spacing w:after="0"/>
              <w:jc w:val="center"/>
              <w:rPr>
                <w:sz w:val="22"/>
                <w:szCs w:val="22"/>
              </w:rPr>
            </w:pPr>
            <w:r w:rsidRPr="00FA4590">
              <w:rPr>
                <w:sz w:val="22"/>
                <w:szCs w:val="22"/>
              </w:rPr>
              <w:t>8.2</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9.1</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6.6</w:t>
            </w:r>
          </w:p>
        </w:tc>
      </w:tr>
      <w:tr w:rsidR="00593F34" w:rsidTr="005D1643">
        <w:trPr>
          <w:trHeight w:val="283"/>
        </w:trPr>
        <w:tc>
          <w:tcPr>
            <w:tcW w:w="2736" w:type="dxa"/>
          </w:tcPr>
          <w:p w:rsidR="00593F34" w:rsidRPr="00FA4590" w:rsidRDefault="00593F34" w:rsidP="005D1643">
            <w:pPr>
              <w:pStyle w:val="Odstavecseseznamem"/>
              <w:spacing w:after="0"/>
              <w:rPr>
                <w:sz w:val="22"/>
                <w:szCs w:val="22"/>
              </w:rPr>
            </w:pPr>
            <w:r w:rsidRPr="007C6E61">
              <w:rPr>
                <w:sz w:val="22"/>
                <w:szCs w:val="22"/>
              </w:rPr>
              <w:t>Delvar-Ahram</w:t>
            </w:r>
          </w:p>
        </w:tc>
        <w:tc>
          <w:tcPr>
            <w:tcW w:w="1824" w:type="dxa"/>
            <w:vAlign w:val="center"/>
          </w:tcPr>
          <w:p w:rsidR="00593F34" w:rsidRPr="00FA4590" w:rsidRDefault="00593F34" w:rsidP="005D1643">
            <w:pPr>
              <w:pStyle w:val="Odstavecseseznamem"/>
              <w:spacing w:after="0"/>
              <w:jc w:val="center"/>
              <w:rPr>
                <w:sz w:val="22"/>
                <w:szCs w:val="22"/>
              </w:rPr>
            </w:pPr>
            <w:r w:rsidRPr="00FA4590">
              <w:rPr>
                <w:sz w:val="22"/>
                <w:szCs w:val="22"/>
              </w:rPr>
              <w:t>6.8</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7.2</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3.1</w:t>
            </w:r>
          </w:p>
        </w:tc>
      </w:tr>
      <w:tr w:rsidR="00593F34" w:rsidTr="005D1643">
        <w:trPr>
          <w:trHeight w:val="283"/>
        </w:trPr>
        <w:tc>
          <w:tcPr>
            <w:tcW w:w="2736" w:type="dxa"/>
          </w:tcPr>
          <w:p w:rsidR="00593F34" w:rsidRPr="00FA4590" w:rsidRDefault="00593F34" w:rsidP="005D1643">
            <w:pPr>
              <w:pStyle w:val="Odstavecseseznamem"/>
              <w:spacing w:after="0"/>
              <w:rPr>
                <w:sz w:val="22"/>
                <w:szCs w:val="22"/>
              </w:rPr>
            </w:pPr>
            <w:r w:rsidRPr="00FA4590">
              <w:rPr>
                <w:sz w:val="22"/>
                <w:szCs w:val="22"/>
              </w:rPr>
              <w:t>Dispersed seismicity</w:t>
            </w:r>
          </w:p>
        </w:tc>
        <w:tc>
          <w:tcPr>
            <w:tcW w:w="1824" w:type="dxa"/>
            <w:vAlign w:val="center"/>
          </w:tcPr>
          <w:p w:rsidR="00593F34" w:rsidRPr="00FA4590" w:rsidRDefault="00593F34" w:rsidP="005D1643">
            <w:pPr>
              <w:pStyle w:val="Odstavecseseznamem"/>
              <w:spacing w:after="0"/>
              <w:jc w:val="center"/>
              <w:rPr>
                <w:sz w:val="22"/>
                <w:szCs w:val="22"/>
              </w:rPr>
            </w:pPr>
            <w:r w:rsidRPr="00FA4590">
              <w:rPr>
                <w:sz w:val="22"/>
                <w:szCs w:val="22"/>
              </w:rPr>
              <w:t>2.9</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3.5</w:t>
            </w:r>
          </w:p>
        </w:tc>
        <w:tc>
          <w:tcPr>
            <w:tcW w:w="1938" w:type="dxa"/>
            <w:vAlign w:val="center"/>
          </w:tcPr>
          <w:p w:rsidR="00593F34" w:rsidRPr="00FA4590" w:rsidRDefault="00593F34" w:rsidP="005D1643">
            <w:pPr>
              <w:pStyle w:val="Odstavecseseznamem"/>
              <w:spacing w:after="0"/>
              <w:jc w:val="center"/>
              <w:rPr>
                <w:sz w:val="22"/>
                <w:szCs w:val="22"/>
              </w:rPr>
            </w:pPr>
            <w:r w:rsidRPr="00FA4590">
              <w:rPr>
                <w:sz w:val="22"/>
                <w:szCs w:val="22"/>
              </w:rPr>
              <w:t>2.3</w:t>
            </w:r>
          </w:p>
        </w:tc>
      </w:tr>
    </w:tbl>
    <w:p w:rsidR="00593F34" w:rsidRDefault="00593F34" w:rsidP="00593F34">
      <w:pPr>
        <w:pStyle w:val="Odstavecseseznamem"/>
      </w:pPr>
    </w:p>
    <w:p w:rsidR="00BE01C4" w:rsidRPr="00BE01C4" w:rsidRDefault="002F252F" w:rsidP="002F252F">
      <w:pPr>
        <w:pStyle w:val="Titulek"/>
      </w:pPr>
      <w:bookmarkStart w:id="29" w:name="_Ref534985874"/>
      <w:r>
        <w:t xml:space="preserve">Fig.  </w:t>
      </w:r>
      <w:r w:rsidR="00A23856">
        <w:rPr>
          <w:noProof/>
        </w:rPr>
        <w:fldChar w:fldCharType="begin"/>
      </w:r>
      <w:r w:rsidR="00A23856">
        <w:rPr>
          <w:noProof/>
        </w:rPr>
        <w:instrText xml:space="preserve"> SEQ Fig._ \* ARABIC </w:instrText>
      </w:r>
      <w:r w:rsidR="00A23856">
        <w:rPr>
          <w:noProof/>
        </w:rPr>
        <w:fldChar w:fldCharType="separate"/>
      </w:r>
      <w:r w:rsidR="00BF7080">
        <w:rPr>
          <w:noProof/>
        </w:rPr>
        <w:t>6</w:t>
      </w:r>
      <w:r w:rsidR="00A23856">
        <w:rPr>
          <w:noProof/>
        </w:rPr>
        <w:fldChar w:fldCharType="end"/>
      </w:r>
      <w:bookmarkEnd w:id="29"/>
      <w:r w:rsidR="000A2A6B" w:rsidRPr="000A2A6B">
        <w:rPr>
          <w:noProof/>
          <w:lang w:val="cs-CZ" w:eastAsia="cs-CZ"/>
        </w:rPr>
        <w:drawing>
          <wp:anchor distT="0" distB="0" distL="114300" distR="114300" simplePos="0" relativeHeight="251663360" behindDoc="0" locked="1" layoutInCell="1" allowOverlap="0" wp14:anchorId="745C684F" wp14:editId="623F2CA6">
            <wp:simplePos x="0" y="0"/>
            <wp:positionH relativeFrom="column">
              <wp:align>center</wp:align>
            </wp:positionH>
            <wp:positionV relativeFrom="paragraph">
              <wp:posOffset>107950</wp:posOffset>
            </wp:positionV>
            <wp:extent cx="4464000" cy="5918520"/>
            <wp:effectExtent l="0" t="0" r="0" b="635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64000" cy="5918520"/>
                    </a:xfrm>
                    <a:prstGeom prst="rect">
                      <a:avLst/>
                    </a:prstGeom>
                    <a:noFill/>
                    <a:ln>
                      <a:noFill/>
                    </a:ln>
                  </pic:spPr>
                </pic:pic>
              </a:graphicData>
            </a:graphic>
            <wp14:sizeRelH relativeFrom="page">
              <wp14:pctWidth>0</wp14:pctWidth>
            </wp14:sizeRelH>
            <wp14:sizeRelV relativeFrom="page">
              <wp14:pctHeight>0</wp14:pctHeight>
            </wp14:sizeRelV>
          </wp:anchor>
        </w:drawing>
      </w:r>
      <w:r>
        <w:t>: Acceleration time history (horizontal and vertical components.</w:t>
      </w:r>
    </w:p>
    <w:p w:rsidR="00593F34" w:rsidRDefault="00593F34" w:rsidP="0097000B">
      <w:pPr>
        <w:pStyle w:val="Nadpis-tun"/>
      </w:pPr>
    </w:p>
    <w:p w:rsidR="000318BE" w:rsidRDefault="000318BE" w:rsidP="0097000B">
      <w:pPr>
        <w:pStyle w:val="Nadpis-tun"/>
      </w:pPr>
      <w:r>
        <w:t>Local conditions</w:t>
      </w:r>
    </w:p>
    <w:p w:rsidR="00F82E41" w:rsidRDefault="00F82E41" w:rsidP="000318BE">
      <w:pPr>
        <w:pStyle w:val="Odstavecseseznamem"/>
      </w:pPr>
      <w:r w:rsidRPr="00F82E41">
        <w:t>As required by the IAEA standard NS-R-3 (2016)</w:t>
      </w:r>
      <w:r>
        <w:t>, par. 3.1</w:t>
      </w:r>
      <w:r w:rsidRPr="00F82E41">
        <w:t>, local conditions must be considered in seismic hazard analysis.</w:t>
      </w:r>
      <w:r>
        <w:t xml:space="preserve"> </w:t>
      </w:r>
      <w:r w:rsidRPr="00F82E41">
        <w:t xml:space="preserve">An important parameter is the </w:t>
      </w:r>
      <w:r>
        <w:t>velocity</w:t>
      </w:r>
      <w:r w:rsidRPr="00F82E41">
        <w:t xml:space="preserve"> of shear waves</w:t>
      </w:r>
      <w:r w:rsidR="00C64F13">
        <w:t xml:space="preserve">, </w:t>
      </w:r>
      <w:r w:rsidR="00C64F13" w:rsidRPr="00C64F13">
        <w:t>which must be determined</w:t>
      </w:r>
      <w:r w:rsidR="00C64F13">
        <w:t xml:space="preserve"> for the </w:t>
      </w:r>
      <w:r w:rsidR="00C64F13" w:rsidRPr="00C64F13">
        <w:t>foundation medium just</w:t>
      </w:r>
      <w:r w:rsidR="00C64F13">
        <w:t xml:space="preserve"> </w:t>
      </w:r>
      <w:r w:rsidR="00C64F13" w:rsidRPr="00C64F13">
        <w:t>below the foundation level of the structure in the natural condition</w:t>
      </w:r>
      <w:r>
        <w:t xml:space="preserve">. </w:t>
      </w:r>
      <w:r w:rsidRPr="00F82E41">
        <w:t>Based on this parameter, site categorization must be performed for seismic response analysis purposes</w:t>
      </w:r>
      <w:r w:rsidR="00C64F13">
        <w:t xml:space="preserve"> (See IAEA standard NS-G-3.6 (2004), par. 3.1). </w:t>
      </w:r>
    </w:p>
    <w:p w:rsidR="00B85537" w:rsidRDefault="00B85537" w:rsidP="000318BE">
      <w:pPr>
        <w:pStyle w:val="Odstavecseseznamem"/>
      </w:pPr>
      <w:r w:rsidRPr="00B85537">
        <w:t xml:space="preserve">Shear wave velocity values were determined for the sub-surface </w:t>
      </w:r>
      <w:r>
        <w:t>materials</w:t>
      </w:r>
      <w:r w:rsidRPr="00B85537">
        <w:t xml:space="preserve"> up to a depth of 100 m. The results are shown in Table</w:t>
      </w:r>
      <w:r w:rsidR="00593CCE">
        <w:t xml:space="preserve"> </w:t>
      </w:r>
      <w:r w:rsidR="00593CCE">
        <w:rPr>
          <w:color w:val="000000"/>
        </w:rPr>
        <w:t xml:space="preserve">(See report </w:t>
      </w:r>
      <w:r w:rsidR="00593CCE" w:rsidRPr="00142D17">
        <w:t xml:space="preserve">49.BU.1 0.0.ОО.FSAR.RDR001 (Chapter </w:t>
      </w:r>
      <w:r w:rsidR="00593CCE">
        <w:t>3.7</w:t>
      </w:r>
      <w:r w:rsidR="00593CCE" w:rsidRPr="00142D17">
        <w:t>)</w:t>
      </w:r>
      <w:r w:rsidR="00593CCE">
        <w:t>, p. 52).</w:t>
      </w:r>
    </w:p>
    <w:p w:rsidR="00A57982" w:rsidRDefault="00593CCE" w:rsidP="00593CCE">
      <w:pPr>
        <w:pStyle w:val="Titulek"/>
        <w:spacing w:before="120" w:after="120"/>
      </w:pPr>
      <w:bookmarkStart w:id="30" w:name="_Ref535053543"/>
      <w:r>
        <w:t xml:space="preserve">Table </w:t>
      </w:r>
      <w:r w:rsidR="00A23856">
        <w:rPr>
          <w:noProof/>
        </w:rPr>
        <w:fldChar w:fldCharType="begin"/>
      </w:r>
      <w:r w:rsidR="00A23856">
        <w:rPr>
          <w:noProof/>
        </w:rPr>
        <w:instrText xml:space="preserve"> SEQ Table \* ARABIC </w:instrText>
      </w:r>
      <w:r w:rsidR="00A23856">
        <w:rPr>
          <w:noProof/>
        </w:rPr>
        <w:fldChar w:fldCharType="separate"/>
      </w:r>
      <w:r w:rsidR="00E85210">
        <w:rPr>
          <w:noProof/>
        </w:rPr>
        <w:t>5</w:t>
      </w:r>
      <w:r w:rsidR="00A23856">
        <w:rPr>
          <w:noProof/>
        </w:rPr>
        <w:fldChar w:fldCharType="end"/>
      </w:r>
      <w:bookmarkEnd w:id="30"/>
      <w:r>
        <w:t xml:space="preserve">:  </w:t>
      </w:r>
      <w:r w:rsidRPr="00593CCE">
        <w:t>Characteristics of soils of the unit 1 reactor building foundation</w:t>
      </w:r>
    </w:p>
    <w:p w:rsidR="00E3719F" w:rsidRPr="00E3719F" w:rsidRDefault="00E3719F" w:rsidP="00E3719F">
      <w:r w:rsidRPr="00FA4590">
        <w:rPr>
          <w:noProof/>
          <w:lang w:val="cs-CZ" w:eastAsia="cs-CZ"/>
        </w:rPr>
        <w:drawing>
          <wp:anchor distT="0" distB="0" distL="114300" distR="114300" simplePos="0" relativeHeight="251665408" behindDoc="0" locked="1" layoutInCell="1" allowOverlap="0" wp14:anchorId="6F04F8ED" wp14:editId="4D3EF450">
            <wp:simplePos x="0" y="0"/>
            <wp:positionH relativeFrom="column">
              <wp:align>center</wp:align>
            </wp:positionH>
            <wp:positionV relativeFrom="paragraph">
              <wp:posOffset>107950</wp:posOffset>
            </wp:positionV>
            <wp:extent cx="5688000" cy="3625032"/>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000" cy="3625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19F" w:rsidRPr="00E3719F" w:rsidRDefault="008F33FD" w:rsidP="00E3719F">
      <w:pPr>
        <w:pStyle w:val="Odstavecseseznamem"/>
      </w:pPr>
      <w:r w:rsidRPr="00E3719F">
        <w:t xml:space="preserve">Comparing the data in the </w:t>
      </w:r>
      <w:r w:rsidR="00E3719F" w:rsidRPr="00E3719F">
        <w:fldChar w:fldCharType="begin"/>
      </w:r>
      <w:r w:rsidR="00E3719F" w:rsidRPr="00E3719F">
        <w:instrText xml:space="preserve"> REF _Ref535053543 \h </w:instrText>
      </w:r>
      <w:r w:rsidR="00E3719F">
        <w:instrText xml:space="preserve"> \* MERGEFORMAT </w:instrText>
      </w:r>
      <w:r w:rsidR="00E3719F" w:rsidRPr="00E3719F">
        <w:fldChar w:fldCharType="separate"/>
      </w:r>
      <w:r w:rsidR="00E3719F" w:rsidRPr="00E3719F">
        <w:t>Table 4</w:t>
      </w:r>
      <w:r w:rsidR="00E3719F" w:rsidRPr="00E3719F">
        <w:fldChar w:fldCharType="end"/>
      </w:r>
      <w:r w:rsidRPr="00E3719F">
        <w:t xml:space="preserve"> with the limit values according to par. 3.1 of the IAEA standard NS-G-3.6, it is clear that the Bushehr site is type 2, i.e. the shear wave velocity </w:t>
      </w:r>
      <w:r w:rsidR="00E3719F" w:rsidRPr="00E3719F">
        <w:t>(</w:t>
      </w:r>
      <w:r w:rsidR="00E3719F" w:rsidRPr="00E3719F">
        <w:rPr>
          <w:i/>
        </w:rPr>
        <w:t>V</w:t>
      </w:r>
      <w:r w:rsidR="00E3719F" w:rsidRPr="00E3719F">
        <w:rPr>
          <w:i/>
          <w:vertAlign w:val="subscript"/>
        </w:rPr>
        <w:t>S</w:t>
      </w:r>
      <w:r w:rsidR="00E3719F" w:rsidRPr="00E3719F">
        <w:t xml:space="preserve">) </w:t>
      </w:r>
      <w:r w:rsidRPr="00E3719F">
        <w:t>is in the range of 1100-300 m/s.</w:t>
      </w:r>
    </w:p>
    <w:p w:rsidR="00E3719F" w:rsidRDefault="00E3719F" w:rsidP="00E3719F">
      <w:pPr>
        <w:pStyle w:val="Odstavecseseznamem"/>
      </w:pPr>
      <w:r w:rsidRPr="00E3719F">
        <w:t xml:space="preserve">In this case it is necessary to apply a requirement resulting from the </w:t>
      </w:r>
      <w:r>
        <w:t>par. 3.7 of the</w:t>
      </w:r>
      <w:r w:rsidRPr="00E3719F">
        <w:t xml:space="preserve"> IAEA standard NS-G-3.6, </w:t>
      </w:r>
      <w:r>
        <w:t>where it</w:t>
      </w:r>
      <w:r w:rsidRPr="00E3719F">
        <w:t xml:space="preserve"> </w:t>
      </w:r>
      <w:r>
        <w:t>is</w:t>
      </w:r>
      <w:r w:rsidRPr="00E3719F">
        <w:t xml:space="preserve"> required:</w:t>
      </w:r>
      <w:r>
        <w:t xml:space="preserve"> “</w:t>
      </w:r>
      <w:r w:rsidRPr="00E3719F">
        <w:t>A computation of site response under free field conditions should be</w:t>
      </w:r>
      <w:r>
        <w:t xml:space="preserve"> </w:t>
      </w:r>
      <w:r w:rsidRPr="00E3719F">
        <w:t>carried out for sites other than Type 1 sites</w:t>
      </w:r>
      <w:r>
        <w:t>”.</w:t>
      </w:r>
      <w:r w:rsidR="00593F34">
        <w:t xml:space="preserve"> See Section “</w:t>
      </w:r>
      <w:r w:rsidR="00593F34" w:rsidRPr="00593F34">
        <w:t>Attenuation models</w:t>
      </w:r>
      <w:r w:rsidR="00593F34">
        <w:t>”.</w:t>
      </w:r>
    </w:p>
    <w:p w:rsidR="003E273A" w:rsidRDefault="008C795F" w:rsidP="008C795F">
      <w:pPr>
        <w:pStyle w:val="Nadpis-tun"/>
      </w:pPr>
      <w:r>
        <w:lastRenderedPageBreak/>
        <w:t>Safety margins</w:t>
      </w:r>
    </w:p>
    <w:p w:rsidR="008C795F" w:rsidRDefault="0053356F" w:rsidP="003E273A">
      <w:pPr>
        <w:pStyle w:val="Odstavecseseznamem"/>
      </w:pPr>
      <w:r w:rsidRPr="0053356F">
        <w:t xml:space="preserve">The submitted reports do not provide too much information on how the </w:t>
      </w:r>
      <w:r>
        <w:t>safety margins</w:t>
      </w:r>
      <w:r w:rsidRPr="0053356F">
        <w:t xml:space="preserve"> have been addressed.</w:t>
      </w:r>
      <w:r>
        <w:t xml:space="preserve"> </w:t>
      </w:r>
      <w:r w:rsidRPr="00BA2A40">
        <w:t xml:space="preserve">A passing </w:t>
      </w:r>
      <w:r w:rsidR="00BA2A40" w:rsidRPr="00BA2A40">
        <w:t>view of</w:t>
      </w:r>
      <w:r w:rsidRPr="00BA2A40">
        <w:t xml:space="preserve"> the data and results of seismic hazard analysis shows that a conservative approach has been applied (maybe too much).</w:t>
      </w:r>
      <w:r w:rsidR="00BA2A40">
        <w:t xml:space="preserve"> </w:t>
      </w:r>
      <w:r w:rsidR="00BA2A40" w:rsidRPr="00BA2A40">
        <w:t xml:space="preserve">However, specific information </w:t>
      </w:r>
      <w:r w:rsidR="007D3729">
        <w:t>isn’t</w:t>
      </w:r>
      <w:r w:rsidR="00BA2A40" w:rsidRPr="00BA2A40">
        <w:t xml:space="preserve"> available.</w:t>
      </w:r>
      <w:r w:rsidR="00D52231">
        <w:t xml:space="preserve"> </w:t>
      </w:r>
      <w:r w:rsidR="00D52231" w:rsidRPr="00D52231">
        <w:t xml:space="preserve">It seems that the </w:t>
      </w:r>
      <w:r w:rsidR="00D52231">
        <w:t>margin</w:t>
      </w:r>
      <w:r w:rsidR="00D52231" w:rsidRPr="00D52231">
        <w:t xml:space="preserve">s have been used primarily in estimating Mmax, </w:t>
      </w:r>
      <w:r w:rsidR="00D52231">
        <w:t>but it</w:t>
      </w:r>
      <w:r w:rsidR="00D52231" w:rsidRPr="00D52231">
        <w:t xml:space="preserve"> is usual</w:t>
      </w:r>
      <w:r w:rsidR="00D52231">
        <w:t xml:space="preserve"> procedure when expert judgement is applied.</w:t>
      </w:r>
    </w:p>
    <w:p w:rsidR="00D52231" w:rsidRDefault="00CC4949" w:rsidP="003E273A">
      <w:pPr>
        <w:pStyle w:val="Odstavecseseznamem"/>
      </w:pPr>
      <w:r w:rsidRPr="00CC4949">
        <w:t>However, if we are talking about a safety margin in relation to the DBE value (</w:t>
      </w:r>
      <w:r>
        <w:t>resp.</w:t>
      </w:r>
      <w:r w:rsidRPr="00CC4949">
        <w:t xml:space="preserve"> SL-2), the calculated and adopted values </w:t>
      </w:r>
      <w:r w:rsidR="00386BC1" w:rsidRPr="00CC4949">
        <w:t>must</w:t>
      </w:r>
      <w:r w:rsidRPr="00CC4949">
        <w:t xml:space="preserve"> be differentiated.</w:t>
      </w:r>
      <w:r>
        <w:t xml:space="preserve"> </w:t>
      </w:r>
    </w:p>
    <w:p w:rsidR="007D3729" w:rsidRDefault="00CC4949" w:rsidP="00186E79">
      <w:pPr>
        <w:pStyle w:val="Odstavecseseznamem"/>
      </w:pPr>
      <w:r w:rsidRPr="00CC4949">
        <w:t xml:space="preserve">In a few countries, the </w:t>
      </w:r>
      <w:r w:rsidR="00C73412">
        <w:t>regulatory body</w:t>
      </w:r>
      <w:r w:rsidRPr="00CC4949">
        <w:t xml:space="preserve"> </w:t>
      </w:r>
      <w:r w:rsidR="00C73412">
        <w:t>requires to calculate</w:t>
      </w:r>
      <w:r w:rsidRPr="00CC4949">
        <w:t xml:space="preserve"> the value of SL-2, which</w:t>
      </w:r>
      <w:r w:rsidR="00C73412">
        <w:t xml:space="preserve"> </w:t>
      </w:r>
      <w:r w:rsidRPr="00CC4949">
        <w:t>corresponds to a level with a probability of being exceeded</w:t>
      </w:r>
      <w:r w:rsidR="00C73412">
        <w:t xml:space="preserve"> equal </w:t>
      </w:r>
      <w:r w:rsidRPr="00CC4949">
        <w:t xml:space="preserve">1 </w:t>
      </w:r>
      <w:r w:rsidR="00C73412">
        <w:t>x</w:t>
      </w:r>
      <w:r w:rsidRPr="00CC4949">
        <w:t xml:space="preserve"> 10</w:t>
      </w:r>
      <w:r w:rsidRPr="00C73412">
        <w:rPr>
          <w:vertAlign w:val="superscript"/>
        </w:rPr>
        <w:t>–4</w:t>
      </w:r>
      <w:r w:rsidRPr="00CC4949">
        <w:t xml:space="preserve"> </w:t>
      </w:r>
      <w:r w:rsidR="00C73412">
        <w:t xml:space="preserve">for median value </w:t>
      </w:r>
      <w:r w:rsidRPr="00CC4949">
        <w:t>per reactor</w:t>
      </w:r>
      <w:r w:rsidR="00C73412">
        <w:t xml:space="preserve"> </w:t>
      </w:r>
      <w:r w:rsidRPr="00CC4949">
        <w:t>per year</w:t>
      </w:r>
      <w:r w:rsidR="00C73412">
        <w:t xml:space="preserve">. </w:t>
      </w:r>
      <w:r w:rsidR="00C73412" w:rsidRPr="00C73412">
        <w:t>A lower value cannot be used in the project.</w:t>
      </w:r>
      <w:r w:rsidR="00C73412">
        <w:t xml:space="preserve"> </w:t>
      </w:r>
      <w:r w:rsidR="00C73412" w:rsidRPr="00C73412">
        <w:t xml:space="preserve">The license applicant normally adds a </w:t>
      </w:r>
      <w:r w:rsidR="00C73412">
        <w:t>safety margin</w:t>
      </w:r>
      <w:r w:rsidR="00C73412" w:rsidRPr="00C73412">
        <w:t xml:space="preserve"> to this calculated value to reliably secure the </w:t>
      </w:r>
      <w:r w:rsidR="00C73412">
        <w:t xml:space="preserve">safety of the installation. </w:t>
      </w:r>
      <w:r w:rsidR="002C46C6" w:rsidRPr="002C46C6">
        <w:t xml:space="preserve">The size of this </w:t>
      </w:r>
      <w:r w:rsidR="002C46C6">
        <w:t>margin</w:t>
      </w:r>
      <w:r w:rsidR="002C46C6" w:rsidRPr="002C46C6">
        <w:t xml:space="preserve"> should result from the assessment</w:t>
      </w:r>
      <w:r w:rsidR="002C46C6">
        <w:t xml:space="preserve"> of </w:t>
      </w:r>
      <w:r w:rsidR="002C46C6" w:rsidRPr="002C46C6">
        <w:t>SSCs required safety function and their seismic capacity</w:t>
      </w:r>
      <w:r w:rsidR="002C46C6">
        <w:t xml:space="preserve">. </w:t>
      </w:r>
      <w:r w:rsidR="00C73412" w:rsidRPr="00C73412">
        <w:t>According to established practice, a value of less than 0.1 g ca</w:t>
      </w:r>
      <w:r w:rsidR="00186E79">
        <w:t>n</w:t>
      </w:r>
      <w:r w:rsidR="00C73412" w:rsidRPr="00C73412">
        <w:t>not be used in the project</w:t>
      </w:r>
      <w:r w:rsidR="00186E79">
        <w:t xml:space="preserve"> (See WENRA document: </w:t>
      </w:r>
      <w:r w:rsidR="00186E79" w:rsidRPr="00186E79">
        <w:t>Guidance on Seismic Events</w:t>
      </w:r>
      <w:r w:rsidR="00186E79">
        <w:t>, 10/2015).</w:t>
      </w:r>
    </w:p>
    <w:p w:rsidR="00220163" w:rsidRDefault="00220163" w:rsidP="00186E79">
      <w:pPr>
        <w:pStyle w:val="Odstavecseseznamem"/>
      </w:pPr>
      <w:r w:rsidRPr="00220163">
        <w:t xml:space="preserve">It appears that the </w:t>
      </w:r>
      <w:r>
        <w:t>safety</w:t>
      </w:r>
      <w:r w:rsidRPr="00220163">
        <w:t xml:space="preserve"> margin was, in the case of Bushehr NPP, solved by using</w:t>
      </w:r>
      <w:r>
        <w:t xml:space="preserve"> the </w:t>
      </w:r>
      <w:r w:rsidRPr="00CC4949">
        <w:t>probability of being exceeded</w:t>
      </w:r>
      <w:r>
        <w:t xml:space="preserve"> equal </w:t>
      </w:r>
      <w:r w:rsidRPr="00CC4949">
        <w:t xml:space="preserve">1 </w:t>
      </w:r>
      <w:r>
        <w:t>x</w:t>
      </w:r>
      <w:r w:rsidRPr="00CC4949">
        <w:t xml:space="preserve"> 10</w:t>
      </w:r>
      <w:r w:rsidRPr="00C73412">
        <w:rPr>
          <w:vertAlign w:val="superscript"/>
        </w:rPr>
        <w:t>–4</w:t>
      </w:r>
      <w:r>
        <w:t xml:space="preserve"> for 84</w:t>
      </w:r>
      <w:r w:rsidRPr="00220163">
        <w:rPr>
          <w:vertAlign w:val="superscript"/>
        </w:rPr>
        <w:t>th</w:t>
      </w:r>
      <w:r>
        <w:t xml:space="preserve"> percentile value (or median + </w:t>
      </w:r>
      <w:r>
        <w:rPr>
          <w:rFonts w:cstheme="minorHAnsi"/>
        </w:rPr>
        <w:t>σ</w:t>
      </w:r>
      <w:r>
        <w:t xml:space="preserve">). </w:t>
      </w:r>
      <w:r w:rsidRPr="00220163">
        <w:t>This approach has been used in the past</w:t>
      </w:r>
      <w:r>
        <w:t>;</w:t>
      </w:r>
      <w:r w:rsidRPr="00220163">
        <w:t xml:space="preserve"> but should be advised to make comparisons with the value of the safety margin that would have been determined using the current approach.</w:t>
      </w:r>
    </w:p>
    <w:p w:rsidR="00F6388F" w:rsidRDefault="00C06D73" w:rsidP="00C06D73">
      <w:pPr>
        <w:pStyle w:val="Nadpis-tun"/>
      </w:pPr>
      <w:r>
        <w:t xml:space="preserve">Seismic monitoring </w:t>
      </w:r>
    </w:p>
    <w:p w:rsidR="00C06D73" w:rsidRPr="00C06D73" w:rsidRDefault="00C06D73" w:rsidP="00C06D73">
      <w:pPr>
        <w:pStyle w:val="Odstavecseseznamem"/>
      </w:pPr>
      <w:r w:rsidRPr="00C06D73">
        <w:t>The installation of a seismic monitoring system is recommended by the IAEA standard NS-G-1.6</w:t>
      </w:r>
      <w:r>
        <w:t xml:space="preserve"> </w:t>
      </w:r>
      <w:r w:rsidRPr="00C06D73">
        <w:t>(2003), Section 7. A minimum amount of seismic instrumentation</w:t>
      </w:r>
      <w:r>
        <w:t xml:space="preserve"> (See N</w:t>
      </w:r>
      <w:r w:rsidR="003D2A7C">
        <w:t>S-G-1.6, par. 7.4)</w:t>
      </w:r>
      <w:r w:rsidRPr="00C06D73">
        <w:t xml:space="preserve"> should be installed at any</w:t>
      </w:r>
      <w:r w:rsidR="003D2A7C">
        <w:t xml:space="preserve"> </w:t>
      </w:r>
      <w:r w:rsidRPr="00C06D73">
        <w:t>nuclear power plant site as follows:</w:t>
      </w:r>
    </w:p>
    <w:p w:rsidR="00C06D73" w:rsidRPr="00C06D73" w:rsidRDefault="00C06D73" w:rsidP="003D2A7C">
      <w:pPr>
        <w:pStyle w:val="Odstavecseseznamem"/>
        <w:numPr>
          <w:ilvl w:val="0"/>
          <w:numId w:val="11"/>
        </w:numPr>
      </w:pPr>
      <w:r w:rsidRPr="00C06D73">
        <w:t>One triaxial strong motion recorder installed to register the free field</w:t>
      </w:r>
      <w:r w:rsidR="003D2A7C">
        <w:t xml:space="preserve"> </w:t>
      </w:r>
      <w:r w:rsidRPr="00C06D73">
        <w:t>motion;</w:t>
      </w:r>
    </w:p>
    <w:p w:rsidR="00C06D73" w:rsidRPr="00C06D73" w:rsidRDefault="00C06D73" w:rsidP="003D2A7C">
      <w:pPr>
        <w:pStyle w:val="Odstavecseseznamem"/>
        <w:numPr>
          <w:ilvl w:val="0"/>
          <w:numId w:val="11"/>
        </w:numPr>
      </w:pPr>
      <w:r w:rsidRPr="00C06D73">
        <w:t>One triaxial strong motion recorder installed to register the motion of the</w:t>
      </w:r>
      <w:r w:rsidR="003D2A7C">
        <w:t xml:space="preserve"> </w:t>
      </w:r>
      <w:r w:rsidRPr="00C06D73">
        <w:t>basemat of the reactor building;</w:t>
      </w:r>
    </w:p>
    <w:p w:rsidR="00C06D73" w:rsidRPr="00C06D73" w:rsidRDefault="00C06D73" w:rsidP="003D2A7C">
      <w:pPr>
        <w:pStyle w:val="Odstavecseseznamem"/>
        <w:numPr>
          <w:ilvl w:val="0"/>
          <w:numId w:val="11"/>
        </w:numPr>
      </w:pPr>
      <w:r w:rsidRPr="00C06D73">
        <w:t>One triaxial strong motion recorder installed on the most representative</w:t>
      </w:r>
      <w:r w:rsidR="003D2A7C">
        <w:t xml:space="preserve"> </w:t>
      </w:r>
      <w:r w:rsidRPr="00C06D73">
        <w:t>floor of the reactor building.</w:t>
      </w:r>
    </w:p>
    <w:p w:rsidR="003D2A7C" w:rsidRDefault="003D2A7C" w:rsidP="00C06D73">
      <w:pPr>
        <w:pStyle w:val="Odstavecseseznamem"/>
      </w:pPr>
      <w:r w:rsidRPr="003D2A7C">
        <w:t xml:space="preserve">If the SL-2 free field acceleration </w:t>
      </w:r>
      <w:r>
        <w:t xml:space="preserve">is </w:t>
      </w:r>
      <w:r w:rsidRPr="003D2A7C">
        <w:t xml:space="preserve">equal to or greater than 0.25g, the installation of additional seismic instrumentation devices </w:t>
      </w:r>
      <w:r>
        <w:t>should</w:t>
      </w:r>
      <w:r w:rsidRPr="003D2A7C">
        <w:t xml:space="preserve"> be considered</w:t>
      </w:r>
      <w:r>
        <w:t>.</w:t>
      </w:r>
    </w:p>
    <w:p w:rsidR="003D2A7C" w:rsidRDefault="0007234C" w:rsidP="0007234C">
      <w:pPr>
        <w:pStyle w:val="Odstavecseseznamem"/>
      </w:pPr>
      <w:r w:rsidRPr="0007234C">
        <w:t xml:space="preserve">The Bushehr Nuclear Power Plant has an installed seismic monitoring system that meets the requirements of the IAEA standard </w:t>
      </w:r>
      <w:r>
        <w:t xml:space="preserve">50-SG-D15. This system is intended to provide automatic emergency shutdown of the reactor plant at intensity characterized by the maximal horizontal acceleration on a soil free surface of 0.1 g and the maximal vertical acceleration on a soil free surface of 0.05 g. </w:t>
      </w:r>
      <w:r w:rsidRPr="0007234C">
        <w:t xml:space="preserve">And, of course, </w:t>
      </w:r>
      <w:r>
        <w:t>registration and logging of the information on seismic impact,</w:t>
      </w:r>
      <w:r w:rsidRPr="0007234C">
        <w:t xml:space="preserve"> too</w:t>
      </w:r>
      <w:r>
        <w:t>.</w:t>
      </w:r>
    </w:p>
    <w:p w:rsidR="0007234C" w:rsidRPr="0007234C" w:rsidRDefault="0007234C" w:rsidP="0007234C">
      <w:pPr>
        <w:pStyle w:val="Odstavecseseznamem"/>
      </w:pPr>
      <w:r>
        <w:lastRenderedPageBreak/>
        <w:t xml:space="preserve">Six </w:t>
      </w:r>
      <w:r w:rsidR="00C30783">
        <w:t xml:space="preserve">three-component seismic </w:t>
      </w:r>
      <w:r>
        <w:t>detectors are in 3 rooms: B0105/1, B0126 and B0105/2 room.</w:t>
      </w:r>
      <w:r w:rsidR="00C30783">
        <w:t xml:space="preserve"> Free field signal is registered by the accelerometers of the Iranian seismic station located at the NPP site.</w:t>
      </w:r>
    </w:p>
    <w:p w:rsidR="00D2282A" w:rsidRDefault="00D2282A">
      <w:pPr>
        <w:rPr>
          <w:b/>
          <w:bCs/>
          <w:szCs w:val="28"/>
        </w:rPr>
      </w:pPr>
      <w:r>
        <w:br w:type="page"/>
      </w:r>
    </w:p>
    <w:p w:rsidR="00D2282A" w:rsidRDefault="003D2A7C" w:rsidP="00D2282A">
      <w:pPr>
        <w:pStyle w:val="Nadpis4"/>
      </w:pPr>
      <w:r w:rsidRPr="00D2282A">
        <w:lastRenderedPageBreak/>
        <w:t>Current approaches and requirements</w:t>
      </w:r>
    </w:p>
    <w:p w:rsidR="006C5D41" w:rsidRDefault="00D2282A" w:rsidP="00D2282A">
      <w:pPr>
        <w:pStyle w:val="Odstavecseseznamem"/>
      </w:pPr>
      <w:r w:rsidRPr="00D2282A">
        <w:t xml:space="preserve">In response to the 2011 Fukushima nuclear accident, risk and safety assessments were carried out on all </w:t>
      </w:r>
      <w:r>
        <w:t xml:space="preserve">European NPPs. </w:t>
      </w:r>
      <w:r w:rsidRPr="00D2282A">
        <w:t>At the same time, international authorities have made considerable efforts to improve the safety standards and procedures used in external hazard assessments to enhance the safety of nuclear installations.</w:t>
      </w:r>
      <w:r>
        <w:t xml:space="preserve"> </w:t>
      </w:r>
      <w:r w:rsidRPr="00D2282A">
        <w:t>Many of the new approaches to assessing partial issues of seismic hazard analysis have been mentioned in the previous chapter</w:t>
      </w:r>
      <w:r>
        <w:t xml:space="preserve"> 2.1.1.2</w:t>
      </w:r>
      <w:r w:rsidRPr="00D2282A">
        <w:t>.</w:t>
      </w:r>
      <w:r>
        <w:t xml:space="preserve"> </w:t>
      </w:r>
      <w:r w:rsidRPr="00D2282A">
        <w:t>This chapter is devoted to two very important issues, namely:</w:t>
      </w:r>
    </w:p>
    <w:p w:rsidR="006C5D41" w:rsidRDefault="005D3F22" w:rsidP="00FE14AD">
      <w:pPr>
        <w:pStyle w:val="Odstavecseseznamem"/>
        <w:numPr>
          <w:ilvl w:val="0"/>
          <w:numId w:val="14"/>
        </w:numPr>
        <w:spacing w:after="0"/>
        <w:ind w:left="714" w:hanging="357"/>
      </w:pPr>
      <w:r>
        <w:t>s</w:t>
      </w:r>
      <w:r w:rsidR="00885D0F">
        <w:t>creening and assessment of the site-specific natural hazards</w:t>
      </w:r>
      <w:r w:rsidR="006C5D41">
        <w:t>;</w:t>
      </w:r>
    </w:p>
    <w:p w:rsidR="006C5D41" w:rsidRDefault="006C5D41" w:rsidP="006C5D41">
      <w:pPr>
        <w:pStyle w:val="Odstavecseseznamem"/>
        <w:numPr>
          <w:ilvl w:val="0"/>
          <w:numId w:val="14"/>
        </w:numPr>
      </w:pPr>
      <w:r>
        <w:t xml:space="preserve">assessment of the </w:t>
      </w:r>
      <w:r w:rsidRPr="006C5D41">
        <w:t>design extension conditions</w:t>
      </w:r>
      <w:r>
        <w:t xml:space="preserve"> (DEC).</w:t>
      </w:r>
    </w:p>
    <w:p w:rsidR="005D3F22" w:rsidRDefault="005D3F22" w:rsidP="005D3F22">
      <w:pPr>
        <w:pStyle w:val="Odstavecseseznamem"/>
      </w:pPr>
      <w:r w:rsidRPr="005D3F22">
        <w:t>Both issues are discussed in detail in WENRA</w:t>
      </w:r>
      <w:r>
        <w:t xml:space="preserve"> </w:t>
      </w:r>
      <w:r w:rsidRPr="00187732">
        <w:t>Guidance Document. Issue T: Natural Hazards. Guidance on Seismic Events. (10</w:t>
      </w:r>
      <w:r>
        <w:t>/</w:t>
      </w:r>
      <w:r w:rsidRPr="00187732">
        <w:t>2015</w:t>
      </w:r>
      <w:r>
        <w:t>)</w:t>
      </w:r>
      <w:r w:rsidRPr="00187732">
        <w:t>.</w:t>
      </w:r>
    </w:p>
    <w:p w:rsidR="006C5D41" w:rsidRDefault="00885D0F" w:rsidP="006C5D41">
      <w:pPr>
        <w:pStyle w:val="Nadpis-tun"/>
      </w:pPr>
      <w:r>
        <w:t>Screening and assessment of the site-specific natural hazards</w:t>
      </w:r>
    </w:p>
    <w:p w:rsidR="006C5D41" w:rsidRDefault="002B0D2D" w:rsidP="006C5D41">
      <w:pPr>
        <w:pStyle w:val="Odstavecseseznamem"/>
      </w:pPr>
      <w:r w:rsidRPr="002B0D2D">
        <w:t>If seismo-tectonic hazards are assessed, they must be considered as a minimum:</w:t>
      </w:r>
    </w:p>
    <w:p w:rsidR="006C5D41" w:rsidRDefault="002B0D2D" w:rsidP="00115947">
      <w:pPr>
        <w:pStyle w:val="Odstavecseseznamem"/>
        <w:numPr>
          <w:ilvl w:val="0"/>
          <w:numId w:val="15"/>
        </w:numPr>
        <w:spacing w:after="0"/>
        <w:ind w:hanging="357"/>
      </w:pPr>
      <w:r w:rsidRPr="002B0D2D">
        <w:t>Ground motion hazards and the potential for fault displacement</w:t>
      </w:r>
    </w:p>
    <w:p w:rsidR="002B0D2D" w:rsidRDefault="002B0D2D" w:rsidP="00115947">
      <w:pPr>
        <w:pStyle w:val="Odstavecseseznamem"/>
        <w:numPr>
          <w:ilvl w:val="1"/>
          <w:numId w:val="15"/>
        </w:numPr>
        <w:spacing w:after="0"/>
        <w:ind w:hanging="357"/>
      </w:pPr>
      <w:r>
        <w:t>vibratory ground motion.</w:t>
      </w:r>
    </w:p>
    <w:p w:rsidR="002B0D2D" w:rsidRDefault="002B0D2D" w:rsidP="00115947">
      <w:pPr>
        <w:pStyle w:val="Odstavecseseznamem"/>
        <w:numPr>
          <w:ilvl w:val="1"/>
          <w:numId w:val="15"/>
        </w:numPr>
        <w:spacing w:after="0"/>
        <w:ind w:hanging="357"/>
      </w:pPr>
      <w:r>
        <w:t>near fault effects</w:t>
      </w:r>
      <w:r w:rsidR="00115947">
        <w:t>.</w:t>
      </w:r>
    </w:p>
    <w:p w:rsidR="002B0D2D" w:rsidRDefault="002B0D2D" w:rsidP="00115947">
      <w:pPr>
        <w:pStyle w:val="Odstavecseseznamem"/>
        <w:numPr>
          <w:ilvl w:val="1"/>
          <w:numId w:val="15"/>
        </w:numPr>
        <w:spacing w:after="0"/>
        <w:ind w:hanging="357"/>
      </w:pPr>
      <w:r>
        <w:t xml:space="preserve">site effects, as </w:t>
      </w:r>
      <w:r w:rsidR="001A40E6" w:rsidRPr="001A40E6">
        <w:t>variations in the site-specific shear wave velocity</w:t>
      </w:r>
      <w:r w:rsidR="001A40E6">
        <w:t xml:space="preserve">, </w:t>
      </w:r>
      <w:r w:rsidR="001A40E6" w:rsidRPr="001A40E6">
        <w:t>site topography</w:t>
      </w:r>
      <w:r w:rsidR="001A40E6">
        <w:t xml:space="preserve">, </w:t>
      </w:r>
      <w:r w:rsidR="001A40E6" w:rsidRPr="001A40E6">
        <w:t>basin geologic structure</w:t>
      </w:r>
      <w:r w:rsidR="001A40E6">
        <w:t>.</w:t>
      </w:r>
    </w:p>
    <w:p w:rsidR="001A40E6" w:rsidRDefault="001A40E6" w:rsidP="00115947">
      <w:pPr>
        <w:pStyle w:val="Odstavecseseznamem"/>
        <w:numPr>
          <w:ilvl w:val="1"/>
          <w:numId w:val="15"/>
        </w:numPr>
        <w:ind w:hanging="357"/>
      </w:pPr>
      <w:r>
        <w:t>surface faulting and fault capability.</w:t>
      </w:r>
    </w:p>
    <w:p w:rsidR="001A40E6" w:rsidRDefault="00115947" w:rsidP="00115947">
      <w:pPr>
        <w:pStyle w:val="Odstavecseseznamem"/>
        <w:numPr>
          <w:ilvl w:val="0"/>
          <w:numId w:val="15"/>
        </w:numPr>
        <w:spacing w:after="0"/>
        <w:ind w:hanging="357"/>
      </w:pPr>
      <w:r w:rsidRPr="00115947">
        <w:t>Hazard phenomena triggered by seismo</w:t>
      </w:r>
      <w:r>
        <w:t>-</w:t>
      </w:r>
      <w:r w:rsidRPr="00115947">
        <w:t>tectonic events</w:t>
      </w:r>
    </w:p>
    <w:p w:rsidR="00115947" w:rsidRDefault="00115947" w:rsidP="00115947">
      <w:pPr>
        <w:pStyle w:val="Odstavecseseznamem"/>
        <w:numPr>
          <w:ilvl w:val="1"/>
          <w:numId w:val="15"/>
        </w:numPr>
        <w:spacing w:after="0"/>
        <w:ind w:hanging="357"/>
      </w:pPr>
      <w:r>
        <w:t>liquefaction.</w:t>
      </w:r>
    </w:p>
    <w:p w:rsidR="00115947" w:rsidRDefault="00115947" w:rsidP="00115947">
      <w:pPr>
        <w:pStyle w:val="Odstavecseseznamem"/>
        <w:numPr>
          <w:ilvl w:val="1"/>
          <w:numId w:val="15"/>
        </w:numPr>
        <w:spacing w:after="0"/>
        <w:ind w:hanging="357"/>
      </w:pPr>
      <w:r w:rsidRPr="00115947">
        <w:t>settlement induced by seismic shaking</w:t>
      </w:r>
      <w:r>
        <w:t>.</w:t>
      </w:r>
    </w:p>
    <w:p w:rsidR="00115947" w:rsidRDefault="00115947" w:rsidP="00115947">
      <w:pPr>
        <w:pStyle w:val="Odstavecseseznamem"/>
        <w:numPr>
          <w:ilvl w:val="1"/>
          <w:numId w:val="15"/>
        </w:numPr>
        <w:spacing w:after="0"/>
        <w:ind w:hanging="357"/>
      </w:pPr>
      <w:r>
        <w:t>ground collapse.</w:t>
      </w:r>
    </w:p>
    <w:p w:rsidR="00115947" w:rsidRDefault="00115947" w:rsidP="00115947">
      <w:pPr>
        <w:pStyle w:val="Odstavecseseznamem"/>
        <w:numPr>
          <w:ilvl w:val="1"/>
          <w:numId w:val="15"/>
        </w:numPr>
        <w:spacing w:after="0"/>
        <w:ind w:hanging="357"/>
      </w:pPr>
      <w:r>
        <w:t>earthquake-induced slope instability / underwater landslides.</w:t>
      </w:r>
    </w:p>
    <w:p w:rsidR="00115947" w:rsidRDefault="00115947" w:rsidP="00115947">
      <w:pPr>
        <w:pStyle w:val="Odstavecseseznamem"/>
        <w:numPr>
          <w:ilvl w:val="1"/>
          <w:numId w:val="15"/>
        </w:numPr>
        <w:spacing w:after="0"/>
        <w:ind w:hanging="357"/>
      </w:pPr>
      <w:r>
        <w:t>tsunamis.</w:t>
      </w:r>
    </w:p>
    <w:p w:rsidR="00115947" w:rsidRPr="00115947" w:rsidRDefault="00115947" w:rsidP="00115947">
      <w:pPr>
        <w:pStyle w:val="Odstavecseseznamem"/>
        <w:numPr>
          <w:ilvl w:val="1"/>
          <w:numId w:val="15"/>
        </w:numPr>
        <w:ind w:hanging="357"/>
      </w:pPr>
      <w:r>
        <w:t>f</w:t>
      </w:r>
      <w:r w:rsidRPr="00115947">
        <w:t xml:space="preserve">ailure of dams or other water containment structures </w:t>
      </w:r>
      <w:r>
        <w:t>due to earthquake.</w:t>
      </w:r>
      <w:r w:rsidRPr="00115947">
        <w:t xml:space="preserve"> </w:t>
      </w:r>
    </w:p>
    <w:p w:rsidR="00115947" w:rsidRDefault="00115947" w:rsidP="00115947">
      <w:pPr>
        <w:pStyle w:val="Odstavecseseznamem"/>
        <w:numPr>
          <w:ilvl w:val="0"/>
          <w:numId w:val="15"/>
        </w:numPr>
        <w:spacing w:after="0"/>
        <w:ind w:hanging="357"/>
      </w:pPr>
      <w:r>
        <w:t>Induced and triggered seismicity caused by human activities as</w:t>
      </w:r>
    </w:p>
    <w:p w:rsidR="00115947" w:rsidRDefault="00115947" w:rsidP="00115947">
      <w:pPr>
        <w:pStyle w:val="Odstavecseseznamem"/>
        <w:numPr>
          <w:ilvl w:val="1"/>
          <w:numId w:val="15"/>
        </w:numPr>
        <w:spacing w:after="0"/>
        <w:ind w:hanging="357"/>
      </w:pPr>
      <w:r>
        <w:t>mining, liquid or gas extraction, hydrofracking.</w:t>
      </w:r>
    </w:p>
    <w:p w:rsidR="00115947" w:rsidRDefault="00115947" w:rsidP="00115947">
      <w:pPr>
        <w:pStyle w:val="Odstavecseseznamem"/>
        <w:numPr>
          <w:ilvl w:val="1"/>
          <w:numId w:val="15"/>
        </w:numPr>
        <w:spacing w:after="0"/>
        <w:ind w:hanging="357"/>
      </w:pPr>
      <w:r>
        <w:t>water pumping.</w:t>
      </w:r>
    </w:p>
    <w:p w:rsidR="00115947" w:rsidRDefault="00115947" w:rsidP="00115947">
      <w:pPr>
        <w:pStyle w:val="Odstavecseseznamem"/>
        <w:numPr>
          <w:ilvl w:val="1"/>
          <w:numId w:val="15"/>
        </w:numPr>
        <w:spacing w:after="0"/>
        <w:ind w:hanging="357"/>
      </w:pPr>
      <w:r>
        <w:t>gas or liquid waste disposal.</w:t>
      </w:r>
    </w:p>
    <w:p w:rsidR="00115947" w:rsidRDefault="0005043F" w:rsidP="002B0295">
      <w:pPr>
        <w:pStyle w:val="Odstavecseseznamem"/>
        <w:numPr>
          <w:ilvl w:val="1"/>
          <w:numId w:val="15"/>
        </w:numPr>
        <w:ind w:hanging="357"/>
      </w:pPr>
      <w:r>
        <w:t>build-up of water reservoirs</w:t>
      </w:r>
      <w:r w:rsidR="00115947">
        <w:t>.</w:t>
      </w:r>
    </w:p>
    <w:p w:rsidR="001A40E6" w:rsidRPr="001A40E6" w:rsidRDefault="002B0295" w:rsidP="00115947">
      <w:pPr>
        <w:pStyle w:val="Odstavecseseznamem"/>
      </w:pPr>
      <w:r w:rsidRPr="002B0295">
        <w:t xml:space="preserve">It is necessary to develop a methodology for </w:t>
      </w:r>
      <w:r>
        <w:t>screening</w:t>
      </w:r>
      <w:r w:rsidRPr="002B0295">
        <w:t xml:space="preserve"> and analyzing potential external hazards and conducting the surveys necessary to evaluate threatening natural phenomena.</w:t>
      </w:r>
      <w:r>
        <w:t xml:space="preserve"> For more detail See Section 3 of the </w:t>
      </w:r>
      <w:r w:rsidRPr="005D3F22">
        <w:t>WENRA</w:t>
      </w:r>
      <w:r>
        <w:t xml:space="preserve"> </w:t>
      </w:r>
      <w:r w:rsidRPr="00187732">
        <w:t>Guidance Document. Issue T: Natural Hazards. Guidance on Seismic Events. (10</w:t>
      </w:r>
      <w:r>
        <w:t>/</w:t>
      </w:r>
      <w:r w:rsidRPr="00187732">
        <w:t>2015</w:t>
      </w:r>
      <w:r>
        <w:t>)</w:t>
      </w:r>
      <w:r w:rsidRPr="00187732">
        <w:t>.</w:t>
      </w:r>
      <w:r w:rsidR="008228E7">
        <w:t xml:space="preserve"> </w:t>
      </w:r>
      <w:r w:rsidR="008228E7" w:rsidRPr="008228E7">
        <w:t xml:space="preserve">The methodology can be inspired, for example, by the EPRI </w:t>
      </w:r>
      <w:r w:rsidR="00584450">
        <w:t>report “</w:t>
      </w:r>
      <w:r w:rsidR="00584450" w:rsidRPr="00187732">
        <w:t>Identification of External Hazards for Analysis in Probabilistic Risk Assessment</w:t>
      </w:r>
      <w:r w:rsidR="00584450">
        <w:t>” (2015)</w:t>
      </w:r>
      <w:r w:rsidR="008228E7" w:rsidRPr="008228E7">
        <w:t>.</w:t>
      </w:r>
    </w:p>
    <w:p w:rsidR="002B0295" w:rsidRDefault="002B0295" w:rsidP="002B0295">
      <w:pPr>
        <w:pStyle w:val="Nadpis-tun"/>
      </w:pPr>
    </w:p>
    <w:p w:rsidR="002B0295" w:rsidRDefault="002B0295" w:rsidP="002B0295">
      <w:pPr>
        <w:pStyle w:val="Nadpis-tun"/>
      </w:pPr>
      <w:r>
        <w:lastRenderedPageBreak/>
        <w:t>Assessment of DEC</w:t>
      </w:r>
      <w:r w:rsidRPr="006C5D41">
        <w:t xml:space="preserve"> conditions</w:t>
      </w:r>
    </w:p>
    <w:p w:rsidR="000C7BF8" w:rsidRPr="00A9603D" w:rsidRDefault="00741919" w:rsidP="00A9603D">
      <w:pPr>
        <w:pStyle w:val="Odstavecseseznamem"/>
      </w:pPr>
      <w:r w:rsidRPr="00A9603D">
        <w:t>The concept of the “</w:t>
      </w:r>
      <w:r w:rsidR="000C7BF8" w:rsidRPr="00A9603D">
        <w:t xml:space="preserve">Design </w:t>
      </w:r>
      <w:r w:rsidR="00E55943">
        <w:t>E</w:t>
      </w:r>
      <w:r w:rsidR="000C7BF8" w:rsidRPr="00A9603D">
        <w:t>xtension Conditions</w:t>
      </w:r>
      <w:r w:rsidRPr="00A9603D">
        <w:t xml:space="preserve">” is set out in Chapter </w:t>
      </w:r>
      <w:r w:rsidR="0071409C" w:rsidRPr="00A9603D">
        <w:t>2</w:t>
      </w:r>
      <w:r w:rsidRPr="00A9603D">
        <w:t xml:space="preserve"> of the WENRA Guidance Document. </w:t>
      </w:r>
      <w:r w:rsidR="000C7BF8" w:rsidRPr="00A9603D">
        <w:t xml:space="preserve">Issue F:  Design Extension of Existing Reactors. </w:t>
      </w:r>
      <w:r w:rsidRPr="00A9603D">
        <w:t xml:space="preserve">From this chapter follows the basic requirement, which is formulated as follows: </w:t>
      </w:r>
      <w:r w:rsidR="000C7BF8" w:rsidRPr="00A9603D">
        <w:t xml:space="preserve">“A set of DECs shall be derived and justified”. </w:t>
      </w:r>
    </w:p>
    <w:p w:rsidR="000653AE" w:rsidRPr="00A9603D" w:rsidRDefault="000C7BF8" w:rsidP="00A9603D">
      <w:pPr>
        <w:pStyle w:val="Odstavecseseznamem"/>
      </w:pPr>
      <w:r w:rsidRPr="00A9603D">
        <w:t>The DEC analysis must consider such events, and combinations of events, which cannot be considered with a high degree of confidence to be extremely unlikely to occur and which may lead to severe fuel damage in the core</w:t>
      </w:r>
      <w:r w:rsidR="000653AE" w:rsidRPr="00A9603D">
        <w:t xml:space="preserve">. Such phenomena can be, inter alia, initiated by </w:t>
      </w:r>
      <w:r w:rsidR="000653AE" w:rsidRPr="000653AE">
        <w:t>earthquake, flood or other natural hazards exceeding the design basis events</w:t>
      </w:r>
      <w:r w:rsidR="000653AE" w:rsidRPr="00A9603D">
        <w:t>.</w:t>
      </w:r>
      <w:r w:rsidR="000653AE" w:rsidRPr="000653AE">
        <w:t xml:space="preserve"> </w:t>
      </w:r>
      <w:r w:rsidR="000653AE" w:rsidRPr="00A9603D">
        <w:t>The effort is to identify and assess a “Beyond design-basis accident”, which is accident sequences that are possible but were not fully considered in the design process because they were judged to be too unlikely.</w:t>
      </w:r>
    </w:p>
    <w:p w:rsidR="00A9603D" w:rsidRPr="00A9603D" w:rsidRDefault="000653AE" w:rsidP="00A9603D">
      <w:pPr>
        <w:pStyle w:val="Odstavecseseznamem"/>
      </w:pPr>
      <w:r w:rsidRPr="00A9603D">
        <w:t>If the phenomenon relates to an earthquake, it is sought</w:t>
      </w:r>
      <w:r w:rsidR="00A9603D" w:rsidRPr="00A9603D">
        <w:t xml:space="preserve"> t</w:t>
      </w:r>
      <w:r w:rsidR="00DB5DB5" w:rsidRPr="00A9603D">
        <w:t xml:space="preserve">he largest hypothetical earthquake </w:t>
      </w:r>
      <w:r w:rsidR="00A9603D" w:rsidRPr="00A9603D">
        <w:t>(</w:t>
      </w:r>
      <w:r w:rsidR="00B16A39">
        <w:t xml:space="preserve">Maximum Credible Earthquake - </w:t>
      </w:r>
      <w:r w:rsidR="00A9603D" w:rsidRPr="00A9603D">
        <w:t xml:space="preserve">MCE). It is an earthquake </w:t>
      </w:r>
      <w:r w:rsidR="00DB5DB5" w:rsidRPr="00A9603D">
        <w:t>that may be reasonably expected to occur along a given fault or other seismic source could produce under the current tectonic setting. It is a believable event which can be supported by all known geologic and seismologic data.</w:t>
      </w:r>
      <w:r w:rsidR="00A9603D" w:rsidRPr="00A9603D">
        <w:t xml:space="preserve"> The definition of MCE is usually based on a combination of deterministic and probabilistic assessments as well as engineering judgement. </w:t>
      </w:r>
    </w:p>
    <w:p w:rsidR="00A9603D" w:rsidRDefault="00A9603D" w:rsidP="00A9603D">
      <w:pPr>
        <w:pStyle w:val="Odstavecseseznamem"/>
      </w:pPr>
      <w:r w:rsidRPr="00A9603D">
        <w:t>More detailed recommendations on how to establish MCE are given in Chapter 6 of WENRA Guidance Document. Issue T: Natural Hazards. Guidance on Seismic Events</w:t>
      </w:r>
      <w:r>
        <w:t xml:space="preserve"> (2015)</w:t>
      </w:r>
      <w:r w:rsidRPr="00A9603D">
        <w:t>.</w:t>
      </w:r>
      <w:r>
        <w:t xml:space="preserve"> </w:t>
      </w:r>
      <w:r w:rsidRPr="00A9603D">
        <w:t>Two basic ideas should be observed</w:t>
      </w:r>
      <w:r>
        <w:t xml:space="preserve">: </w:t>
      </w:r>
    </w:p>
    <w:p w:rsidR="00A9603D" w:rsidRDefault="00A9603D" w:rsidP="00A9603D">
      <w:pPr>
        <w:pStyle w:val="Odstavecseseznamem"/>
        <w:numPr>
          <w:ilvl w:val="0"/>
          <w:numId w:val="16"/>
        </w:numPr>
        <w:ind w:left="567"/>
      </w:pPr>
      <w:r>
        <w:t xml:space="preserve">Demonstrate </w:t>
      </w:r>
      <w:r w:rsidRPr="00A9603D">
        <w:t>physical impossibility</w:t>
      </w:r>
      <w:r>
        <w:t>, if possible.</w:t>
      </w:r>
    </w:p>
    <w:p w:rsidR="003D2A7C" w:rsidRDefault="00A9603D" w:rsidP="00A9603D">
      <w:pPr>
        <w:pStyle w:val="Odstavecseseznamem"/>
        <w:numPr>
          <w:ilvl w:val="0"/>
          <w:numId w:val="16"/>
        </w:numPr>
        <w:ind w:left="567"/>
      </w:pPr>
      <w:r w:rsidRPr="00A9603D">
        <w:t>Estimate maximum ground shaking or displacement at the site corresponding to the MCE us</w:t>
      </w:r>
      <w:r w:rsidR="00344272">
        <w:t>ing</w:t>
      </w:r>
      <w:r w:rsidRPr="00A9603D">
        <w:t xml:space="preserve"> deterministic methods that are based on the systematic assessment of potentially seismogenic faults in an area extending to a sufficient distance from the site, and of capable faults in an area of not less than 25 km around the site (near regional scale</w:t>
      </w:r>
      <w:r w:rsidR="00344272">
        <w:t xml:space="preserve">). </w:t>
      </w:r>
      <w:r w:rsidRPr="00A9603D">
        <w:t xml:space="preserve"> </w:t>
      </w:r>
    </w:p>
    <w:p w:rsidR="00344272" w:rsidRDefault="00344272" w:rsidP="00344272">
      <w:pPr>
        <w:pStyle w:val="Odstavecseseznamem"/>
      </w:pPr>
      <w:r w:rsidRPr="00344272">
        <w:t xml:space="preserve">A similar approach </w:t>
      </w:r>
      <w:r>
        <w:t>must</w:t>
      </w:r>
      <w:r w:rsidRPr="00344272">
        <w:t xml:space="preserve"> be applied to zones of diffused seismicity. MCE estimates can be obtained from the dimension of faults with suitable orientation which may be assumed to move under the current stress conditions.</w:t>
      </w:r>
    </w:p>
    <w:p w:rsidR="00344272" w:rsidRPr="00E56943" w:rsidRDefault="00E56943" w:rsidP="00E56943">
      <w:pPr>
        <w:pStyle w:val="Nadpis4"/>
        <w:rPr>
          <w:rStyle w:val="Zvraznn"/>
        </w:rPr>
      </w:pPr>
      <w:r w:rsidRPr="00E56943">
        <w:rPr>
          <w:rStyle w:val="Zvraznn"/>
        </w:rPr>
        <w:t>Conclusion on the adequacy of the design basis for the earthquake</w:t>
      </w:r>
    </w:p>
    <w:p w:rsidR="00344272" w:rsidRDefault="00CE033B" w:rsidP="00CE033B">
      <w:pPr>
        <w:pStyle w:val="Odstavecseseznamem"/>
      </w:pPr>
      <w:r w:rsidRPr="00CE033B">
        <w:t xml:space="preserve">In the analysis of seismic </w:t>
      </w:r>
      <w:r w:rsidR="00A51C62">
        <w:t>hazard presented</w:t>
      </w:r>
      <w:r w:rsidRPr="00CE033B">
        <w:t>, it is possible to find a</w:t>
      </w:r>
      <w:r w:rsidR="00EB4B24">
        <w:t>n</w:t>
      </w:r>
      <w:r w:rsidRPr="00CE033B">
        <w:t xml:space="preserve"> </w:t>
      </w:r>
      <w:r w:rsidR="00A51C62">
        <w:t>adequate</w:t>
      </w:r>
      <w:r w:rsidRPr="00CE033B">
        <w:t xml:space="preserve"> response to all the recommendations and challenges of international practice that were </w:t>
      </w:r>
      <w:r w:rsidR="00A51C62">
        <w:t>valid</w:t>
      </w:r>
      <w:r w:rsidRPr="00CE033B">
        <w:t xml:space="preserve"> at the time the report</w:t>
      </w:r>
      <w:r w:rsidR="00A51C62">
        <w:t xml:space="preserve"> was written</w:t>
      </w:r>
      <w:r w:rsidRPr="00CE033B">
        <w:t>.</w:t>
      </w:r>
    </w:p>
    <w:p w:rsidR="00344272" w:rsidRPr="00A9603D" w:rsidRDefault="00A51C62" w:rsidP="00762869">
      <w:pPr>
        <w:pStyle w:val="Odstavecseseznamem"/>
      </w:pPr>
      <w:r w:rsidRPr="00A51C62">
        <w:t>A combination of multiple methods (probabilistic, deterministic and macroseismic) and conservatism (perhaps too much) can be considered a strong aspect of analysis.</w:t>
      </w:r>
      <w:r>
        <w:t xml:space="preserve"> </w:t>
      </w:r>
      <w:r w:rsidR="00762869" w:rsidRPr="00762869">
        <w:t xml:space="preserve">The weakness of the analysis can be seen in the fact that the statements and the results are not clearly supported by the evidence, and it is often difficult to verify </w:t>
      </w:r>
      <w:r w:rsidR="00762869">
        <w:t>them.</w:t>
      </w:r>
    </w:p>
    <w:p w:rsidR="00EB4B24" w:rsidRDefault="00762869" w:rsidP="00762869">
      <w:pPr>
        <w:pStyle w:val="Odstavecseseznamem"/>
      </w:pPr>
      <w:r w:rsidRPr="00762869">
        <w:lastRenderedPageBreak/>
        <w:t xml:space="preserve">A more serious shortcoming is some confusion about the safety margin. It is not clear whether the </w:t>
      </w:r>
      <w:r w:rsidR="00EB4B24">
        <w:t>safety margin</w:t>
      </w:r>
      <w:r w:rsidRPr="00762869">
        <w:t xml:space="preserve"> is included in the </w:t>
      </w:r>
      <w:r w:rsidR="00EB4B24">
        <w:t>DBE</w:t>
      </w:r>
      <w:r w:rsidRPr="00762869">
        <w:t xml:space="preserve"> or not. However, the result</w:t>
      </w:r>
      <w:r w:rsidR="00EB4B24">
        <w:t>ing DBE</w:t>
      </w:r>
      <w:r w:rsidRPr="00762869">
        <w:t xml:space="preserve"> appears to be adequate (on the safety side).</w:t>
      </w:r>
    </w:p>
    <w:p w:rsidR="004E3640" w:rsidRDefault="004E3640" w:rsidP="00762869">
      <w:pPr>
        <w:pStyle w:val="Odstavecseseznamem"/>
      </w:pPr>
      <w:r w:rsidRPr="004E3640">
        <w:t xml:space="preserve">The above text mentions several measures that would help improve seismic hazard analysis. These measures are not only designed to improve the </w:t>
      </w:r>
      <w:r w:rsidR="00A4015E">
        <w:t>existing</w:t>
      </w:r>
      <w:r w:rsidRPr="004E3640">
        <w:t xml:space="preserve"> analysis but are also </w:t>
      </w:r>
      <w:r>
        <w:t>directed</w:t>
      </w:r>
      <w:r w:rsidRPr="004E3640">
        <w:t xml:space="preserve"> to meet current requirements using state-of-art approaches.</w:t>
      </w:r>
      <w:r>
        <w:t xml:space="preserve"> </w:t>
      </w:r>
      <w:r w:rsidRPr="004E3640">
        <w:t>The following measures are very important:</w:t>
      </w:r>
    </w:p>
    <w:p w:rsidR="00F34AC3" w:rsidRDefault="00F34AC3" w:rsidP="004E3640">
      <w:pPr>
        <w:pStyle w:val="Odstavecseseznamem"/>
        <w:numPr>
          <w:ilvl w:val="0"/>
          <w:numId w:val="17"/>
        </w:numPr>
        <w:ind w:left="567"/>
      </w:pPr>
      <w:r w:rsidRPr="00F34AC3">
        <w:t>better clarify input data (catalogs, break descriptions, models of seismic sources), document them carefully and support them with credible evidence</w:t>
      </w:r>
      <w:r w:rsidR="00A8502E">
        <w:t xml:space="preserve"> from field surveys;</w:t>
      </w:r>
    </w:p>
    <w:p w:rsidR="00F34AC3" w:rsidRDefault="00F34AC3" w:rsidP="00F34AC3">
      <w:pPr>
        <w:pStyle w:val="Odstavecseseznamem"/>
        <w:numPr>
          <w:ilvl w:val="0"/>
          <w:numId w:val="17"/>
        </w:numPr>
        <w:ind w:left="567"/>
      </w:pPr>
      <w:r w:rsidRPr="00F34AC3">
        <w:t>better manage procedures to determine the safety margin and clearly declare its value</w:t>
      </w:r>
      <w:r w:rsidR="00A8502E">
        <w:t>;</w:t>
      </w:r>
    </w:p>
    <w:p w:rsidR="00A8502E" w:rsidRDefault="00A8502E" w:rsidP="001316E7">
      <w:pPr>
        <w:pStyle w:val="Odstavecseseznamem"/>
        <w:numPr>
          <w:ilvl w:val="0"/>
          <w:numId w:val="17"/>
        </w:numPr>
        <w:ind w:left="567"/>
      </w:pPr>
      <w:r>
        <w:t>add screening and assessment of the site-specific natural hazards;</w:t>
      </w:r>
    </w:p>
    <w:p w:rsidR="00A8502E" w:rsidRDefault="00A8502E" w:rsidP="00A8502E">
      <w:pPr>
        <w:pStyle w:val="Odstavecseseznamem"/>
        <w:numPr>
          <w:ilvl w:val="0"/>
          <w:numId w:val="17"/>
        </w:numPr>
        <w:ind w:left="567"/>
      </w:pPr>
      <w:r>
        <w:t xml:space="preserve">add assessment of the </w:t>
      </w:r>
      <w:r w:rsidRPr="006C5D41">
        <w:t>design extension conditions</w:t>
      </w:r>
      <w:r>
        <w:t xml:space="preserve"> (DEC).</w:t>
      </w:r>
    </w:p>
    <w:p w:rsidR="00EB571C" w:rsidRPr="00762869" w:rsidRDefault="00A8502E" w:rsidP="00A8502E">
      <w:pPr>
        <w:pStyle w:val="Odstavecseseznamem"/>
      </w:pPr>
      <w:r w:rsidRPr="00A8502E">
        <w:t xml:space="preserve">In conclusion, it is necessary to mention the usual practice of periodic verification of </w:t>
      </w:r>
      <w:r w:rsidR="00BF5EE9">
        <w:t>NPP</w:t>
      </w:r>
      <w:r w:rsidRPr="00A8502E">
        <w:t xml:space="preserve"> safety. Therefore, based on the results of the periodic </w:t>
      </w:r>
      <w:r w:rsidR="00A4015E">
        <w:t xml:space="preserve">safety </w:t>
      </w:r>
      <w:r w:rsidRPr="00A8502E">
        <w:t xml:space="preserve">review and this study, it is recommended to elaborate a plan of </w:t>
      </w:r>
      <w:r w:rsidR="00BF5EE9">
        <w:t>additional</w:t>
      </w:r>
      <w:r w:rsidRPr="00A8502E">
        <w:t xml:space="preserve"> geological and seismological surveys, to implement it and </w:t>
      </w:r>
      <w:r w:rsidR="00BF5EE9">
        <w:t>to upgrade</w:t>
      </w:r>
      <w:r w:rsidRPr="00A8502E">
        <w:t xml:space="preserve"> analysis of seismic hazard.</w:t>
      </w:r>
      <w:r w:rsidR="00EB571C">
        <w:br w:type="page"/>
      </w:r>
    </w:p>
    <w:p w:rsidR="000B4FB0" w:rsidRDefault="000B4FB0" w:rsidP="00CE54C7">
      <w:pPr>
        <w:pStyle w:val="Nadpis2"/>
        <w:numPr>
          <w:ilvl w:val="0"/>
          <w:numId w:val="0"/>
        </w:numPr>
      </w:pPr>
      <w:bookmarkStart w:id="31" w:name="_GoBack"/>
      <w:bookmarkEnd w:id="31"/>
      <w:r>
        <w:lastRenderedPageBreak/>
        <w:t>References</w:t>
      </w:r>
    </w:p>
    <w:p w:rsidR="004D374C" w:rsidRDefault="004D374C" w:rsidP="007E0191">
      <w:pPr>
        <w:pStyle w:val="Literatura"/>
      </w:pPr>
      <w:r w:rsidRPr="00187732">
        <w:t>IAEA NS-R-3. Site Evaluation for Nuclear Installation, Safety Requirements. Standards Series No. NS-R-3, Rev. 1. IAEA. Vienna 2016.</w:t>
      </w:r>
    </w:p>
    <w:p w:rsidR="000B4FB0" w:rsidRPr="000B4FB0" w:rsidRDefault="000B4FB0" w:rsidP="007E0191">
      <w:pPr>
        <w:pStyle w:val="Literatura"/>
      </w:pPr>
      <w:r w:rsidRPr="000B4FB0">
        <w:t>IAEA NS-G-1.6. Seismic design and qualification for nuclear power plants Safety Guide, Safety Standards Series No. NS-G-1.6. IAEA. Vienna 2003.</w:t>
      </w:r>
    </w:p>
    <w:p w:rsidR="000B4FB0" w:rsidRDefault="000B4FB0" w:rsidP="007E0191">
      <w:pPr>
        <w:pStyle w:val="Literatura"/>
      </w:pPr>
      <w:r w:rsidRPr="00187732">
        <w:t>IAEA SSG-9. Seismic Hazards in Site Evaluation for Nuclear Installations. Specific Safety Guide, Safety Standards Series No. SSG-9. IAEA. Vienna 2010.</w:t>
      </w:r>
    </w:p>
    <w:p w:rsidR="00D70C46" w:rsidRDefault="00D70C46" w:rsidP="007E0191">
      <w:pPr>
        <w:pStyle w:val="Literatura"/>
      </w:pPr>
      <w:r w:rsidRPr="00D70C46">
        <w:rPr>
          <w:smallCaps/>
        </w:rPr>
        <w:t>IAEA</w:t>
      </w:r>
      <w:r w:rsidRPr="00D70C46">
        <w:t xml:space="preserve"> </w:t>
      </w:r>
      <w:r w:rsidRPr="0079674C">
        <w:t>TECDOC</w:t>
      </w:r>
      <w:r>
        <w:t>-1767</w:t>
      </w:r>
      <w:r w:rsidRPr="0079674C">
        <w:t xml:space="preserve">. </w:t>
      </w:r>
      <w:r w:rsidRPr="00D70C46">
        <w:t>The Contribution of Palaeoseismology to Seismic Hazard Assessment in Site Evaluation for Nuclear</w:t>
      </w:r>
      <w:r w:rsidRPr="0079674C">
        <w:t xml:space="preserve"> Installations. International Atomic Energy Agency, Vienna 2015.</w:t>
      </w:r>
    </w:p>
    <w:p w:rsidR="0071409C" w:rsidRDefault="0071409C" w:rsidP="0071409C">
      <w:pPr>
        <w:pStyle w:val="Literatura"/>
      </w:pPr>
      <w:r w:rsidRPr="00187732">
        <w:t>WENRA (Western European Nuclear Regulators’ Association), 201</w:t>
      </w:r>
      <w:r>
        <w:t>4</w:t>
      </w:r>
      <w:r w:rsidRPr="00187732">
        <w:t xml:space="preserve">.  Guidance Document. Issue </w:t>
      </w:r>
      <w:r>
        <w:t>F</w:t>
      </w:r>
      <w:r w:rsidRPr="00187732">
        <w:t xml:space="preserve">: </w:t>
      </w:r>
      <w:r w:rsidRPr="0071409C">
        <w:t xml:space="preserve"> Design Extension of Existing Reactors</w:t>
      </w:r>
      <w:r>
        <w:t>.</w:t>
      </w:r>
      <w:r w:rsidRPr="0071409C">
        <w:t xml:space="preserve"> </w:t>
      </w:r>
      <w:r w:rsidRPr="00187732">
        <w:t xml:space="preserve"> Reactor Harmonization Working Group, </w:t>
      </w:r>
      <w:r>
        <w:t>2</w:t>
      </w:r>
      <w:r w:rsidRPr="00187732">
        <w:t>9.</w:t>
      </w:r>
      <w:r>
        <w:t>09</w:t>
      </w:r>
      <w:r w:rsidRPr="00187732">
        <w:t>.201</w:t>
      </w:r>
      <w:r>
        <w:t>4</w:t>
      </w:r>
      <w:r w:rsidRPr="00187732">
        <w:t>.</w:t>
      </w:r>
    </w:p>
    <w:p w:rsidR="00D70C46" w:rsidRDefault="00D70C46" w:rsidP="00D70C46">
      <w:pPr>
        <w:pStyle w:val="Literatura"/>
      </w:pPr>
      <w:r w:rsidRPr="00187732">
        <w:t>WENRA (Western European Nuclear Regulators’ Association), 2015.  Guidance Document. Issue T: Natural Hazards. Guidance on Seismic Events. (Annex to the Guidance Head Document on Natural Hazards). Reactor Harmonization Working Group, 9.10.2015.</w:t>
      </w:r>
    </w:p>
    <w:p w:rsidR="00584450" w:rsidRPr="00187732" w:rsidRDefault="00584450" w:rsidP="00584450">
      <w:pPr>
        <w:pStyle w:val="Literatura"/>
      </w:pPr>
      <w:r w:rsidRPr="00187732">
        <w:t>EPRI (Electric Power Research Institute), 2015. Identification of External Hazards for Analysis in Probabilistic Risk Assessment. Update of Report 1022997. Technical Report, 142 pp. October 2015.</w:t>
      </w:r>
    </w:p>
    <w:p w:rsidR="000B4FB0" w:rsidRDefault="000B4FB0" w:rsidP="007E0191">
      <w:pPr>
        <w:pStyle w:val="Literatura"/>
      </w:pPr>
      <w:r>
        <w:t xml:space="preserve">Report </w:t>
      </w:r>
      <w:r w:rsidRPr="000B4FB0">
        <w:t>18.BU.1 0.0.OO.VAB.PR</w:t>
      </w:r>
      <w:r>
        <w:t xml:space="preserve">. NPP </w:t>
      </w:r>
      <w:r w:rsidRPr="000B4FB0">
        <w:t>“Bushehr”</w:t>
      </w:r>
      <w:r>
        <w:t xml:space="preserve">, </w:t>
      </w:r>
      <w:r w:rsidRPr="000B4FB0">
        <w:t>Unit 1</w:t>
      </w:r>
      <w:r>
        <w:t xml:space="preserve">. Probabilistic safety assessment </w:t>
      </w:r>
      <w:r w:rsidRPr="000B4FB0">
        <w:t>on the project of reconstruction and completion of Unit 1 NPP “Bushehr”</w:t>
      </w:r>
      <w:r>
        <w:t>. Probabilistic safety assessment for seismic events</w:t>
      </w:r>
      <w:r w:rsidR="00E76E49">
        <w:t xml:space="preserve">. Rev. 2. </w:t>
      </w:r>
      <w:r w:rsidR="00E76E49" w:rsidRPr="000B4FB0">
        <w:t>Joint stock company “Atomenergoproekt”</w:t>
      </w:r>
      <w:r w:rsidR="00E76E49">
        <w:t xml:space="preserve">, </w:t>
      </w:r>
      <w:r w:rsidR="00E76E49" w:rsidRPr="000B4FB0">
        <w:t>Moscow</w:t>
      </w:r>
      <w:r w:rsidR="00E76E49">
        <w:t>,</w:t>
      </w:r>
      <w:r w:rsidR="00E76E49" w:rsidRPr="000B4FB0">
        <w:t xml:space="preserve"> 2009</w:t>
      </w:r>
      <w:r w:rsidR="00E76E49">
        <w:t>.</w:t>
      </w:r>
    </w:p>
    <w:p w:rsidR="0085428D" w:rsidRDefault="0085428D" w:rsidP="0085428D">
      <w:pPr>
        <w:pStyle w:val="Literatura"/>
      </w:pPr>
      <w:r>
        <w:t xml:space="preserve">Report </w:t>
      </w:r>
      <w:r w:rsidRPr="0085428D">
        <w:t>9S.BU.l 0.0.IZ.PM.PRR04</w:t>
      </w:r>
      <w:r>
        <w:t xml:space="preserve">. NPP </w:t>
      </w:r>
      <w:r w:rsidRPr="000B4FB0">
        <w:t>“Bushehr”</w:t>
      </w:r>
      <w:r>
        <w:t xml:space="preserve">, </w:t>
      </w:r>
      <w:r w:rsidRPr="000B4FB0">
        <w:t>Unit 1</w:t>
      </w:r>
      <w:r>
        <w:t xml:space="preserve">. </w:t>
      </w:r>
      <w:r w:rsidRPr="0085428D">
        <w:t>Supplementary Site Investigations for Evalu</w:t>
      </w:r>
      <w:r>
        <w:t>a</w:t>
      </w:r>
      <w:r w:rsidRPr="0085428D">
        <w:t>tion of Design Basis</w:t>
      </w:r>
      <w:r>
        <w:t xml:space="preserve"> </w:t>
      </w:r>
      <w:r w:rsidRPr="0085428D">
        <w:t>Parameters of the Unit</w:t>
      </w:r>
      <w:r>
        <w:t xml:space="preserve">. </w:t>
      </w:r>
      <w:r w:rsidRPr="0085428D">
        <w:t>Final Report as per Sect</w:t>
      </w:r>
      <w:r>
        <w:t>i</w:t>
      </w:r>
      <w:r w:rsidRPr="0085428D">
        <w:t>on No. 1-10</w:t>
      </w:r>
      <w:r>
        <w:t xml:space="preserve"> </w:t>
      </w:r>
      <w:r w:rsidRPr="0085428D">
        <w:t>of Attachment Y.A</w:t>
      </w:r>
      <w:r>
        <w:t xml:space="preserve">. </w:t>
      </w:r>
      <w:r w:rsidRPr="0085428D">
        <w:t>to Appendix.</w:t>
      </w:r>
      <w:r>
        <w:t xml:space="preserve"> </w:t>
      </w:r>
      <w:r w:rsidRPr="0085428D">
        <w:t>Volume 2 Regional and Sub</w:t>
      </w:r>
      <w:r>
        <w:t>re</w:t>
      </w:r>
      <w:r w:rsidRPr="0085428D">
        <w:t>gional Investigations</w:t>
      </w:r>
      <w:r>
        <w:t xml:space="preserve">. </w:t>
      </w:r>
      <w:r w:rsidRPr="0085428D">
        <w:t>Part 2 Seismological Investigations</w:t>
      </w:r>
      <w:r>
        <w:t xml:space="preserve">. </w:t>
      </w:r>
      <w:r w:rsidRPr="0085428D">
        <w:t>Appendix</w:t>
      </w:r>
      <w:r>
        <w:t>. Tehran, 1999.</w:t>
      </w:r>
    </w:p>
    <w:p w:rsidR="00142D17" w:rsidRDefault="00142D17" w:rsidP="00142D17">
      <w:pPr>
        <w:pStyle w:val="Literatura"/>
      </w:pPr>
      <w:r w:rsidRPr="00142D17">
        <w:t>Report 49.BU.1 0.0.ОО.FSAR.RDR001 (Chapter 2.5). NPP “Bushehr”, Unit 1. Final safety analysis report. Chapter 2 Site characteristic, Book 2, Rev. 2., Atomenergoproekt, Moscow, 2011.</w:t>
      </w:r>
    </w:p>
    <w:p w:rsidR="000D48DE" w:rsidRDefault="000D48DE" w:rsidP="000D48DE">
      <w:pPr>
        <w:pStyle w:val="Literatura"/>
      </w:pPr>
      <w:r w:rsidRPr="00142D17">
        <w:t xml:space="preserve">Report 49.BU.1 0.0.ОО.FSAR.RDR001 (Chapter </w:t>
      </w:r>
      <w:r>
        <w:t>3.7</w:t>
      </w:r>
      <w:r w:rsidRPr="00142D17">
        <w:t>). NPP “Bushehr”, Unit 1. Final safety analysis report. Chapter 2 Site characteristic, Book 2, Rev. 2., Atomenergoproekt, Moscow, 2011.</w:t>
      </w:r>
    </w:p>
    <w:p w:rsidR="00125EE8" w:rsidRDefault="00125EE8" w:rsidP="00125EE8">
      <w:pPr>
        <w:pStyle w:val="Literatura"/>
      </w:pPr>
      <w:r w:rsidRPr="00125EE8">
        <w:t>R</w:t>
      </w:r>
      <w:r>
        <w:t xml:space="preserve">eport </w:t>
      </w:r>
      <w:r w:rsidRPr="00125EE8">
        <w:t>on safety analyses of Bushehr NPP at extreme external impacts</w:t>
      </w:r>
      <w:r>
        <w:t xml:space="preserve">. </w:t>
      </w:r>
      <w:r w:rsidRPr="00142D17">
        <w:t>Atomenergoproekt, Moscow, 201</w:t>
      </w:r>
      <w:r>
        <w:t>2</w:t>
      </w:r>
      <w:r w:rsidRPr="00142D17">
        <w:t>.</w:t>
      </w:r>
    </w:p>
    <w:p w:rsidR="00125EE8" w:rsidRPr="00142D17" w:rsidRDefault="00125EE8" w:rsidP="000D48DE">
      <w:pPr>
        <w:pStyle w:val="Literatura"/>
      </w:pPr>
    </w:p>
    <w:p w:rsidR="000D48DE" w:rsidRPr="00142D17" w:rsidRDefault="000D48DE" w:rsidP="00142D17">
      <w:pPr>
        <w:pStyle w:val="Literatura"/>
      </w:pPr>
    </w:p>
    <w:sectPr w:rsidR="000D48DE" w:rsidRPr="00142D17" w:rsidSect="004B2161">
      <w:headerReference w:type="default" r:id="rId16"/>
      <w:footerReference w:type="default" r:id="rId17"/>
      <w:pgSz w:w="12240" w:h="15840"/>
      <w:pgMar w:top="1701"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9A8" w:rsidRDefault="008B69A8" w:rsidP="009E5DED">
      <w:r>
        <w:separator/>
      </w:r>
    </w:p>
  </w:endnote>
  <w:endnote w:type="continuationSeparator" w:id="0">
    <w:p w:rsidR="008B69A8" w:rsidRDefault="008B69A8" w:rsidP="009E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dvTT3b30f6db.B">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605227"/>
      <w:docPartObj>
        <w:docPartGallery w:val="Page Numbers (Bottom of Page)"/>
        <w:docPartUnique/>
      </w:docPartObj>
    </w:sdtPr>
    <w:sdtEndPr/>
    <w:sdtContent>
      <w:p w:rsidR="009E5DED" w:rsidRDefault="009E5DED">
        <w:pPr>
          <w:pStyle w:val="Zpat"/>
          <w:jc w:val="right"/>
        </w:pPr>
      </w:p>
      <w:p w:rsidR="009E5DED" w:rsidRDefault="009E5DED" w:rsidP="009E5DED">
        <w:pPr>
          <w:pStyle w:val="Zpat"/>
          <w:pBdr>
            <w:top w:val="single" w:sz="4" w:space="1" w:color="auto"/>
          </w:pBdr>
          <w:tabs>
            <w:tab w:val="clear" w:pos="4703"/>
            <w:tab w:val="clear" w:pos="9406"/>
          </w:tabs>
          <w:jc w:val="right"/>
        </w:pPr>
        <w:r>
          <w:fldChar w:fldCharType="begin"/>
        </w:r>
        <w:r>
          <w:instrText>PAGE   \* MERGEFORMAT</w:instrText>
        </w:r>
        <w:r>
          <w:fldChar w:fldCharType="separate"/>
        </w:r>
        <w:r w:rsidR="00CE54C7" w:rsidRPr="00CE54C7">
          <w:rPr>
            <w:noProof/>
            <w:lang w:val="cs-CZ"/>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9A8" w:rsidRDefault="008B69A8" w:rsidP="009E5DED">
      <w:r>
        <w:separator/>
      </w:r>
    </w:p>
  </w:footnote>
  <w:footnote w:type="continuationSeparator" w:id="0">
    <w:p w:rsidR="008B69A8" w:rsidRDefault="008B69A8" w:rsidP="009E5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DED" w:rsidRDefault="009E5DED">
    <w:pPr>
      <w:pStyle w:val="Zhlav"/>
    </w:pPr>
  </w:p>
  <w:p w:rsidR="009E5DED" w:rsidRDefault="009E5DED" w:rsidP="009E5DED">
    <w:pPr>
      <w:pStyle w:val="Zhlav"/>
      <w:pBdr>
        <w:bottom w:val="single" w:sz="4" w:space="1" w:color="auto"/>
      </w:pBdr>
    </w:pPr>
  </w:p>
  <w:p w:rsidR="009E5DED" w:rsidRDefault="009E5DE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080"/>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39C1C67"/>
    <w:multiLevelType w:val="hybridMultilevel"/>
    <w:tmpl w:val="C86A4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D63D3"/>
    <w:multiLevelType w:val="hybridMultilevel"/>
    <w:tmpl w:val="0C56BF72"/>
    <w:lvl w:ilvl="0" w:tplc="1AC8E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8043A"/>
    <w:multiLevelType w:val="hybridMultilevel"/>
    <w:tmpl w:val="A0EA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87C21"/>
    <w:multiLevelType w:val="hybridMultilevel"/>
    <w:tmpl w:val="4FC21480"/>
    <w:lvl w:ilvl="0" w:tplc="95BA9F7E">
      <w:start w:val="1"/>
      <w:numFmt w:val="bullet"/>
      <w:lvlText w:val=""/>
      <w:lvlJc w:val="left"/>
      <w:pPr>
        <w:tabs>
          <w:tab w:val="num" w:pos="1070"/>
        </w:tabs>
        <w:ind w:left="1070" w:hanging="360"/>
      </w:pPr>
      <w:rPr>
        <w:rFonts w:ascii="Wingdings" w:hAnsi="Wingdings" w:hint="default"/>
        <w:lang w:val="en-US"/>
      </w:rPr>
    </w:lvl>
    <w:lvl w:ilvl="1" w:tplc="32706CB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B324DC"/>
    <w:multiLevelType w:val="hybridMultilevel"/>
    <w:tmpl w:val="A2E830CA"/>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8566F"/>
    <w:multiLevelType w:val="hybridMultilevel"/>
    <w:tmpl w:val="3B12878C"/>
    <w:lvl w:ilvl="0" w:tplc="8A265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E62E4"/>
    <w:multiLevelType w:val="hybridMultilevel"/>
    <w:tmpl w:val="19D67F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7970227"/>
    <w:multiLevelType w:val="multilevel"/>
    <w:tmpl w:val="FADEB2F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nsid w:val="2D902E58"/>
    <w:multiLevelType w:val="hybridMultilevel"/>
    <w:tmpl w:val="3C8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06138"/>
    <w:multiLevelType w:val="hybridMultilevel"/>
    <w:tmpl w:val="FE968B12"/>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5F54FD"/>
    <w:multiLevelType w:val="hybridMultilevel"/>
    <w:tmpl w:val="7634164A"/>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F1735D"/>
    <w:multiLevelType w:val="hybridMultilevel"/>
    <w:tmpl w:val="EAE2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C61BC2"/>
    <w:multiLevelType w:val="hybridMultilevel"/>
    <w:tmpl w:val="30EC2246"/>
    <w:lvl w:ilvl="0" w:tplc="0405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63503DA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2E2167C"/>
    <w:multiLevelType w:val="multilevel"/>
    <w:tmpl w:val="5054FFB2"/>
    <w:lvl w:ilvl="0">
      <w:start w:val="2"/>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6">
    <w:nsid w:val="75087879"/>
    <w:multiLevelType w:val="hybridMultilevel"/>
    <w:tmpl w:val="036A70C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8"/>
  </w:num>
  <w:num w:numId="2">
    <w:abstractNumId w:val="14"/>
  </w:num>
  <w:num w:numId="3">
    <w:abstractNumId w:val="15"/>
  </w:num>
  <w:num w:numId="4">
    <w:abstractNumId w:val="10"/>
  </w:num>
  <w:num w:numId="5">
    <w:abstractNumId w:val="4"/>
  </w:num>
  <w:num w:numId="6">
    <w:abstractNumId w:val="16"/>
  </w:num>
  <w:num w:numId="7">
    <w:abstractNumId w:val="2"/>
  </w:num>
  <w:num w:numId="8">
    <w:abstractNumId w:val="6"/>
  </w:num>
  <w:num w:numId="9">
    <w:abstractNumId w:val="5"/>
  </w:num>
  <w:num w:numId="10">
    <w:abstractNumId w:val="11"/>
  </w:num>
  <w:num w:numId="11">
    <w:abstractNumId w:val="3"/>
  </w:num>
  <w:num w:numId="12">
    <w:abstractNumId w:val="1"/>
  </w:num>
  <w:num w:numId="13">
    <w:abstractNumId w:val="12"/>
  </w:num>
  <w:num w:numId="14">
    <w:abstractNumId w:val="9"/>
  </w:num>
  <w:num w:numId="15">
    <w:abstractNumId w:val="0"/>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72"/>
    <w:rsid w:val="00016820"/>
    <w:rsid w:val="000318BE"/>
    <w:rsid w:val="0005043F"/>
    <w:rsid w:val="00062520"/>
    <w:rsid w:val="000653AE"/>
    <w:rsid w:val="0007234C"/>
    <w:rsid w:val="000A2A6B"/>
    <w:rsid w:val="000A64BF"/>
    <w:rsid w:val="000B4FB0"/>
    <w:rsid w:val="000C3E5B"/>
    <w:rsid w:val="000C7BF8"/>
    <w:rsid w:val="000C7F88"/>
    <w:rsid w:val="000D48DE"/>
    <w:rsid w:val="000D6788"/>
    <w:rsid w:val="000E5EB9"/>
    <w:rsid w:val="000F402C"/>
    <w:rsid w:val="0011142C"/>
    <w:rsid w:val="00115947"/>
    <w:rsid w:val="00125EE8"/>
    <w:rsid w:val="00142D17"/>
    <w:rsid w:val="00170702"/>
    <w:rsid w:val="001741E3"/>
    <w:rsid w:val="001851D0"/>
    <w:rsid w:val="00185617"/>
    <w:rsid w:val="00186E79"/>
    <w:rsid w:val="001A40E6"/>
    <w:rsid w:val="001B10B6"/>
    <w:rsid w:val="001E232B"/>
    <w:rsid w:val="00201FA8"/>
    <w:rsid w:val="00220163"/>
    <w:rsid w:val="00247FCC"/>
    <w:rsid w:val="00251198"/>
    <w:rsid w:val="0025209A"/>
    <w:rsid w:val="002610B5"/>
    <w:rsid w:val="00275490"/>
    <w:rsid w:val="00292385"/>
    <w:rsid w:val="002B0295"/>
    <w:rsid w:val="002B0D2D"/>
    <w:rsid w:val="002B6984"/>
    <w:rsid w:val="002C46C6"/>
    <w:rsid w:val="002D327A"/>
    <w:rsid w:val="002D7B61"/>
    <w:rsid w:val="002F252F"/>
    <w:rsid w:val="002F6F5E"/>
    <w:rsid w:val="00304A00"/>
    <w:rsid w:val="00344272"/>
    <w:rsid w:val="00352F32"/>
    <w:rsid w:val="00361A8A"/>
    <w:rsid w:val="00372431"/>
    <w:rsid w:val="00380E10"/>
    <w:rsid w:val="00386BC1"/>
    <w:rsid w:val="003A0475"/>
    <w:rsid w:val="003A6359"/>
    <w:rsid w:val="003B6E8E"/>
    <w:rsid w:val="003C2DD9"/>
    <w:rsid w:val="003C3CD0"/>
    <w:rsid w:val="003D2A7C"/>
    <w:rsid w:val="003E273A"/>
    <w:rsid w:val="004514D1"/>
    <w:rsid w:val="004578BE"/>
    <w:rsid w:val="004842C4"/>
    <w:rsid w:val="00487C72"/>
    <w:rsid w:val="00490A71"/>
    <w:rsid w:val="004B2161"/>
    <w:rsid w:val="004B56CA"/>
    <w:rsid w:val="004D374C"/>
    <w:rsid w:val="004E3640"/>
    <w:rsid w:val="004F767E"/>
    <w:rsid w:val="00500390"/>
    <w:rsid w:val="005144A4"/>
    <w:rsid w:val="00516543"/>
    <w:rsid w:val="0052493B"/>
    <w:rsid w:val="0053356F"/>
    <w:rsid w:val="00534AA5"/>
    <w:rsid w:val="00535FB9"/>
    <w:rsid w:val="005414D2"/>
    <w:rsid w:val="0054343B"/>
    <w:rsid w:val="005475E2"/>
    <w:rsid w:val="00561B28"/>
    <w:rsid w:val="00566333"/>
    <w:rsid w:val="00571DB1"/>
    <w:rsid w:val="00584450"/>
    <w:rsid w:val="00593CCE"/>
    <w:rsid w:val="00593F34"/>
    <w:rsid w:val="00596FA4"/>
    <w:rsid w:val="005A2E49"/>
    <w:rsid w:val="005A68FC"/>
    <w:rsid w:val="005C497C"/>
    <w:rsid w:val="005D3F22"/>
    <w:rsid w:val="005E3A53"/>
    <w:rsid w:val="005F11A8"/>
    <w:rsid w:val="00602CE4"/>
    <w:rsid w:val="00623661"/>
    <w:rsid w:val="00624CFB"/>
    <w:rsid w:val="00663C18"/>
    <w:rsid w:val="00672086"/>
    <w:rsid w:val="00687826"/>
    <w:rsid w:val="00690565"/>
    <w:rsid w:val="00691CAA"/>
    <w:rsid w:val="006B1ECC"/>
    <w:rsid w:val="006C0A95"/>
    <w:rsid w:val="006C5D41"/>
    <w:rsid w:val="006F32C2"/>
    <w:rsid w:val="006F7195"/>
    <w:rsid w:val="0071160D"/>
    <w:rsid w:val="0071409C"/>
    <w:rsid w:val="00714E7C"/>
    <w:rsid w:val="007155CA"/>
    <w:rsid w:val="007160EE"/>
    <w:rsid w:val="00717FF0"/>
    <w:rsid w:val="0072115C"/>
    <w:rsid w:val="00726266"/>
    <w:rsid w:val="0073513E"/>
    <w:rsid w:val="00741919"/>
    <w:rsid w:val="0075215B"/>
    <w:rsid w:val="00762869"/>
    <w:rsid w:val="007A05E2"/>
    <w:rsid w:val="007A1548"/>
    <w:rsid w:val="007B630B"/>
    <w:rsid w:val="007C6E61"/>
    <w:rsid w:val="007D3729"/>
    <w:rsid w:val="007E0191"/>
    <w:rsid w:val="008228E7"/>
    <w:rsid w:val="008249E0"/>
    <w:rsid w:val="00836424"/>
    <w:rsid w:val="0085428D"/>
    <w:rsid w:val="00862400"/>
    <w:rsid w:val="00885D0F"/>
    <w:rsid w:val="0089002C"/>
    <w:rsid w:val="00895E2A"/>
    <w:rsid w:val="008B5683"/>
    <w:rsid w:val="008B69A8"/>
    <w:rsid w:val="008C2630"/>
    <w:rsid w:val="008C72C2"/>
    <w:rsid w:val="008C795F"/>
    <w:rsid w:val="008F33FD"/>
    <w:rsid w:val="00927812"/>
    <w:rsid w:val="00927A61"/>
    <w:rsid w:val="00942744"/>
    <w:rsid w:val="00951E64"/>
    <w:rsid w:val="0097000B"/>
    <w:rsid w:val="009742F2"/>
    <w:rsid w:val="00975F00"/>
    <w:rsid w:val="0098018D"/>
    <w:rsid w:val="009814DF"/>
    <w:rsid w:val="00991FD6"/>
    <w:rsid w:val="00992FD2"/>
    <w:rsid w:val="009A3A5F"/>
    <w:rsid w:val="009B512A"/>
    <w:rsid w:val="009C2A89"/>
    <w:rsid w:val="009C34EA"/>
    <w:rsid w:val="009C6EAA"/>
    <w:rsid w:val="009E5DED"/>
    <w:rsid w:val="009F33D1"/>
    <w:rsid w:val="00A030FC"/>
    <w:rsid w:val="00A23856"/>
    <w:rsid w:val="00A37B03"/>
    <w:rsid w:val="00A4015E"/>
    <w:rsid w:val="00A51C62"/>
    <w:rsid w:val="00A5448D"/>
    <w:rsid w:val="00A546FA"/>
    <w:rsid w:val="00A57982"/>
    <w:rsid w:val="00A72E83"/>
    <w:rsid w:val="00A8374D"/>
    <w:rsid w:val="00A8502E"/>
    <w:rsid w:val="00A95B30"/>
    <w:rsid w:val="00A9603D"/>
    <w:rsid w:val="00AA689B"/>
    <w:rsid w:val="00AA7924"/>
    <w:rsid w:val="00AB1BAA"/>
    <w:rsid w:val="00AC4672"/>
    <w:rsid w:val="00AE100C"/>
    <w:rsid w:val="00AF03F2"/>
    <w:rsid w:val="00AF19B6"/>
    <w:rsid w:val="00B04A01"/>
    <w:rsid w:val="00B061AD"/>
    <w:rsid w:val="00B16A39"/>
    <w:rsid w:val="00B17CE7"/>
    <w:rsid w:val="00B25A9A"/>
    <w:rsid w:val="00B576F4"/>
    <w:rsid w:val="00B5773B"/>
    <w:rsid w:val="00B85537"/>
    <w:rsid w:val="00B96BBC"/>
    <w:rsid w:val="00BA2A40"/>
    <w:rsid w:val="00BB5B2B"/>
    <w:rsid w:val="00BE01C4"/>
    <w:rsid w:val="00BF2A32"/>
    <w:rsid w:val="00BF3231"/>
    <w:rsid w:val="00BF4FA6"/>
    <w:rsid w:val="00BF5EE9"/>
    <w:rsid w:val="00BF7080"/>
    <w:rsid w:val="00C06D73"/>
    <w:rsid w:val="00C17BC2"/>
    <w:rsid w:val="00C232D6"/>
    <w:rsid w:val="00C30783"/>
    <w:rsid w:val="00C32FC1"/>
    <w:rsid w:val="00C64F13"/>
    <w:rsid w:val="00C73412"/>
    <w:rsid w:val="00C9698F"/>
    <w:rsid w:val="00CA3C57"/>
    <w:rsid w:val="00CB654C"/>
    <w:rsid w:val="00CC1DE3"/>
    <w:rsid w:val="00CC4949"/>
    <w:rsid w:val="00CD3C67"/>
    <w:rsid w:val="00CE033B"/>
    <w:rsid w:val="00CE4D33"/>
    <w:rsid w:val="00CE54C7"/>
    <w:rsid w:val="00D216DC"/>
    <w:rsid w:val="00D2282A"/>
    <w:rsid w:val="00D469BE"/>
    <w:rsid w:val="00D52231"/>
    <w:rsid w:val="00D545E7"/>
    <w:rsid w:val="00D70C46"/>
    <w:rsid w:val="00DB5DB5"/>
    <w:rsid w:val="00DD3CAE"/>
    <w:rsid w:val="00DF1317"/>
    <w:rsid w:val="00DF3C0F"/>
    <w:rsid w:val="00E02439"/>
    <w:rsid w:val="00E12CEC"/>
    <w:rsid w:val="00E3719F"/>
    <w:rsid w:val="00E43D48"/>
    <w:rsid w:val="00E51D81"/>
    <w:rsid w:val="00E55943"/>
    <w:rsid w:val="00E56943"/>
    <w:rsid w:val="00E76E49"/>
    <w:rsid w:val="00E85210"/>
    <w:rsid w:val="00E952D0"/>
    <w:rsid w:val="00E970F7"/>
    <w:rsid w:val="00EA1021"/>
    <w:rsid w:val="00EB4B24"/>
    <w:rsid w:val="00EB571C"/>
    <w:rsid w:val="00EB7F3D"/>
    <w:rsid w:val="00EC1C99"/>
    <w:rsid w:val="00EC7089"/>
    <w:rsid w:val="00F10250"/>
    <w:rsid w:val="00F228D4"/>
    <w:rsid w:val="00F23E59"/>
    <w:rsid w:val="00F313F5"/>
    <w:rsid w:val="00F34AC3"/>
    <w:rsid w:val="00F6388F"/>
    <w:rsid w:val="00F73019"/>
    <w:rsid w:val="00F738A3"/>
    <w:rsid w:val="00F8270A"/>
    <w:rsid w:val="00F82E41"/>
    <w:rsid w:val="00F87CD6"/>
    <w:rsid w:val="00FA23F3"/>
    <w:rsid w:val="00FA3E53"/>
    <w:rsid w:val="00FA4590"/>
    <w:rsid w:val="00FB2C9D"/>
    <w:rsid w:val="00FB4297"/>
    <w:rsid w:val="00FC3D67"/>
    <w:rsid w:val="00FE0685"/>
    <w:rsid w:val="00FE14AD"/>
    <w:rsid w:val="00FF0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85428D"/>
    <w:rPr>
      <w:rFonts w:asciiTheme="minorHAnsi" w:hAnsiTheme="minorHAnsi"/>
      <w:sz w:val="24"/>
      <w:szCs w:val="24"/>
    </w:rPr>
  </w:style>
  <w:style w:type="paragraph" w:styleId="Nadpis1">
    <w:name w:val="heading 1"/>
    <w:basedOn w:val="Normln"/>
    <w:next w:val="Normln"/>
    <w:autoRedefine/>
    <w:qFormat/>
    <w:rsid w:val="00927A61"/>
    <w:pPr>
      <w:keepNext/>
      <w:numPr>
        <w:numId w:val="3"/>
      </w:numPr>
      <w:spacing w:before="240" w:after="240"/>
      <w:ind w:left="851" w:hanging="851"/>
      <w:outlineLvl w:val="0"/>
    </w:pPr>
    <w:rPr>
      <w:rFonts w:ascii="Arial" w:hAnsi="Arial" w:cs="Arial"/>
      <w:b/>
      <w:bCs/>
      <w:kern w:val="32"/>
      <w:sz w:val="28"/>
      <w:szCs w:val="32"/>
    </w:rPr>
  </w:style>
  <w:style w:type="paragraph" w:styleId="Nadpis2">
    <w:name w:val="heading 2"/>
    <w:basedOn w:val="Normln"/>
    <w:next w:val="Normln"/>
    <w:autoRedefine/>
    <w:qFormat/>
    <w:rsid w:val="00687826"/>
    <w:pPr>
      <w:keepNext/>
      <w:numPr>
        <w:ilvl w:val="1"/>
        <w:numId w:val="3"/>
      </w:numPr>
      <w:spacing w:before="240" w:after="120"/>
      <w:ind w:left="851" w:hanging="851"/>
      <w:outlineLvl w:val="1"/>
    </w:pPr>
    <w:rPr>
      <w:rFonts w:ascii="Arial" w:hAnsi="Arial" w:cs="Arial"/>
      <w:b/>
      <w:bCs/>
      <w:iCs/>
      <w:sz w:val="26"/>
      <w:szCs w:val="28"/>
    </w:rPr>
  </w:style>
  <w:style w:type="paragraph" w:styleId="Nadpis3">
    <w:name w:val="heading 3"/>
    <w:basedOn w:val="Normln"/>
    <w:next w:val="Normln"/>
    <w:autoRedefine/>
    <w:qFormat/>
    <w:rsid w:val="00687826"/>
    <w:pPr>
      <w:keepNext/>
      <w:numPr>
        <w:ilvl w:val="2"/>
        <w:numId w:val="3"/>
      </w:numPr>
      <w:spacing w:before="240" w:after="120"/>
      <w:ind w:left="851" w:hanging="851"/>
      <w:outlineLvl w:val="2"/>
    </w:pPr>
    <w:rPr>
      <w:rFonts w:ascii="Arial" w:hAnsi="Arial" w:cs="Arial"/>
      <w:b/>
      <w:bCs/>
      <w:szCs w:val="26"/>
    </w:rPr>
  </w:style>
  <w:style w:type="paragraph" w:styleId="Nadpis4">
    <w:name w:val="heading 4"/>
    <w:basedOn w:val="Normln"/>
    <w:next w:val="Normln"/>
    <w:autoRedefine/>
    <w:qFormat/>
    <w:rsid w:val="00D2282A"/>
    <w:pPr>
      <w:keepNext/>
      <w:numPr>
        <w:ilvl w:val="3"/>
        <w:numId w:val="3"/>
      </w:numPr>
      <w:spacing w:before="240" w:after="60"/>
      <w:ind w:left="1134" w:hanging="1134"/>
      <w:outlineLvl w:val="3"/>
    </w:pPr>
    <w:rPr>
      <w:b/>
      <w:bCs/>
      <w:szCs w:val="28"/>
    </w:rPr>
  </w:style>
  <w:style w:type="paragraph" w:styleId="Nadpis5">
    <w:name w:val="heading 5"/>
    <w:basedOn w:val="Normln"/>
    <w:next w:val="Normln"/>
    <w:rsid w:val="00F10250"/>
    <w:pPr>
      <w:numPr>
        <w:ilvl w:val="4"/>
        <w:numId w:val="3"/>
      </w:numPr>
      <w:spacing w:before="240" w:after="60"/>
      <w:outlineLvl w:val="4"/>
    </w:pPr>
    <w:rPr>
      <w:b/>
      <w:bCs/>
      <w:i/>
      <w:iCs/>
      <w:sz w:val="26"/>
      <w:szCs w:val="26"/>
    </w:rPr>
  </w:style>
  <w:style w:type="paragraph" w:styleId="Nadpis6">
    <w:name w:val="heading 6"/>
    <w:basedOn w:val="Normln"/>
    <w:next w:val="Normln"/>
    <w:rsid w:val="00490A71"/>
    <w:pPr>
      <w:numPr>
        <w:ilvl w:val="5"/>
        <w:numId w:val="3"/>
      </w:numPr>
      <w:outlineLvl w:val="5"/>
    </w:pPr>
  </w:style>
  <w:style w:type="paragraph" w:styleId="Nadpis7">
    <w:name w:val="heading 7"/>
    <w:basedOn w:val="Normln"/>
    <w:next w:val="Normln"/>
    <w:rsid w:val="00F10250"/>
    <w:pPr>
      <w:numPr>
        <w:ilvl w:val="6"/>
        <w:numId w:val="3"/>
      </w:numPr>
      <w:spacing w:before="240" w:after="60"/>
      <w:outlineLvl w:val="6"/>
    </w:pPr>
  </w:style>
  <w:style w:type="paragraph" w:styleId="Nadpis8">
    <w:name w:val="heading 8"/>
    <w:basedOn w:val="Normln"/>
    <w:next w:val="Normln"/>
    <w:rsid w:val="00F10250"/>
    <w:pPr>
      <w:numPr>
        <w:ilvl w:val="7"/>
        <w:numId w:val="3"/>
      </w:numPr>
      <w:spacing w:before="240" w:after="60"/>
      <w:outlineLvl w:val="7"/>
    </w:pPr>
    <w:rPr>
      <w:i/>
      <w:iCs/>
    </w:rPr>
  </w:style>
  <w:style w:type="paragraph" w:styleId="Nadpis9">
    <w:name w:val="heading 9"/>
    <w:basedOn w:val="Normln"/>
    <w:next w:val="Normln"/>
    <w:rsid w:val="00F10250"/>
    <w:pPr>
      <w:numPr>
        <w:ilvl w:val="8"/>
        <w:numId w:val="3"/>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utlinetitle">
    <w:name w:val="Outline title"/>
    <w:basedOn w:val="Normln"/>
    <w:rsid w:val="00490A71"/>
    <w:pPr>
      <w:spacing w:after="360"/>
      <w:jc w:val="center"/>
    </w:pPr>
    <w:rPr>
      <w:b/>
      <w:sz w:val="72"/>
      <w:szCs w:val="52"/>
    </w:rPr>
  </w:style>
  <w:style w:type="paragraph" w:styleId="Textbubliny">
    <w:name w:val="Balloon Text"/>
    <w:basedOn w:val="Normln"/>
    <w:semiHidden/>
    <w:rsid w:val="00FC3D67"/>
    <w:rPr>
      <w:rFonts w:ascii="Tahoma" w:hAnsi="Tahoma" w:cs="Tahoma"/>
      <w:sz w:val="16"/>
      <w:szCs w:val="16"/>
    </w:rPr>
  </w:style>
  <w:style w:type="paragraph" w:styleId="Odstavecseseznamem">
    <w:name w:val="List Paragraph"/>
    <w:basedOn w:val="Normln"/>
    <w:uiPriority w:val="34"/>
    <w:qFormat/>
    <w:rsid w:val="00927A61"/>
    <w:pPr>
      <w:spacing w:after="120"/>
      <w:jc w:val="both"/>
    </w:pPr>
  </w:style>
  <w:style w:type="paragraph" w:styleId="Zhlav">
    <w:name w:val="header"/>
    <w:basedOn w:val="Normln"/>
    <w:link w:val="ZhlavChar"/>
    <w:uiPriority w:val="99"/>
    <w:unhideWhenUsed/>
    <w:rsid w:val="009E5DED"/>
    <w:pPr>
      <w:tabs>
        <w:tab w:val="center" w:pos="4703"/>
        <w:tab w:val="right" w:pos="9406"/>
      </w:tabs>
    </w:pPr>
  </w:style>
  <w:style w:type="character" w:customStyle="1" w:styleId="ZhlavChar">
    <w:name w:val="Záhlaví Char"/>
    <w:basedOn w:val="Standardnpsmoodstavce"/>
    <w:link w:val="Zhlav"/>
    <w:uiPriority w:val="99"/>
    <w:rsid w:val="009E5DED"/>
    <w:rPr>
      <w:rFonts w:asciiTheme="minorHAnsi" w:hAnsiTheme="minorHAnsi"/>
      <w:sz w:val="24"/>
      <w:szCs w:val="24"/>
    </w:rPr>
  </w:style>
  <w:style w:type="paragraph" w:styleId="Zpat">
    <w:name w:val="footer"/>
    <w:basedOn w:val="Normln"/>
    <w:link w:val="ZpatChar"/>
    <w:uiPriority w:val="99"/>
    <w:unhideWhenUsed/>
    <w:rsid w:val="009E5DED"/>
    <w:pPr>
      <w:tabs>
        <w:tab w:val="center" w:pos="4703"/>
        <w:tab w:val="right" w:pos="9406"/>
      </w:tabs>
    </w:pPr>
  </w:style>
  <w:style w:type="character" w:customStyle="1" w:styleId="ZpatChar">
    <w:name w:val="Zápatí Char"/>
    <w:basedOn w:val="Standardnpsmoodstavce"/>
    <w:link w:val="Zpat"/>
    <w:uiPriority w:val="99"/>
    <w:rsid w:val="009E5DED"/>
    <w:rPr>
      <w:rFonts w:asciiTheme="minorHAnsi" w:hAnsiTheme="minorHAnsi"/>
      <w:sz w:val="24"/>
      <w:szCs w:val="24"/>
    </w:rPr>
  </w:style>
  <w:style w:type="paragraph" w:customStyle="1" w:styleId="Default">
    <w:name w:val="Default"/>
    <w:rsid w:val="00FA23F3"/>
    <w:pPr>
      <w:autoSpaceDE w:val="0"/>
      <w:autoSpaceDN w:val="0"/>
      <w:adjustRightInd w:val="0"/>
    </w:pPr>
    <w:rPr>
      <w:color w:val="000000"/>
      <w:sz w:val="24"/>
      <w:szCs w:val="24"/>
    </w:rPr>
  </w:style>
  <w:style w:type="character" w:styleId="Odkaznakoment">
    <w:name w:val="annotation reference"/>
    <w:basedOn w:val="Standardnpsmoodstavce"/>
    <w:uiPriority w:val="99"/>
    <w:semiHidden/>
    <w:unhideWhenUsed/>
    <w:rsid w:val="005F11A8"/>
    <w:rPr>
      <w:sz w:val="16"/>
      <w:szCs w:val="16"/>
    </w:rPr>
  </w:style>
  <w:style w:type="paragraph" w:styleId="Textkomente">
    <w:name w:val="annotation text"/>
    <w:basedOn w:val="Normln"/>
    <w:link w:val="TextkomenteChar"/>
    <w:uiPriority w:val="99"/>
    <w:semiHidden/>
    <w:unhideWhenUsed/>
    <w:rsid w:val="005F11A8"/>
    <w:rPr>
      <w:sz w:val="20"/>
      <w:szCs w:val="20"/>
    </w:rPr>
  </w:style>
  <w:style w:type="character" w:customStyle="1" w:styleId="TextkomenteChar">
    <w:name w:val="Text komentáře Char"/>
    <w:basedOn w:val="Standardnpsmoodstavce"/>
    <w:link w:val="Textkomente"/>
    <w:uiPriority w:val="99"/>
    <w:semiHidden/>
    <w:rsid w:val="005F11A8"/>
    <w:rPr>
      <w:rFonts w:asciiTheme="minorHAnsi" w:hAnsiTheme="minorHAnsi"/>
    </w:rPr>
  </w:style>
  <w:style w:type="paragraph" w:styleId="Pedmtkomente">
    <w:name w:val="annotation subject"/>
    <w:basedOn w:val="Textkomente"/>
    <w:next w:val="Textkomente"/>
    <w:link w:val="PedmtkomenteChar"/>
    <w:uiPriority w:val="99"/>
    <w:semiHidden/>
    <w:unhideWhenUsed/>
    <w:rsid w:val="005F11A8"/>
    <w:rPr>
      <w:b/>
      <w:bCs/>
    </w:rPr>
  </w:style>
  <w:style w:type="character" w:customStyle="1" w:styleId="PedmtkomenteChar">
    <w:name w:val="Předmět komentáře Char"/>
    <w:basedOn w:val="TextkomenteChar"/>
    <w:link w:val="Pedmtkomente"/>
    <w:uiPriority w:val="99"/>
    <w:semiHidden/>
    <w:rsid w:val="005F11A8"/>
    <w:rPr>
      <w:rFonts w:asciiTheme="minorHAnsi" w:hAnsiTheme="minorHAnsi"/>
      <w:b/>
      <w:bCs/>
    </w:rPr>
  </w:style>
  <w:style w:type="paragraph" w:customStyle="1" w:styleId="Literatura">
    <w:name w:val="Literatura"/>
    <w:basedOn w:val="Normln"/>
    <w:qFormat/>
    <w:rsid w:val="007E0191"/>
    <w:pPr>
      <w:spacing w:after="60"/>
      <w:ind w:left="567" w:hanging="567"/>
      <w:jc w:val="both"/>
    </w:pPr>
    <w:rPr>
      <w:rFonts w:ascii="Arial" w:eastAsia="Calibri" w:hAnsi="Arial" w:cs="AdvTT3b30f6db.B"/>
      <w:bCs/>
      <w:sz w:val="20"/>
      <w:szCs w:val="18"/>
      <w:lang w:eastAsia="cs-CZ"/>
    </w:rPr>
  </w:style>
  <w:style w:type="character" w:styleId="Zvraznn">
    <w:name w:val="Emphasis"/>
    <w:basedOn w:val="Standardnpsmoodstavce"/>
    <w:uiPriority w:val="20"/>
    <w:qFormat/>
    <w:rsid w:val="00726266"/>
    <w:rPr>
      <w:i/>
      <w:iCs/>
    </w:rPr>
  </w:style>
  <w:style w:type="paragraph" w:customStyle="1" w:styleId="a">
    <w:name w:val="Заголовок таблицы"/>
    <w:basedOn w:val="Normln"/>
    <w:next w:val="Normln"/>
    <w:rsid w:val="006F7195"/>
    <w:pPr>
      <w:spacing w:after="120"/>
    </w:pPr>
    <w:rPr>
      <w:rFonts w:ascii="Times New Roman" w:hAnsi="Times New Roman"/>
      <w:color w:val="000000"/>
      <w:szCs w:val="20"/>
      <w:lang w:eastAsia="ru-RU"/>
    </w:rPr>
  </w:style>
  <w:style w:type="paragraph" w:styleId="Titulek">
    <w:name w:val="caption"/>
    <w:basedOn w:val="Normln"/>
    <w:next w:val="Normln"/>
    <w:uiPriority w:val="35"/>
    <w:unhideWhenUsed/>
    <w:qFormat/>
    <w:rsid w:val="0073513E"/>
    <w:pPr>
      <w:spacing w:after="200"/>
      <w:jc w:val="center"/>
    </w:pPr>
    <w:rPr>
      <w:i/>
      <w:iCs/>
      <w:sz w:val="20"/>
      <w:szCs w:val="18"/>
    </w:rPr>
  </w:style>
  <w:style w:type="paragraph" w:customStyle="1" w:styleId="a0">
    <w:name w:val="Заголовок рисунка"/>
    <w:basedOn w:val="a"/>
    <w:rsid w:val="00951E64"/>
    <w:pPr>
      <w:jc w:val="center"/>
    </w:pPr>
    <w:rPr>
      <w:color w:val="auto"/>
    </w:rPr>
  </w:style>
  <w:style w:type="paragraph" w:customStyle="1" w:styleId="a1">
    <w:name w:val="Абзац обычный"/>
    <w:basedOn w:val="Normln"/>
    <w:rsid w:val="004B56CA"/>
    <w:pPr>
      <w:spacing w:after="120"/>
      <w:ind w:firstLine="851"/>
      <w:jc w:val="both"/>
    </w:pPr>
    <w:rPr>
      <w:rFonts w:ascii="Times New Roman" w:hAnsi="Times New Roman"/>
      <w:lang w:val="ru-RU" w:eastAsia="ru-RU"/>
    </w:rPr>
  </w:style>
  <w:style w:type="paragraph" w:customStyle="1" w:styleId="Nadpis-tun">
    <w:name w:val="Nadpis-tučný"/>
    <w:basedOn w:val="Normln"/>
    <w:link w:val="Nadpis-tunChar"/>
    <w:autoRedefine/>
    <w:qFormat/>
    <w:rsid w:val="00185617"/>
    <w:pPr>
      <w:spacing w:before="240" w:after="120"/>
    </w:pPr>
    <w:rPr>
      <w:b/>
      <w:i/>
    </w:rPr>
  </w:style>
  <w:style w:type="character" w:customStyle="1" w:styleId="Nadpis-tunChar">
    <w:name w:val="Nadpis-tučný Char"/>
    <w:basedOn w:val="Standardnpsmoodstavce"/>
    <w:link w:val="Nadpis-tun"/>
    <w:rsid w:val="00185617"/>
    <w:rPr>
      <w:rFonts w:asciiTheme="minorHAnsi" w:hAnsiTheme="minorHAnsi"/>
      <w:b/>
      <w:i/>
      <w:sz w:val="24"/>
      <w:szCs w:val="24"/>
    </w:rPr>
  </w:style>
  <w:style w:type="character" w:customStyle="1" w:styleId="tlid-translation">
    <w:name w:val="tlid-translation"/>
    <w:basedOn w:val="Standardnpsmoodstavce"/>
    <w:rsid w:val="009F33D1"/>
  </w:style>
  <w:style w:type="character" w:customStyle="1" w:styleId="alt-edited">
    <w:name w:val="alt-edited"/>
    <w:basedOn w:val="Standardnpsmoodstavce"/>
    <w:rsid w:val="00561B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85428D"/>
    <w:rPr>
      <w:rFonts w:asciiTheme="minorHAnsi" w:hAnsiTheme="minorHAnsi"/>
      <w:sz w:val="24"/>
      <w:szCs w:val="24"/>
    </w:rPr>
  </w:style>
  <w:style w:type="paragraph" w:styleId="Nadpis1">
    <w:name w:val="heading 1"/>
    <w:basedOn w:val="Normln"/>
    <w:next w:val="Normln"/>
    <w:autoRedefine/>
    <w:qFormat/>
    <w:rsid w:val="00927A61"/>
    <w:pPr>
      <w:keepNext/>
      <w:numPr>
        <w:numId w:val="3"/>
      </w:numPr>
      <w:spacing w:before="240" w:after="240"/>
      <w:ind w:left="851" w:hanging="851"/>
      <w:outlineLvl w:val="0"/>
    </w:pPr>
    <w:rPr>
      <w:rFonts w:ascii="Arial" w:hAnsi="Arial" w:cs="Arial"/>
      <w:b/>
      <w:bCs/>
      <w:kern w:val="32"/>
      <w:sz w:val="28"/>
      <w:szCs w:val="32"/>
    </w:rPr>
  </w:style>
  <w:style w:type="paragraph" w:styleId="Nadpis2">
    <w:name w:val="heading 2"/>
    <w:basedOn w:val="Normln"/>
    <w:next w:val="Normln"/>
    <w:autoRedefine/>
    <w:qFormat/>
    <w:rsid w:val="00687826"/>
    <w:pPr>
      <w:keepNext/>
      <w:numPr>
        <w:ilvl w:val="1"/>
        <w:numId w:val="3"/>
      </w:numPr>
      <w:spacing w:before="240" w:after="120"/>
      <w:ind w:left="851" w:hanging="851"/>
      <w:outlineLvl w:val="1"/>
    </w:pPr>
    <w:rPr>
      <w:rFonts w:ascii="Arial" w:hAnsi="Arial" w:cs="Arial"/>
      <w:b/>
      <w:bCs/>
      <w:iCs/>
      <w:sz w:val="26"/>
      <w:szCs w:val="28"/>
    </w:rPr>
  </w:style>
  <w:style w:type="paragraph" w:styleId="Nadpis3">
    <w:name w:val="heading 3"/>
    <w:basedOn w:val="Normln"/>
    <w:next w:val="Normln"/>
    <w:autoRedefine/>
    <w:qFormat/>
    <w:rsid w:val="00687826"/>
    <w:pPr>
      <w:keepNext/>
      <w:numPr>
        <w:ilvl w:val="2"/>
        <w:numId w:val="3"/>
      </w:numPr>
      <w:spacing w:before="240" w:after="120"/>
      <w:ind w:left="851" w:hanging="851"/>
      <w:outlineLvl w:val="2"/>
    </w:pPr>
    <w:rPr>
      <w:rFonts w:ascii="Arial" w:hAnsi="Arial" w:cs="Arial"/>
      <w:b/>
      <w:bCs/>
      <w:szCs w:val="26"/>
    </w:rPr>
  </w:style>
  <w:style w:type="paragraph" w:styleId="Nadpis4">
    <w:name w:val="heading 4"/>
    <w:basedOn w:val="Normln"/>
    <w:next w:val="Normln"/>
    <w:autoRedefine/>
    <w:qFormat/>
    <w:rsid w:val="00D2282A"/>
    <w:pPr>
      <w:keepNext/>
      <w:numPr>
        <w:ilvl w:val="3"/>
        <w:numId w:val="3"/>
      </w:numPr>
      <w:spacing w:before="240" w:after="60"/>
      <w:ind w:left="1134" w:hanging="1134"/>
      <w:outlineLvl w:val="3"/>
    </w:pPr>
    <w:rPr>
      <w:b/>
      <w:bCs/>
      <w:szCs w:val="28"/>
    </w:rPr>
  </w:style>
  <w:style w:type="paragraph" w:styleId="Nadpis5">
    <w:name w:val="heading 5"/>
    <w:basedOn w:val="Normln"/>
    <w:next w:val="Normln"/>
    <w:rsid w:val="00F10250"/>
    <w:pPr>
      <w:numPr>
        <w:ilvl w:val="4"/>
        <w:numId w:val="3"/>
      </w:numPr>
      <w:spacing w:before="240" w:after="60"/>
      <w:outlineLvl w:val="4"/>
    </w:pPr>
    <w:rPr>
      <w:b/>
      <w:bCs/>
      <w:i/>
      <w:iCs/>
      <w:sz w:val="26"/>
      <w:szCs w:val="26"/>
    </w:rPr>
  </w:style>
  <w:style w:type="paragraph" w:styleId="Nadpis6">
    <w:name w:val="heading 6"/>
    <w:basedOn w:val="Normln"/>
    <w:next w:val="Normln"/>
    <w:rsid w:val="00490A71"/>
    <w:pPr>
      <w:numPr>
        <w:ilvl w:val="5"/>
        <w:numId w:val="3"/>
      </w:numPr>
      <w:outlineLvl w:val="5"/>
    </w:pPr>
  </w:style>
  <w:style w:type="paragraph" w:styleId="Nadpis7">
    <w:name w:val="heading 7"/>
    <w:basedOn w:val="Normln"/>
    <w:next w:val="Normln"/>
    <w:rsid w:val="00F10250"/>
    <w:pPr>
      <w:numPr>
        <w:ilvl w:val="6"/>
        <w:numId w:val="3"/>
      </w:numPr>
      <w:spacing w:before="240" w:after="60"/>
      <w:outlineLvl w:val="6"/>
    </w:pPr>
  </w:style>
  <w:style w:type="paragraph" w:styleId="Nadpis8">
    <w:name w:val="heading 8"/>
    <w:basedOn w:val="Normln"/>
    <w:next w:val="Normln"/>
    <w:rsid w:val="00F10250"/>
    <w:pPr>
      <w:numPr>
        <w:ilvl w:val="7"/>
        <w:numId w:val="3"/>
      </w:numPr>
      <w:spacing w:before="240" w:after="60"/>
      <w:outlineLvl w:val="7"/>
    </w:pPr>
    <w:rPr>
      <w:i/>
      <w:iCs/>
    </w:rPr>
  </w:style>
  <w:style w:type="paragraph" w:styleId="Nadpis9">
    <w:name w:val="heading 9"/>
    <w:basedOn w:val="Normln"/>
    <w:next w:val="Normln"/>
    <w:rsid w:val="00F10250"/>
    <w:pPr>
      <w:numPr>
        <w:ilvl w:val="8"/>
        <w:numId w:val="3"/>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utlinetitle">
    <w:name w:val="Outline title"/>
    <w:basedOn w:val="Normln"/>
    <w:rsid w:val="00490A71"/>
    <w:pPr>
      <w:spacing w:after="360"/>
      <w:jc w:val="center"/>
    </w:pPr>
    <w:rPr>
      <w:b/>
      <w:sz w:val="72"/>
      <w:szCs w:val="52"/>
    </w:rPr>
  </w:style>
  <w:style w:type="paragraph" w:styleId="Textbubliny">
    <w:name w:val="Balloon Text"/>
    <w:basedOn w:val="Normln"/>
    <w:semiHidden/>
    <w:rsid w:val="00FC3D67"/>
    <w:rPr>
      <w:rFonts w:ascii="Tahoma" w:hAnsi="Tahoma" w:cs="Tahoma"/>
      <w:sz w:val="16"/>
      <w:szCs w:val="16"/>
    </w:rPr>
  </w:style>
  <w:style w:type="paragraph" w:styleId="Odstavecseseznamem">
    <w:name w:val="List Paragraph"/>
    <w:basedOn w:val="Normln"/>
    <w:uiPriority w:val="34"/>
    <w:qFormat/>
    <w:rsid w:val="00927A61"/>
    <w:pPr>
      <w:spacing w:after="120"/>
      <w:jc w:val="both"/>
    </w:pPr>
  </w:style>
  <w:style w:type="paragraph" w:styleId="Zhlav">
    <w:name w:val="header"/>
    <w:basedOn w:val="Normln"/>
    <w:link w:val="ZhlavChar"/>
    <w:uiPriority w:val="99"/>
    <w:unhideWhenUsed/>
    <w:rsid w:val="009E5DED"/>
    <w:pPr>
      <w:tabs>
        <w:tab w:val="center" w:pos="4703"/>
        <w:tab w:val="right" w:pos="9406"/>
      </w:tabs>
    </w:pPr>
  </w:style>
  <w:style w:type="character" w:customStyle="1" w:styleId="ZhlavChar">
    <w:name w:val="Záhlaví Char"/>
    <w:basedOn w:val="Standardnpsmoodstavce"/>
    <w:link w:val="Zhlav"/>
    <w:uiPriority w:val="99"/>
    <w:rsid w:val="009E5DED"/>
    <w:rPr>
      <w:rFonts w:asciiTheme="minorHAnsi" w:hAnsiTheme="minorHAnsi"/>
      <w:sz w:val="24"/>
      <w:szCs w:val="24"/>
    </w:rPr>
  </w:style>
  <w:style w:type="paragraph" w:styleId="Zpat">
    <w:name w:val="footer"/>
    <w:basedOn w:val="Normln"/>
    <w:link w:val="ZpatChar"/>
    <w:uiPriority w:val="99"/>
    <w:unhideWhenUsed/>
    <w:rsid w:val="009E5DED"/>
    <w:pPr>
      <w:tabs>
        <w:tab w:val="center" w:pos="4703"/>
        <w:tab w:val="right" w:pos="9406"/>
      </w:tabs>
    </w:pPr>
  </w:style>
  <w:style w:type="character" w:customStyle="1" w:styleId="ZpatChar">
    <w:name w:val="Zápatí Char"/>
    <w:basedOn w:val="Standardnpsmoodstavce"/>
    <w:link w:val="Zpat"/>
    <w:uiPriority w:val="99"/>
    <w:rsid w:val="009E5DED"/>
    <w:rPr>
      <w:rFonts w:asciiTheme="minorHAnsi" w:hAnsiTheme="minorHAnsi"/>
      <w:sz w:val="24"/>
      <w:szCs w:val="24"/>
    </w:rPr>
  </w:style>
  <w:style w:type="paragraph" w:customStyle="1" w:styleId="Default">
    <w:name w:val="Default"/>
    <w:rsid w:val="00FA23F3"/>
    <w:pPr>
      <w:autoSpaceDE w:val="0"/>
      <w:autoSpaceDN w:val="0"/>
      <w:adjustRightInd w:val="0"/>
    </w:pPr>
    <w:rPr>
      <w:color w:val="000000"/>
      <w:sz w:val="24"/>
      <w:szCs w:val="24"/>
    </w:rPr>
  </w:style>
  <w:style w:type="character" w:styleId="Odkaznakoment">
    <w:name w:val="annotation reference"/>
    <w:basedOn w:val="Standardnpsmoodstavce"/>
    <w:uiPriority w:val="99"/>
    <w:semiHidden/>
    <w:unhideWhenUsed/>
    <w:rsid w:val="005F11A8"/>
    <w:rPr>
      <w:sz w:val="16"/>
      <w:szCs w:val="16"/>
    </w:rPr>
  </w:style>
  <w:style w:type="paragraph" w:styleId="Textkomente">
    <w:name w:val="annotation text"/>
    <w:basedOn w:val="Normln"/>
    <w:link w:val="TextkomenteChar"/>
    <w:uiPriority w:val="99"/>
    <w:semiHidden/>
    <w:unhideWhenUsed/>
    <w:rsid w:val="005F11A8"/>
    <w:rPr>
      <w:sz w:val="20"/>
      <w:szCs w:val="20"/>
    </w:rPr>
  </w:style>
  <w:style w:type="character" w:customStyle="1" w:styleId="TextkomenteChar">
    <w:name w:val="Text komentáře Char"/>
    <w:basedOn w:val="Standardnpsmoodstavce"/>
    <w:link w:val="Textkomente"/>
    <w:uiPriority w:val="99"/>
    <w:semiHidden/>
    <w:rsid w:val="005F11A8"/>
    <w:rPr>
      <w:rFonts w:asciiTheme="minorHAnsi" w:hAnsiTheme="minorHAnsi"/>
    </w:rPr>
  </w:style>
  <w:style w:type="paragraph" w:styleId="Pedmtkomente">
    <w:name w:val="annotation subject"/>
    <w:basedOn w:val="Textkomente"/>
    <w:next w:val="Textkomente"/>
    <w:link w:val="PedmtkomenteChar"/>
    <w:uiPriority w:val="99"/>
    <w:semiHidden/>
    <w:unhideWhenUsed/>
    <w:rsid w:val="005F11A8"/>
    <w:rPr>
      <w:b/>
      <w:bCs/>
    </w:rPr>
  </w:style>
  <w:style w:type="character" w:customStyle="1" w:styleId="PedmtkomenteChar">
    <w:name w:val="Předmět komentáře Char"/>
    <w:basedOn w:val="TextkomenteChar"/>
    <w:link w:val="Pedmtkomente"/>
    <w:uiPriority w:val="99"/>
    <w:semiHidden/>
    <w:rsid w:val="005F11A8"/>
    <w:rPr>
      <w:rFonts w:asciiTheme="minorHAnsi" w:hAnsiTheme="minorHAnsi"/>
      <w:b/>
      <w:bCs/>
    </w:rPr>
  </w:style>
  <w:style w:type="paragraph" w:customStyle="1" w:styleId="Literatura">
    <w:name w:val="Literatura"/>
    <w:basedOn w:val="Normln"/>
    <w:qFormat/>
    <w:rsid w:val="007E0191"/>
    <w:pPr>
      <w:spacing w:after="60"/>
      <w:ind w:left="567" w:hanging="567"/>
      <w:jc w:val="both"/>
    </w:pPr>
    <w:rPr>
      <w:rFonts w:ascii="Arial" w:eastAsia="Calibri" w:hAnsi="Arial" w:cs="AdvTT3b30f6db.B"/>
      <w:bCs/>
      <w:sz w:val="20"/>
      <w:szCs w:val="18"/>
      <w:lang w:eastAsia="cs-CZ"/>
    </w:rPr>
  </w:style>
  <w:style w:type="character" w:styleId="Zvraznn">
    <w:name w:val="Emphasis"/>
    <w:basedOn w:val="Standardnpsmoodstavce"/>
    <w:uiPriority w:val="20"/>
    <w:qFormat/>
    <w:rsid w:val="00726266"/>
    <w:rPr>
      <w:i/>
      <w:iCs/>
    </w:rPr>
  </w:style>
  <w:style w:type="paragraph" w:customStyle="1" w:styleId="a">
    <w:name w:val="Заголовок таблицы"/>
    <w:basedOn w:val="Normln"/>
    <w:next w:val="Normln"/>
    <w:rsid w:val="006F7195"/>
    <w:pPr>
      <w:spacing w:after="120"/>
    </w:pPr>
    <w:rPr>
      <w:rFonts w:ascii="Times New Roman" w:hAnsi="Times New Roman"/>
      <w:color w:val="000000"/>
      <w:szCs w:val="20"/>
      <w:lang w:eastAsia="ru-RU"/>
    </w:rPr>
  </w:style>
  <w:style w:type="paragraph" w:styleId="Titulek">
    <w:name w:val="caption"/>
    <w:basedOn w:val="Normln"/>
    <w:next w:val="Normln"/>
    <w:uiPriority w:val="35"/>
    <w:unhideWhenUsed/>
    <w:qFormat/>
    <w:rsid w:val="0073513E"/>
    <w:pPr>
      <w:spacing w:after="200"/>
      <w:jc w:val="center"/>
    </w:pPr>
    <w:rPr>
      <w:i/>
      <w:iCs/>
      <w:sz w:val="20"/>
      <w:szCs w:val="18"/>
    </w:rPr>
  </w:style>
  <w:style w:type="paragraph" w:customStyle="1" w:styleId="a0">
    <w:name w:val="Заголовок рисунка"/>
    <w:basedOn w:val="a"/>
    <w:rsid w:val="00951E64"/>
    <w:pPr>
      <w:jc w:val="center"/>
    </w:pPr>
    <w:rPr>
      <w:color w:val="auto"/>
    </w:rPr>
  </w:style>
  <w:style w:type="paragraph" w:customStyle="1" w:styleId="a1">
    <w:name w:val="Абзац обычный"/>
    <w:basedOn w:val="Normln"/>
    <w:rsid w:val="004B56CA"/>
    <w:pPr>
      <w:spacing w:after="120"/>
      <w:ind w:firstLine="851"/>
      <w:jc w:val="both"/>
    </w:pPr>
    <w:rPr>
      <w:rFonts w:ascii="Times New Roman" w:hAnsi="Times New Roman"/>
      <w:lang w:val="ru-RU" w:eastAsia="ru-RU"/>
    </w:rPr>
  </w:style>
  <w:style w:type="paragraph" w:customStyle="1" w:styleId="Nadpis-tun">
    <w:name w:val="Nadpis-tučný"/>
    <w:basedOn w:val="Normln"/>
    <w:link w:val="Nadpis-tunChar"/>
    <w:autoRedefine/>
    <w:qFormat/>
    <w:rsid w:val="00185617"/>
    <w:pPr>
      <w:spacing w:before="240" w:after="120"/>
    </w:pPr>
    <w:rPr>
      <w:b/>
      <w:i/>
    </w:rPr>
  </w:style>
  <w:style w:type="character" w:customStyle="1" w:styleId="Nadpis-tunChar">
    <w:name w:val="Nadpis-tučný Char"/>
    <w:basedOn w:val="Standardnpsmoodstavce"/>
    <w:link w:val="Nadpis-tun"/>
    <w:rsid w:val="00185617"/>
    <w:rPr>
      <w:rFonts w:asciiTheme="minorHAnsi" w:hAnsiTheme="minorHAnsi"/>
      <w:b/>
      <w:i/>
      <w:sz w:val="24"/>
      <w:szCs w:val="24"/>
    </w:rPr>
  </w:style>
  <w:style w:type="character" w:customStyle="1" w:styleId="tlid-translation">
    <w:name w:val="tlid-translation"/>
    <w:basedOn w:val="Standardnpsmoodstavce"/>
    <w:rsid w:val="009F33D1"/>
  </w:style>
  <w:style w:type="character" w:customStyle="1" w:styleId="alt-edited">
    <w:name w:val="alt-edited"/>
    <w:basedOn w:val="Standardnpsmoodstavce"/>
    <w:rsid w:val="00561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48461">
      <w:bodyDiv w:val="1"/>
      <w:marLeft w:val="0"/>
      <w:marRight w:val="0"/>
      <w:marTop w:val="0"/>
      <w:marBottom w:val="0"/>
      <w:divBdr>
        <w:top w:val="none" w:sz="0" w:space="0" w:color="auto"/>
        <w:left w:val="none" w:sz="0" w:space="0" w:color="auto"/>
        <w:bottom w:val="none" w:sz="0" w:space="0" w:color="auto"/>
        <w:right w:val="none" w:sz="0" w:space="0" w:color="auto"/>
      </w:divBdr>
      <w:divsChild>
        <w:div w:id="322509320">
          <w:marLeft w:val="0"/>
          <w:marRight w:val="0"/>
          <w:marTop w:val="0"/>
          <w:marBottom w:val="0"/>
          <w:divBdr>
            <w:top w:val="none" w:sz="0" w:space="0" w:color="auto"/>
            <w:left w:val="none" w:sz="0" w:space="0" w:color="auto"/>
            <w:bottom w:val="none" w:sz="0" w:space="0" w:color="auto"/>
            <w:right w:val="none" w:sz="0" w:space="0" w:color="auto"/>
          </w:divBdr>
          <w:divsChild>
            <w:div w:id="1082945574">
              <w:marLeft w:val="0"/>
              <w:marRight w:val="0"/>
              <w:marTop w:val="0"/>
              <w:marBottom w:val="0"/>
              <w:divBdr>
                <w:top w:val="none" w:sz="0" w:space="0" w:color="auto"/>
                <w:left w:val="none" w:sz="0" w:space="0" w:color="auto"/>
                <w:bottom w:val="none" w:sz="0" w:space="0" w:color="auto"/>
                <w:right w:val="none" w:sz="0" w:space="0" w:color="auto"/>
              </w:divBdr>
              <w:divsChild>
                <w:div w:id="812068008">
                  <w:marLeft w:val="0"/>
                  <w:marRight w:val="0"/>
                  <w:marTop w:val="0"/>
                  <w:marBottom w:val="0"/>
                  <w:divBdr>
                    <w:top w:val="none" w:sz="0" w:space="0" w:color="auto"/>
                    <w:left w:val="none" w:sz="0" w:space="0" w:color="auto"/>
                    <w:bottom w:val="none" w:sz="0" w:space="0" w:color="auto"/>
                    <w:right w:val="none" w:sz="0" w:space="0" w:color="auto"/>
                  </w:divBdr>
                  <w:divsChild>
                    <w:div w:id="1528911572">
                      <w:marLeft w:val="0"/>
                      <w:marRight w:val="0"/>
                      <w:marTop w:val="0"/>
                      <w:marBottom w:val="0"/>
                      <w:divBdr>
                        <w:top w:val="none" w:sz="0" w:space="0" w:color="auto"/>
                        <w:left w:val="none" w:sz="0" w:space="0" w:color="auto"/>
                        <w:bottom w:val="none" w:sz="0" w:space="0" w:color="auto"/>
                        <w:right w:val="none" w:sz="0" w:space="0" w:color="auto"/>
                      </w:divBdr>
                      <w:divsChild>
                        <w:div w:id="1745954984">
                          <w:marLeft w:val="0"/>
                          <w:marRight w:val="300"/>
                          <w:marTop w:val="180"/>
                          <w:marBottom w:val="0"/>
                          <w:divBdr>
                            <w:top w:val="none" w:sz="0" w:space="0" w:color="auto"/>
                            <w:left w:val="none" w:sz="0" w:space="0" w:color="auto"/>
                            <w:bottom w:val="none" w:sz="0" w:space="0" w:color="auto"/>
                            <w:right w:val="none" w:sz="0" w:space="0" w:color="auto"/>
                          </w:divBdr>
                          <w:divsChild>
                            <w:div w:id="1711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1431">
          <w:marLeft w:val="0"/>
          <w:marRight w:val="0"/>
          <w:marTop w:val="0"/>
          <w:marBottom w:val="0"/>
          <w:divBdr>
            <w:top w:val="none" w:sz="0" w:space="0" w:color="auto"/>
            <w:left w:val="none" w:sz="0" w:space="0" w:color="auto"/>
            <w:bottom w:val="none" w:sz="0" w:space="0" w:color="auto"/>
            <w:right w:val="none" w:sz="0" w:space="0" w:color="auto"/>
          </w:divBdr>
          <w:divsChild>
            <w:div w:id="1454789213">
              <w:marLeft w:val="0"/>
              <w:marRight w:val="0"/>
              <w:marTop w:val="0"/>
              <w:marBottom w:val="0"/>
              <w:divBdr>
                <w:top w:val="none" w:sz="0" w:space="0" w:color="auto"/>
                <w:left w:val="none" w:sz="0" w:space="0" w:color="auto"/>
                <w:bottom w:val="none" w:sz="0" w:space="0" w:color="auto"/>
                <w:right w:val="none" w:sz="0" w:space="0" w:color="auto"/>
              </w:divBdr>
              <w:divsChild>
                <w:div w:id="553582801">
                  <w:marLeft w:val="0"/>
                  <w:marRight w:val="0"/>
                  <w:marTop w:val="0"/>
                  <w:marBottom w:val="0"/>
                  <w:divBdr>
                    <w:top w:val="none" w:sz="0" w:space="0" w:color="auto"/>
                    <w:left w:val="none" w:sz="0" w:space="0" w:color="auto"/>
                    <w:bottom w:val="none" w:sz="0" w:space="0" w:color="auto"/>
                    <w:right w:val="none" w:sz="0" w:space="0" w:color="auto"/>
                  </w:divBdr>
                  <w:divsChild>
                    <w:div w:id="9709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6561B-CEB2-4C63-B447-923CE8BF9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4750</Words>
  <Characters>28028</Characters>
  <Application>Microsoft Office Word</Application>
  <DocSecurity>0</DocSecurity>
  <Lines>233</Lines>
  <Paragraphs>65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Outline</vt:lpstr>
    </vt:vector>
  </TitlesOfParts>
  <Manager/>
  <Company>Microsoft Corporation</Company>
  <LinksUpToDate>false</LinksUpToDate>
  <CharactersWithSpaces>32713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Prachař</dc:creator>
  <cp:keywords/>
  <dc:description/>
  <cp:lastModifiedBy>maly</cp:lastModifiedBy>
  <cp:revision>3</cp:revision>
  <cp:lastPrinted>2002-04-22T15:57:00Z</cp:lastPrinted>
  <dcterms:created xsi:type="dcterms:W3CDTF">2019-01-21T13:58:00Z</dcterms:created>
  <dcterms:modified xsi:type="dcterms:W3CDTF">2019-01-30T16:41:00Z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TC010197701033</vt:lpwstr>
  </property>
</Properties>
</file>