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"/>
        <w:gridCol w:w="2440"/>
        <w:gridCol w:w="113"/>
        <w:gridCol w:w="1446"/>
        <w:gridCol w:w="850"/>
        <w:gridCol w:w="851"/>
        <w:gridCol w:w="1843"/>
        <w:gridCol w:w="2551"/>
        <w:gridCol w:w="851"/>
        <w:gridCol w:w="2268"/>
        <w:gridCol w:w="2465"/>
        <w:gridCol w:w="113"/>
      </w:tblGrid>
      <w:tr w:rsidR="005E6C09" w:rsidRPr="004B1BA0" w:rsidTr="005E6C09">
        <w:trPr>
          <w:gridAfter w:val="1"/>
          <w:wAfter w:w="113" w:type="dxa"/>
          <w:trHeight w:val="478"/>
          <w:tblHeader/>
        </w:trPr>
        <w:tc>
          <w:tcPr>
            <w:tcW w:w="2553" w:type="dxa"/>
            <w:gridSpan w:val="2"/>
            <w:vAlign w:val="center"/>
          </w:tcPr>
          <w:p w:rsidR="005E6C09" w:rsidRPr="004B1BA0" w:rsidRDefault="005E6C09" w:rsidP="002731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1BA0">
              <w:rPr>
                <w:b/>
                <w:sz w:val="24"/>
                <w:szCs w:val="24"/>
              </w:rPr>
              <w:t>Критерии \ Пределы</w:t>
            </w:r>
          </w:p>
        </w:tc>
        <w:tc>
          <w:tcPr>
            <w:tcW w:w="2409" w:type="dxa"/>
            <w:gridSpan w:val="3"/>
            <w:vAlign w:val="center"/>
          </w:tcPr>
          <w:p w:rsidR="005E6C09" w:rsidRPr="004B1BA0" w:rsidRDefault="005E6C09" w:rsidP="002731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1BA0">
              <w:rPr>
                <w:b/>
                <w:sz w:val="24"/>
                <w:szCs w:val="24"/>
              </w:rPr>
              <w:t>Предел 1</w:t>
            </w:r>
          </w:p>
        </w:tc>
        <w:tc>
          <w:tcPr>
            <w:tcW w:w="2694" w:type="dxa"/>
            <w:gridSpan w:val="2"/>
            <w:vAlign w:val="center"/>
          </w:tcPr>
          <w:p w:rsidR="005E6C09" w:rsidRPr="004B1BA0" w:rsidRDefault="005E6C09" w:rsidP="002731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1BA0">
              <w:rPr>
                <w:b/>
                <w:sz w:val="24"/>
                <w:szCs w:val="24"/>
              </w:rPr>
              <w:t>Предел 2</w:t>
            </w:r>
          </w:p>
        </w:tc>
        <w:tc>
          <w:tcPr>
            <w:tcW w:w="2551" w:type="dxa"/>
            <w:vAlign w:val="center"/>
          </w:tcPr>
          <w:p w:rsidR="005E6C09" w:rsidRPr="004B1BA0" w:rsidRDefault="005E6C09" w:rsidP="002731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1BA0">
              <w:rPr>
                <w:b/>
                <w:sz w:val="24"/>
                <w:szCs w:val="24"/>
              </w:rPr>
              <w:t>Предел 3</w:t>
            </w:r>
          </w:p>
        </w:tc>
        <w:tc>
          <w:tcPr>
            <w:tcW w:w="3119" w:type="dxa"/>
            <w:gridSpan w:val="2"/>
          </w:tcPr>
          <w:p w:rsidR="005E6C09" w:rsidRPr="004B1BA0" w:rsidRDefault="005E6C09" w:rsidP="002731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состояния по критерию</w:t>
            </w:r>
          </w:p>
        </w:tc>
        <w:tc>
          <w:tcPr>
            <w:tcW w:w="2465" w:type="dxa"/>
          </w:tcPr>
          <w:p w:rsidR="005E6C09" w:rsidRPr="00310F2D" w:rsidRDefault="005E6C09" w:rsidP="002731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Фактический предел</w:t>
            </w:r>
          </w:p>
        </w:tc>
      </w:tr>
      <w:tr w:rsidR="00E9253E" w:rsidRPr="004B1BA0" w:rsidTr="005E6C09">
        <w:trPr>
          <w:gridBefore w:val="1"/>
          <w:wBefore w:w="113" w:type="dxa"/>
          <w:trHeight w:val="719"/>
        </w:trPr>
        <w:tc>
          <w:tcPr>
            <w:tcW w:w="7543" w:type="dxa"/>
            <w:gridSpan w:val="6"/>
          </w:tcPr>
          <w:p w:rsidR="00E9253E" w:rsidRPr="004B1BA0" w:rsidRDefault="00E9253E" w:rsidP="00E9253E">
            <w:pPr>
              <w:pStyle w:val="ListParagraph"/>
              <w:numPr>
                <w:ilvl w:val="1"/>
                <w:numId w:val="3"/>
              </w:numPr>
              <w:spacing w:before="120" w:after="120" w:line="240" w:lineRule="auto"/>
              <w:ind w:left="459" w:hanging="425"/>
              <w:rPr>
                <w:sz w:val="24"/>
                <w:szCs w:val="24"/>
              </w:rPr>
            </w:pPr>
            <w:bookmarkStart w:id="0" w:name="_GoBack"/>
            <w:bookmarkEnd w:id="0"/>
            <w:r w:rsidRPr="004B1BA0">
              <w:rPr>
                <w:b/>
                <w:sz w:val="24"/>
                <w:szCs w:val="24"/>
              </w:rPr>
              <w:t>Показатели ВАО АЭС</w:t>
            </w:r>
            <w:r w:rsidRPr="004B1BA0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gridSpan w:val="2"/>
          </w:tcPr>
          <w:p w:rsidR="00E9253E" w:rsidRPr="004B1BA0" w:rsidRDefault="00E9253E" w:rsidP="00273140">
            <w:pPr>
              <w:pStyle w:val="ListParagraph"/>
              <w:spacing w:before="120" w:after="120"/>
              <w:ind w:left="459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3"/>
          </w:tcPr>
          <w:p w:rsidR="00E9253E" w:rsidRPr="00B42455" w:rsidRDefault="00E9253E" w:rsidP="00273140">
            <w:pPr>
              <w:spacing w:before="120" w:after="120"/>
              <w:ind w:left="34"/>
              <w:rPr>
                <w:b/>
                <w:sz w:val="24"/>
                <w:szCs w:val="24"/>
              </w:rPr>
            </w:pPr>
          </w:p>
        </w:tc>
      </w:tr>
      <w:tr w:rsidR="005E6C09" w:rsidRPr="004B1BA0" w:rsidTr="005E6C09">
        <w:trPr>
          <w:gridBefore w:val="1"/>
          <w:wBefore w:w="113" w:type="dxa"/>
          <w:trHeight w:val="719"/>
        </w:trPr>
        <w:tc>
          <w:tcPr>
            <w:tcW w:w="7543" w:type="dxa"/>
            <w:gridSpan w:val="6"/>
          </w:tcPr>
          <w:p w:rsidR="005E6C09" w:rsidRPr="004B1BA0" w:rsidRDefault="005E6C09" w:rsidP="00E9253E">
            <w:pPr>
              <w:pStyle w:val="ListParagraph"/>
              <w:numPr>
                <w:ilvl w:val="1"/>
                <w:numId w:val="3"/>
              </w:numPr>
              <w:spacing w:before="120" w:after="120" w:line="240" w:lineRule="auto"/>
              <w:ind w:left="459" w:hanging="425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E6C09" w:rsidRPr="004B1BA0" w:rsidRDefault="005E6C09" w:rsidP="00273140">
            <w:pPr>
              <w:pStyle w:val="ListParagraph"/>
              <w:spacing w:before="120" w:after="120"/>
              <w:ind w:left="459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3"/>
          </w:tcPr>
          <w:p w:rsidR="005E6C09" w:rsidRPr="00B42455" w:rsidRDefault="005E6C09" w:rsidP="00273140">
            <w:pPr>
              <w:spacing w:before="120" w:after="120"/>
              <w:ind w:left="34"/>
              <w:rPr>
                <w:b/>
                <w:sz w:val="24"/>
                <w:szCs w:val="24"/>
              </w:rPr>
            </w:pPr>
          </w:p>
        </w:tc>
      </w:tr>
      <w:tr w:rsidR="00E9253E" w:rsidRPr="004B1BA0" w:rsidTr="005E6C09">
        <w:trPr>
          <w:gridBefore w:val="1"/>
          <w:wBefore w:w="113" w:type="dxa"/>
          <w:trHeight w:val="79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3E" w:rsidRPr="00554AB3" w:rsidRDefault="00E9253E" w:rsidP="00E9253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4B1BA0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Достижение </w:t>
            </w:r>
            <w:r w:rsidRPr="004B1BA0">
              <w:rPr>
                <w:rFonts w:cs="Calibri"/>
                <w:iCs/>
                <w:sz w:val="24"/>
                <w:szCs w:val="24"/>
              </w:rPr>
              <w:t>долгосрочных</w:t>
            </w:r>
            <w:r w:rsidRPr="004B1BA0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целей</w:t>
            </w:r>
            <w:r w:rsidRPr="004B1BA0">
              <w:rPr>
                <w:rStyle w:val="FootnoteReference"/>
                <w:rFonts w:ascii="Calibri" w:eastAsia="Calibri" w:hAnsi="Calibri" w:cs="Calibri"/>
                <w:iCs/>
                <w:sz w:val="24"/>
                <w:szCs w:val="24"/>
              </w:rPr>
              <w:footnoteReference w:id="2"/>
            </w:r>
            <w:r w:rsidRPr="004B1BA0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по ключевым показателям</w:t>
            </w:r>
            <w:r w:rsidRPr="004B1BA0">
              <w:rPr>
                <w:rStyle w:val="FootnoteReference"/>
                <w:rFonts w:ascii="Calibri" w:eastAsia="Calibri" w:hAnsi="Calibri" w:cs="Calibri"/>
                <w:iCs/>
                <w:sz w:val="24"/>
                <w:szCs w:val="24"/>
              </w:rPr>
              <w:footnoteReference w:id="3"/>
            </w:r>
            <w:r w:rsidRPr="004B1BA0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по результатам </w:t>
            </w:r>
            <w:r w:rsidRPr="004B1BA0">
              <w:rPr>
                <w:sz w:val="24"/>
                <w:szCs w:val="24"/>
              </w:rPr>
              <w:t>предыдущего календарного</w:t>
            </w:r>
            <w:r w:rsidRPr="004B1BA0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года, вычисленное по формуле: К = число показателей, не достигших индивидуальные </w:t>
            </w:r>
            <w:r w:rsidRPr="004B1BA0">
              <w:rPr>
                <w:rFonts w:ascii="Calibri" w:eastAsia="Calibri" w:hAnsi="Calibri" w:cs="Calibri"/>
                <w:iCs/>
                <w:sz w:val="24"/>
                <w:szCs w:val="24"/>
              </w:rPr>
              <w:lastRenderedPageBreak/>
              <w:t>цели</w:t>
            </w:r>
            <w:r w:rsidRPr="004B1BA0">
              <w:rPr>
                <w:rStyle w:val="FootnoteReference"/>
                <w:sz w:val="24"/>
                <w:szCs w:val="24"/>
              </w:rPr>
              <w:footnoteReference w:id="4"/>
            </w:r>
            <w:r w:rsidRPr="004B1BA0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/ число блоков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3E" w:rsidRPr="004B1BA0" w:rsidRDefault="00E9253E" w:rsidP="00E9253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86" w:hanging="218"/>
              <w:contextualSpacing w:val="0"/>
              <w:rPr>
                <w:sz w:val="24"/>
                <w:szCs w:val="24"/>
              </w:rPr>
            </w:pPr>
            <w:r w:rsidRPr="004B1BA0">
              <w:rPr>
                <w:sz w:val="24"/>
                <w:szCs w:val="24"/>
              </w:rPr>
              <w:lastRenderedPageBreak/>
              <w:t>К≤1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3E" w:rsidRPr="004B1BA0" w:rsidRDefault="00E9253E" w:rsidP="00E9253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86" w:hanging="218"/>
              <w:contextualSpacing w:val="0"/>
              <w:rPr>
                <w:sz w:val="24"/>
                <w:szCs w:val="24"/>
              </w:rPr>
            </w:pPr>
            <w:r w:rsidRPr="004B1BA0">
              <w:rPr>
                <w:sz w:val="24"/>
                <w:szCs w:val="24"/>
              </w:rPr>
              <w:t xml:space="preserve"> 1&lt;К&lt;3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3E" w:rsidRPr="004B1BA0" w:rsidRDefault="00E9253E" w:rsidP="00E9253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86" w:hanging="218"/>
              <w:contextualSpacing w:val="0"/>
              <w:rPr>
                <w:sz w:val="24"/>
                <w:szCs w:val="24"/>
              </w:rPr>
            </w:pPr>
            <w:r w:rsidRPr="004B1BA0">
              <w:rPr>
                <w:sz w:val="24"/>
                <w:szCs w:val="24"/>
              </w:rPr>
              <w:t>К≥3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3E" w:rsidRDefault="00E9253E" w:rsidP="00273140">
            <w:pPr>
              <w:pStyle w:val="ListParagraph"/>
              <w:spacing w:before="120" w:after="120"/>
              <w:ind w:left="62"/>
              <w:contextualSpacing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На момент времени 3</w:t>
            </w:r>
            <w:r>
              <w:rPr>
                <w:rFonts w:cstheme="minorHAnsi"/>
                <w:iCs/>
                <w:sz w:val="24"/>
                <w:szCs w:val="24"/>
                <w:lang w:val="en-US"/>
              </w:rPr>
              <w:t>Q</w:t>
            </w:r>
            <w:r w:rsidRPr="00BF6537">
              <w:rPr>
                <w:rFonts w:cstheme="minorHAnsi"/>
                <w:iCs/>
                <w:sz w:val="24"/>
                <w:szCs w:val="24"/>
              </w:rPr>
              <w:t xml:space="preserve">2016 </w:t>
            </w:r>
            <w:r>
              <w:rPr>
                <w:rFonts w:cstheme="minorHAnsi"/>
                <w:iCs/>
                <w:sz w:val="24"/>
                <w:szCs w:val="24"/>
              </w:rPr>
              <w:t>и</w:t>
            </w:r>
            <w:r w:rsidRPr="00F542E8">
              <w:rPr>
                <w:rFonts w:cstheme="minorHAnsi"/>
                <w:iCs/>
                <w:sz w:val="24"/>
                <w:szCs w:val="24"/>
              </w:rPr>
              <w:t xml:space="preserve">ндивидуальные цели достигнуты по </w:t>
            </w:r>
            <w:r w:rsidRPr="00136110">
              <w:rPr>
                <w:rFonts w:cstheme="minorHAnsi"/>
                <w:iCs/>
                <w:color w:val="FF0000"/>
                <w:sz w:val="24"/>
                <w:szCs w:val="24"/>
              </w:rPr>
              <w:t xml:space="preserve">всем </w:t>
            </w:r>
            <w:r w:rsidRPr="00F542E8">
              <w:rPr>
                <w:rFonts w:cstheme="minorHAnsi"/>
                <w:iCs/>
                <w:sz w:val="24"/>
                <w:szCs w:val="24"/>
              </w:rPr>
              <w:t>показателям</w:t>
            </w:r>
            <w:r>
              <w:rPr>
                <w:rFonts w:cstheme="minorHAnsi"/>
                <w:iCs/>
                <w:sz w:val="24"/>
                <w:szCs w:val="24"/>
              </w:rPr>
              <w:t xml:space="preserve">, кроме </w:t>
            </w:r>
            <w:r w:rsidRPr="00136110">
              <w:rPr>
                <w:rFonts w:cstheme="minorHAnsi"/>
                <w:iCs/>
                <w:color w:val="FF0000"/>
                <w:sz w:val="24"/>
                <w:szCs w:val="24"/>
                <w:lang w:val="en-US"/>
              </w:rPr>
              <w:t>XXX</w:t>
            </w:r>
            <w:r w:rsidRPr="00BF653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ED1669">
              <w:rPr>
                <w:rFonts w:cstheme="minorHAnsi"/>
                <w:iCs/>
                <w:color w:val="FF0000"/>
                <w:sz w:val="24"/>
                <w:szCs w:val="24"/>
              </w:rPr>
              <w:t xml:space="preserve">блока №1 </w:t>
            </w:r>
            <w:r>
              <w:rPr>
                <w:rFonts w:cstheme="minorHAnsi"/>
                <w:iCs/>
                <w:sz w:val="24"/>
                <w:szCs w:val="24"/>
              </w:rPr>
              <w:t>(</w:t>
            </w:r>
            <w:r>
              <w:rPr>
                <w:rFonts w:cstheme="minorHAnsi"/>
                <w:iCs/>
                <w:color w:val="FF0000"/>
                <w:sz w:val="24"/>
                <w:szCs w:val="24"/>
                <w:lang w:val="en-US"/>
              </w:rPr>
              <w:t>M</w:t>
            </w:r>
            <w:r w:rsidRPr="00ED1669">
              <w:rPr>
                <w:rFonts w:cstheme="minorHAnsi"/>
                <w:iCs/>
                <w:color w:val="FF0000"/>
                <w:sz w:val="24"/>
                <w:szCs w:val="24"/>
              </w:rPr>
              <w:t xml:space="preserve"> при индивидуальной цели </w:t>
            </w:r>
            <w:r>
              <w:rPr>
                <w:rFonts w:cstheme="minorHAnsi"/>
                <w:iCs/>
                <w:color w:val="FF0000"/>
                <w:sz w:val="24"/>
                <w:szCs w:val="24"/>
                <w:lang w:val="en-US"/>
              </w:rPr>
              <w:t>N</w:t>
            </w:r>
            <w:r>
              <w:rPr>
                <w:rFonts w:cstheme="minorHAnsi"/>
                <w:iCs/>
                <w:sz w:val="24"/>
                <w:szCs w:val="24"/>
              </w:rPr>
              <w:t>)</w:t>
            </w:r>
          </w:p>
          <w:p w:rsidR="00E9253E" w:rsidRPr="00ED1669" w:rsidRDefault="00E9253E" w:rsidP="00273140">
            <w:pPr>
              <w:pStyle w:val="ListParagraph"/>
              <w:spacing w:before="120" w:after="120"/>
              <w:ind w:left="62"/>
              <w:rPr>
                <w:color w:val="FF0000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=0,33&lt;1</m:t>
                </m:r>
              </m:oMath>
            </m:oMathPara>
          </w:p>
          <w:p w:rsidR="00E9253E" w:rsidRPr="004B1BA0" w:rsidRDefault="00E9253E" w:rsidP="00273140">
            <w:pPr>
              <w:pStyle w:val="ListParagraph"/>
              <w:spacing w:before="120" w:after="120"/>
              <w:ind w:left="62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3E" w:rsidRPr="00672BE1" w:rsidRDefault="00E9253E" w:rsidP="00273140">
            <w:pPr>
              <w:pStyle w:val="ListParagraph"/>
              <w:spacing w:before="120" w:after="120"/>
              <w:ind w:left="186"/>
              <w:contextualSpacing w:val="0"/>
              <w:rPr>
                <w:rFonts w:cstheme="minorHAnsi"/>
                <w:b/>
                <w:iCs/>
                <w:sz w:val="24"/>
                <w:szCs w:val="24"/>
              </w:rPr>
            </w:pPr>
            <w:r w:rsidRPr="00672BE1">
              <w:rPr>
                <w:rFonts w:cstheme="minorHAnsi"/>
                <w:b/>
                <w:iCs/>
                <w:sz w:val="24"/>
                <w:szCs w:val="24"/>
              </w:rPr>
              <w:t>Выполняется</w:t>
            </w:r>
          </w:p>
          <w:p w:rsidR="00E9253E" w:rsidRPr="004B1BA0" w:rsidRDefault="00E9253E" w:rsidP="00273140">
            <w:pPr>
              <w:pStyle w:val="ListParagraph"/>
              <w:spacing w:before="120" w:after="120"/>
              <w:ind w:left="186"/>
              <w:contextualSpacing w:val="0"/>
              <w:rPr>
                <w:sz w:val="24"/>
                <w:szCs w:val="24"/>
              </w:rPr>
            </w:pPr>
            <w:r w:rsidRPr="004B1BA0">
              <w:rPr>
                <w:b/>
                <w:sz w:val="24"/>
                <w:szCs w:val="24"/>
              </w:rPr>
              <w:t>Предел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775E">
              <w:rPr>
                <w:b/>
                <w:i/>
                <w:color w:val="FF0000"/>
                <w:sz w:val="24"/>
                <w:szCs w:val="24"/>
              </w:rPr>
              <w:t>(2,3)</w:t>
            </w:r>
          </w:p>
        </w:tc>
      </w:tr>
      <w:tr w:rsidR="00E9253E" w:rsidRPr="004B1BA0" w:rsidTr="005E6C09">
        <w:trPr>
          <w:gridBefore w:val="1"/>
          <w:wBefore w:w="113" w:type="dxa"/>
          <w:trHeight w:val="7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3E" w:rsidRPr="009719EE" w:rsidRDefault="00E9253E" w:rsidP="00E9253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contextualSpacing w:val="0"/>
              <w:rPr>
                <w:rFonts w:cs="Calibri"/>
                <w:iCs/>
                <w:sz w:val="24"/>
                <w:szCs w:val="24"/>
              </w:rPr>
            </w:pPr>
            <w:r w:rsidRPr="004B1BA0">
              <w:rPr>
                <w:sz w:val="24"/>
                <w:szCs w:val="24"/>
              </w:rPr>
              <w:lastRenderedPageBreak/>
              <w:t>Ухудшение ключевых</w:t>
            </w:r>
            <w:r w:rsidRPr="004B1BA0">
              <w:rPr>
                <w:rFonts w:cs="Calibri"/>
                <w:iCs/>
                <w:sz w:val="24"/>
                <w:szCs w:val="24"/>
              </w:rPr>
              <w:t xml:space="preserve"> показателей </w:t>
            </w:r>
            <w:r w:rsidRPr="004B1BA0">
              <w:rPr>
                <w:sz w:val="24"/>
                <w:szCs w:val="24"/>
              </w:rPr>
              <w:t>в течение не менее двух кварталов подряд</w:t>
            </w:r>
            <w:r w:rsidRPr="004B1BA0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за прошедший календарный год</w:t>
            </w:r>
            <w:r w:rsidRPr="004B1BA0">
              <w:rPr>
                <w:sz w:val="24"/>
                <w:szCs w:val="24"/>
              </w:rPr>
              <w:t xml:space="preserve">, вычисленное по формуле: К = число ухудшающихся ключевых показателей / число блоков </w:t>
            </w:r>
          </w:p>
          <w:p w:rsidR="00E9253E" w:rsidRPr="004B1BA0" w:rsidRDefault="00E9253E" w:rsidP="00273140">
            <w:pPr>
              <w:pStyle w:val="ListParagraph"/>
              <w:spacing w:before="120" w:after="120"/>
              <w:ind w:left="459"/>
              <w:contextualSpacing w:val="0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3E" w:rsidRPr="004B1BA0" w:rsidRDefault="00E9253E" w:rsidP="00E9253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86" w:hanging="218"/>
              <w:contextualSpacing w:val="0"/>
              <w:rPr>
                <w:sz w:val="24"/>
                <w:szCs w:val="24"/>
              </w:rPr>
            </w:pPr>
            <w:r w:rsidRPr="004B1BA0">
              <w:rPr>
                <w:sz w:val="24"/>
                <w:szCs w:val="24"/>
              </w:rPr>
              <w:t>К≤1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3E" w:rsidRPr="004B1BA0" w:rsidRDefault="00E9253E" w:rsidP="00E9253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86" w:hanging="218"/>
              <w:contextualSpacing w:val="0"/>
              <w:rPr>
                <w:sz w:val="24"/>
                <w:szCs w:val="24"/>
              </w:rPr>
            </w:pPr>
            <w:r w:rsidRPr="004B1BA0">
              <w:rPr>
                <w:sz w:val="24"/>
                <w:szCs w:val="24"/>
              </w:rPr>
              <w:t xml:space="preserve"> 1&lt;К&lt;3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3E" w:rsidRPr="004B1BA0" w:rsidRDefault="00E9253E" w:rsidP="00E9253E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86" w:hanging="218"/>
              <w:contextualSpacing w:val="0"/>
              <w:rPr>
                <w:sz w:val="24"/>
                <w:szCs w:val="24"/>
              </w:rPr>
            </w:pPr>
            <w:r w:rsidRPr="004B1BA0">
              <w:rPr>
                <w:sz w:val="24"/>
                <w:szCs w:val="24"/>
              </w:rPr>
              <w:t>К≥3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3E" w:rsidRPr="00ED1669" w:rsidRDefault="00E9253E" w:rsidP="00273140">
            <w:pPr>
              <w:spacing w:before="120" w:after="120"/>
              <w:ind w:left="-32"/>
              <w:rPr>
                <w:b/>
                <w:bCs/>
                <w:sz w:val="24"/>
                <w:szCs w:val="24"/>
                <w:lang w:val="en-US"/>
              </w:rPr>
            </w:pPr>
            <w:r w:rsidRPr="00ED1669"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FLR</w:t>
            </w:r>
            <w:r w:rsidRPr="00ED166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F542E8">
              <w:rPr>
                <w:b/>
                <w:bCs/>
                <w:sz w:val="24"/>
                <w:szCs w:val="24"/>
              </w:rPr>
              <w:t>для</w:t>
            </w:r>
            <w:r w:rsidRPr="00ED166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542E8">
              <w:rPr>
                <w:b/>
                <w:bCs/>
                <w:sz w:val="24"/>
                <w:szCs w:val="24"/>
              </w:rPr>
              <w:t>блока</w:t>
            </w:r>
            <w:r w:rsidRPr="00ED1669">
              <w:rPr>
                <w:b/>
                <w:bCs/>
                <w:sz w:val="24"/>
                <w:szCs w:val="24"/>
                <w:lang w:val="en-US"/>
              </w:rPr>
              <w:t xml:space="preserve"> №2: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FLR</w:t>
            </w:r>
            <w:r w:rsidRPr="00ED1669">
              <w:rPr>
                <w:bCs/>
                <w:color w:val="FF0000"/>
                <w:sz w:val="24"/>
                <w:szCs w:val="24"/>
                <w:vertAlign w:val="subscript"/>
                <w:lang w:val="en-US"/>
              </w:rPr>
              <w:t>2015Q4</w:t>
            </w: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 xml:space="preserve">=2,26         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FLR</w:t>
            </w:r>
            <w:r w:rsidRPr="00ED1669">
              <w:rPr>
                <w:bCs/>
                <w:color w:val="FF0000"/>
                <w:sz w:val="24"/>
                <w:szCs w:val="24"/>
                <w:vertAlign w:val="subscript"/>
                <w:lang w:val="en-US"/>
              </w:rPr>
              <w:t>2016Q1</w:t>
            </w: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=2,25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FLR</w:t>
            </w:r>
            <w:r w:rsidRPr="00ED1669">
              <w:rPr>
                <w:bCs/>
                <w:color w:val="FF0000"/>
                <w:sz w:val="24"/>
                <w:szCs w:val="24"/>
                <w:vertAlign w:val="subscript"/>
                <w:lang w:val="en-US"/>
              </w:rPr>
              <w:t>2016Q2</w:t>
            </w: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 xml:space="preserve">=2,75  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FLR</w:t>
            </w:r>
            <w:r w:rsidRPr="00ED1669">
              <w:rPr>
                <w:bCs/>
                <w:color w:val="FF0000"/>
                <w:sz w:val="24"/>
                <w:szCs w:val="24"/>
                <w:vertAlign w:val="subscript"/>
                <w:lang w:val="en-US"/>
              </w:rPr>
              <w:t>2016Q3</w:t>
            </w: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 xml:space="preserve">=4,82       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FLR</w:t>
            </w:r>
            <w:r w:rsidRPr="00ED166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D1669">
              <w:rPr>
                <w:b/>
                <w:bCs/>
                <w:color w:val="FF0000"/>
                <w:sz w:val="24"/>
                <w:szCs w:val="24"/>
              </w:rPr>
              <w:t>для</w:t>
            </w:r>
            <w:r w:rsidRPr="00ED166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D1669">
              <w:rPr>
                <w:b/>
                <w:bCs/>
                <w:color w:val="FF0000"/>
                <w:sz w:val="24"/>
                <w:szCs w:val="24"/>
              </w:rPr>
              <w:t>блока</w:t>
            </w:r>
            <w:r w:rsidRPr="00ED166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№3: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FLR</w:t>
            </w:r>
            <w:r w:rsidRPr="00ED1669">
              <w:rPr>
                <w:bCs/>
                <w:color w:val="FF0000"/>
                <w:sz w:val="24"/>
                <w:szCs w:val="24"/>
                <w:vertAlign w:val="subscript"/>
                <w:lang w:val="en-US"/>
              </w:rPr>
              <w:t>2015Q4</w:t>
            </w: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 xml:space="preserve">=0,95         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FLR</w:t>
            </w:r>
            <w:r w:rsidRPr="00ED1669">
              <w:rPr>
                <w:bCs/>
                <w:color w:val="FF0000"/>
                <w:sz w:val="24"/>
                <w:szCs w:val="24"/>
                <w:vertAlign w:val="subscript"/>
                <w:lang w:val="en-US"/>
              </w:rPr>
              <w:t>2016Q1</w:t>
            </w: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=0,95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FLR</w:t>
            </w:r>
            <w:r w:rsidRPr="00ED1669">
              <w:rPr>
                <w:bCs/>
                <w:color w:val="FF0000"/>
                <w:sz w:val="24"/>
                <w:szCs w:val="24"/>
                <w:vertAlign w:val="subscript"/>
                <w:lang w:val="en-US"/>
              </w:rPr>
              <w:t>2016Q2</w:t>
            </w: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 xml:space="preserve">=1,02  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bCs/>
                <w:color w:val="FF0000"/>
                <w:sz w:val="24"/>
                <w:szCs w:val="24"/>
                <w:lang w:val="en-US"/>
              </w:rPr>
            </w:pP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>FLR</w:t>
            </w:r>
            <w:r w:rsidRPr="00ED1669">
              <w:rPr>
                <w:bCs/>
                <w:color w:val="FF0000"/>
                <w:sz w:val="24"/>
                <w:szCs w:val="24"/>
                <w:vertAlign w:val="subscript"/>
                <w:lang w:val="en-US"/>
              </w:rPr>
              <w:t>2016Q3</w:t>
            </w:r>
            <w:r w:rsidRPr="00ED1669">
              <w:rPr>
                <w:bCs/>
                <w:color w:val="FF0000"/>
                <w:sz w:val="24"/>
                <w:szCs w:val="24"/>
                <w:lang w:val="en-US"/>
              </w:rPr>
              <w:t xml:space="preserve">=1,04                   </w:t>
            </w:r>
          </w:p>
          <w:p w:rsidR="00E9253E" w:rsidRPr="00ED1669" w:rsidRDefault="00E9253E" w:rsidP="00273140">
            <w:pPr>
              <w:spacing w:before="120" w:after="120"/>
              <w:ind w:left="-32"/>
              <w:rPr>
                <w:color w:val="FF0000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=0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67&lt;1</m:t>
                </m:r>
              </m:oMath>
            </m:oMathPara>
          </w:p>
          <w:p w:rsidR="00E9253E" w:rsidRPr="00F542E8" w:rsidRDefault="00E9253E" w:rsidP="00273140">
            <w:pPr>
              <w:spacing w:before="120" w:after="120"/>
              <w:ind w:left="-32"/>
              <w:rPr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3E" w:rsidRPr="00672BE1" w:rsidRDefault="00E9253E" w:rsidP="00273140">
            <w:pPr>
              <w:pStyle w:val="ListParagraph"/>
              <w:spacing w:before="120" w:after="120"/>
              <w:ind w:left="186"/>
              <w:contextualSpacing w:val="0"/>
              <w:rPr>
                <w:rFonts w:cstheme="minorHAnsi"/>
                <w:b/>
                <w:iCs/>
                <w:sz w:val="24"/>
                <w:szCs w:val="24"/>
              </w:rPr>
            </w:pPr>
            <w:r w:rsidRPr="00672BE1">
              <w:rPr>
                <w:rFonts w:cstheme="minorHAnsi"/>
                <w:b/>
                <w:iCs/>
                <w:sz w:val="24"/>
                <w:szCs w:val="24"/>
              </w:rPr>
              <w:t>Выполняется</w:t>
            </w:r>
          </w:p>
          <w:p w:rsidR="00E9253E" w:rsidRPr="00F542E8" w:rsidRDefault="00E9253E" w:rsidP="00273140">
            <w:pPr>
              <w:spacing w:before="120" w:after="120"/>
              <w:ind w:left="175"/>
              <w:rPr>
                <w:sz w:val="24"/>
                <w:szCs w:val="24"/>
              </w:rPr>
            </w:pPr>
            <w:r w:rsidRPr="004B1BA0">
              <w:rPr>
                <w:b/>
                <w:sz w:val="24"/>
                <w:szCs w:val="24"/>
              </w:rPr>
              <w:t>Предел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775E">
              <w:rPr>
                <w:b/>
                <w:i/>
                <w:color w:val="FF0000"/>
                <w:sz w:val="24"/>
                <w:szCs w:val="24"/>
              </w:rPr>
              <w:t>(2,3)</w:t>
            </w:r>
          </w:p>
        </w:tc>
      </w:tr>
    </w:tbl>
    <w:p w:rsidR="005C722C" w:rsidRDefault="005C722C"/>
    <w:sectPr w:rsidR="005C722C" w:rsidSect="00E9253E">
      <w:pgSz w:w="15840" w:h="12240" w:orient="landscape"/>
      <w:pgMar w:top="1440" w:right="166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FF" w:rsidRDefault="00D674FF" w:rsidP="00E9253E">
      <w:pPr>
        <w:spacing w:after="0" w:line="240" w:lineRule="auto"/>
      </w:pPr>
      <w:r>
        <w:separator/>
      </w:r>
    </w:p>
  </w:endnote>
  <w:endnote w:type="continuationSeparator" w:id="0">
    <w:p w:rsidR="00D674FF" w:rsidRDefault="00D674FF" w:rsidP="00E9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FF" w:rsidRDefault="00D674FF" w:rsidP="00E9253E">
      <w:pPr>
        <w:spacing w:after="0" w:line="240" w:lineRule="auto"/>
      </w:pPr>
      <w:r>
        <w:separator/>
      </w:r>
    </w:p>
  </w:footnote>
  <w:footnote w:type="continuationSeparator" w:id="0">
    <w:p w:rsidR="00D674FF" w:rsidRDefault="00D674FF" w:rsidP="00E9253E">
      <w:pPr>
        <w:spacing w:after="0" w:line="240" w:lineRule="auto"/>
      </w:pPr>
      <w:r>
        <w:continuationSeparator/>
      </w:r>
    </w:p>
  </w:footnote>
  <w:footnote w:id="1">
    <w:p w:rsidR="00E9253E" w:rsidRDefault="00E9253E" w:rsidP="00E9253E">
      <w:pPr>
        <w:pStyle w:val="FootnoteText"/>
      </w:pPr>
      <w:r>
        <w:rPr>
          <w:rStyle w:val="FootnoteReference"/>
        </w:rPr>
        <w:footnoteRef/>
      </w:r>
      <w:r>
        <w:t xml:space="preserve"> Для данного критерия используются значения показателей, усредненные за 3 предыдущих года.</w:t>
      </w:r>
    </w:p>
  </w:footnote>
  <w:footnote w:id="2">
    <w:p w:rsidR="00E9253E" w:rsidRPr="00ED7FE4" w:rsidRDefault="00E9253E" w:rsidP="00E9253E">
      <w:pPr>
        <w:pStyle w:val="FootnoteText"/>
      </w:pPr>
      <w:r>
        <w:rPr>
          <w:rStyle w:val="FootnoteReference"/>
        </w:rPr>
        <w:footnoteRef/>
      </w:r>
      <w:r w:rsidRPr="00B57E6C">
        <w:rPr>
          <w:rStyle w:val="FootnoteReference"/>
        </w:rPr>
        <w:t xml:space="preserve"> </w:t>
      </w:r>
      <w:r w:rsidRPr="006F746D">
        <w:t>Д</w:t>
      </w:r>
      <w:r w:rsidRPr="00B57E6C">
        <w:t>олгосрочны</w:t>
      </w:r>
      <w:r w:rsidRPr="006F746D">
        <w:t>е</w:t>
      </w:r>
      <w:r w:rsidRPr="00B57E6C">
        <w:t xml:space="preserve"> цели – цели, установленные Долгосрочным планом ВАО АЭС для ключевых показателей ВАО АЭС.</w:t>
      </w:r>
    </w:p>
  </w:footnote>
  <w:footnote w:id="3">
    <w:p w:rsidR="00E9253E" w:rsidRPr="00ED7FE4" w:rsidRDefault="00E9253E" w:rsidP="00E9253E">
      <w:pPr>
        <w:pStyle w:val="FootnoteText"/>
      </w:pPr>
      <w:r>
        <w:rPr>
          <w:rStyle w:val="FootnoteReference"/>
        </w:rPr>
        <w:footnoteRef/>
      </w:r>
      <w:r w:rsidRPr="00B57E6C">
        <w:rPr>
          <w:rStyle w:val="FootnoteReference"/>
        </w:rPr>
        <w:t xml:space="preserve"> </w:t>
      </w:r>
      <w:r w:rsidRPr="00B57E6C">
        <w:t>Ключевые показатели – показатели ВАО АЭС, по которым установлены долгосрочные цели: FLR Коэффициент вынужденных потерь электроэнергии, CRE Коллективная доза радиационного облучения персонала, ISA Потеря рабочего времени в результате несчастных случаев, SSPI Работоспособность систем безопасности</w:t>
      </w:r>
    </w:p>
  </w:footnote>
  <w:footnote w:id="4">
    <w:p w:rsidR="00E9253E" w:rsidRDefault="00E9253E" w:rsidP="00E9253E">
      <w:pPr>
        <w:pStyle w:val="FootnoteText"/>
      </w:pPr>
      <w:r>
        <w:rPr>
          <w:rStyle w:val="FootnoteReference"/>
        </w:rPr>
        <w:footnoteRef/>
      </w:r>
      <w:r>
        <w:t xml:space="preserve"> Индивидуальные цели – достижение станцией значений ключевых показателей, лучших, чем худшая четверть по всем АЭС в 2007 году.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4091"/>
    <w:multiLevelType w:val="hybridMultilevel"/>
    <w:tmpl w:val="D0F2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4128"/>
    <w:multiLevelType w:val="hybridMultilevel"/>
    <w:tmpl w:val="9B2A42DC"/>
    <w:lvl w:ilvl="0" w:tplc="9618A8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36218"/>
    <w:multiLevelType w:val="multilevel"/>
    <w:tmpl w:val="F7D2E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3E"/>
    <w:rsid w:val="000D2B0F"/>
    <w:rsid w:val="000E6DFE"/>
    <w:rsid w:val="00380BC6"/>
    <w:rsid w:val="003A062D"/>
    <w:rsid w:val="005C722C"/>
    <w:rsid w:val="005D7750"/>
    <w:rsid w:val="005E6C09"/>
    <w:rsid w:val="00674F50"/>
    <w:rsid w:val="00724DFA"/>
    <w:rsid w:val="00774C65"/>
    <w:rsid w:val="00870051"/>
    <w:rsid w:val="00A566CF"/>
    <w:rsid w:val="00B80D14"/>
    <w:rsid w:val="00D62F50"/>
    <w:rsid w:val="00D674FF"/>
    <w:rsid w:val="00E2478B"/>
    <w:rsid w:val="00E9253E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2DDD"/>
  <w15:chartTrackingRefBased/>
  <w15:docId w15:val="{4191C999-28D0-479F-8E88-D210A75A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3E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5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5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25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53E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92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>MRT www.Win2Farsi.com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2017-04-05T11:47:00Z</dcterms:created>
  <dcterms:modified xsi:type="dcterms:W3CDTF">2017-04-05T11:49:00Z</dcterms:modified>
</cp:coreProperties>
</file>