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37" w:rsidRPr="00BB651D" w:rsidRDefault="00084E37" w:rsidP="000443E3">
      <w:pPr>
        <w:pStyle w:val="Heading1"/>
        <w:ind w:firstLine="0"/>
        <w:rPr>
          <w:szCs w:val="24"/>
        </w:rPr>
      </w:pPr>
      <w:r w:rsidRPr="00BB651D">
        <w:rPr>
          <w:szCs w:val="24"/>
        </w:rPr>
        <w:t xml:space="preserve">Description </w:t>
      </w:r>
      <w:bookmarkStart w:id="0" w:name="_GoBack"/>
      <w:r w:rsidRPr="00BB651D">
        <w:rPr>
          <w:szCs w:val="24"/>
        </w:rPr>
        <w:t xml:space="preserve">of </w:t>
      </w:r>
      <w:bookmarkEnd w:id="0"/>
      <w:r w:rsidRPr="00BB651D">
        <w:rPr>
          <w:szCs w:val="24"/>
        </w:rPr>
        <w:t xml:space="preserve">the action </w:t>
      </w:r>
    </w:p>
    <w:p w:rsidR="00084E37" w:rsidRPr="00BB651D" w:rsidRDefault="00084E37" w:rsidP="000443E3">
      <w:pPr>
        <w:pStyle w:val="Heading2"/>
        <w:numPr>
          <w:ilvl w:val="0"/>
          <w:numId w:val="0"/>
        </w:numPr>
        <w:ind w:left="576" w:hanging="576"/>
        <w:rPr>
          <w:szCs w:val="24"/>
        </w:rPr>
      </w:pPr>
      <w:bookmarkStart w:id="1" w:name="_Toc391999048"/>
      <w:bookmarkStart w:id="2" w:name="_Toc392858012"/>
      <w:bookmarkStart w:id="3" w:name="_Toc391022364"/>
      <w:bookmarkStart w:id="4" w:name="_Toc391537206"/>
      <w:bookmarkStart w:id="5" w:name="_Ref399941567"/>
      <w:r w:rsidRPr="00BB651D">
        <w:rPr>
          <w:szCs w:val="24"/>
        </w:rPr>
        <w:t xml:space="preserve">Objectives/results </w:t>
      </w:r>
      <w:bookmarkEnd w:id="1"/>
      <w:bookmarkEnd w:id="2"/>
      <w:bookmarkEnd w:id="3"/>
      <w:bookmarkEnd w:id="4"/>
      <w:bookmarkEnd w:id="5"/>
    </w:p>
    <w:p w:rsidR="00084E37" w:rsidRPr="002A75C7" w:rsidRDefault="00084E37" w:rsidP="00084E37">
      <w:pPr>
        <w:pStyle w:val="Text2"/>
        <w:spacing w:before="0"/>
        <w:ind w:left="0"/>
      </w:pPr>
      <w:r w:rsidRPr="002A75C7">
        <w:t xml:space="preserve">The objective of this action is to enhance the capabilities of INRA by sharing the experience with EU regulatory authorities in the area of interest jointly prioritised during the preparatory period and therefore to contribute to international nuclear safety. </w:t>
      </w:r>
      <w:r w:rsidRPr="002A75C7">
        <w:rPr>
          <w:lang w:val="en-US"/>
        </w:rPr>
        <w:t>This cooperation should also enhance Iran’s ability for fast accession to the relevant international conventions in the field of nuclear safety.</w:t>
      </w:r>
      <w:r w:rsidRPr="002A75C7">
        <w:rPr>
          <w:i/>
          <w:lang w:val="en-US"/>
        </w:rPr>
        <w:t xml:space="preserve"> </w:t>
      </w:r>
    </w:p>
    <w:p w:rsidR="00084E37" w:rsidRPr="00BB651D" w:rsidRDefault="00084E37" w:rsidP="00084E37"/>
    <w:p w:rsidR="00084E37" w:rsidRPr="00BB651D" w:rsidRDefault="00084E37" w:rsidP="000443E3">
      <w:pPr>
        <w:pStyle w:val="Heading2"/>
        <w:numPr>
          <w:ilvl w:val="0"/>
          <w:numId w:val="0"/>
        </w:numPr>
        <w:ind w:left="576" w:hanging="576"/>
        <w:rPr>
          <w:szCs w:val="24"/>
        </w:rPr>
      </w:pPr>
      <w:r w:rsidRPr="00BB651D">
        <w:rPr>
          <w:szCs w:val="24"/>
        </w:rPr>
        <w:t>Main activities</w:t>
      </w:r>
    </w:p>
    <w:p w:rsidR="00084E37" w:rsidRDefault="00084E37" w:rsidP="000443E3">
      <w:pPr>
        <w:pStyle w:val="Heading3"/>
        <w:numPr>
          <w:ilvl w:val="0"/>
          <w:numId w:val="0"/>
        </w:numPr>
        <w:ind w:left="993" w:hanging="993"/>
      </w:pPr>
      <w:r w:rsidRPr="00BB651D">
        <w:t xml:space="preserve">Task 1 – </w:t>
      </w:r>
      <w:r w:rsidR="00317BDC" w:rsidRPr="00317BDC">
        <w:t>Further development of the legal and regulatory frameworks for nuclear safety in Iran</w:t>
      </w:r>
    </w:p>
    <w:p w:rsidR="002A75C7" w:rsidRPr="002A75C7" w:rsidRDefault="002A75C7" w:rsidP="002A75C7">
      <w:pPr>
        <w:rPr>
          <w:lang w:eastAsia="en-US"/>
        </w:rPr>
      </w:pPr>
      <w:r>
        <w:rPr>
          <w:lang w:eastAsia="en-US"/>
        </w:rPr>
        <w:t xml:space="preserve">Tentative list of topics: </w:t>
      </w:r>
    </w:p>
    <w:p w:rsidR="00317BDC" w:rsidRDefault="0035391A" w:rsidP="0035391A">
      <w:pPr>
        <w:ind w:left="709"/>
        <w:rPr>
          <w:lang w:eastAsia="en-US"/>
        </w:rPr>
      </w:pPr>
      <w:r>
        <w:rPr>
          <w:lang w:eastAsia="en-US"/>
        </w:rPr>
        <w:t>- Regulations</w:t>
      </w:r>
      <w:r w:rsidR="000443E3">
        <w:rPr>
          <w:lang w:eastAsia="en-US"/>
        </w:rPr>
        <w:t xml:space="preserve"> and guides</w:t>
      </w:r>
      <w:r>
        <w:rPr>
          <w:lang w:eastAsia="en-US"/>
        </w:rPr>
        <w:t xml:space="preserve"> </w:t>
      </w:r>
      <w:r w:rsidR="00FE3564">
        <w:rPr>
          <w:lang w:eastAsia="en-US"/>
        </w:rPr>
        <w:t>based on Iran priorities</w:t>
      </w:r>
    </w:p>
    <w:p w:rsidR="0035391A" w:rsidRDefault="0035391A" w:rsidP="0035391A">
      <w:pPr>
        <w:ind w:left="709"/>
        <w:rPr>
          <w:lang w:eastAsia="en-US"/>
        </w:rPr>
      </w:pPr>
      <w:r>
        <w:rPr>
          <w:lang w:eastAsia="en-US"/>
        </w:rPr>
        <w:t>- Continue the work on the access to International convention</w:t>
      </w:r>
      <w:r w:rsidR="000443E3">
        <w:rPr>
          <w:lang w:eastAsia="en-US"/>
        </w:rPr>
        <w:t>s</w:t>
      </w:r>
    </w:p>
    <w:p w:rsidR="0035391A" w:rsidRPr="00317BDC" w:rsidRDefault="0035391A" w:rsidP="0035391A">
      <w:pPr>
        <w:ind w:left="709"/>
        <w:rPr>
          <w:lang w:eastAsia="en-US"/>
        </w:rPr>
      </w:pPr>
      <w:r>
        <w:rPr>
          <w:lang w:eastAsia="en-US"/>
        </w:rPr>
        <w:t>- (more topics as needed)</w:t>
      </w:r>
    </w:p>
    <w:p w:rsidR="00084E37" w:rsidRPr="00BB651D" w:rsidRDefault="00084E37" w:rsidP="00084E37">
      <w:pPr>
        <w:pStyle w:val="Text2"/>
        <w:spacing w:before="0" w:after="60"/>
        <w:ind w:left="709"/>
      </w:pPr>
    </w:p>
    <w:p w:rsidR="0035391A" w:rsidRPr="0035391A" w:rsidRDefault="0035391A" w:rsidP="000443E3">
      <w:pPr>
        <w:pStyle w:val="Heading3"/>
        <w:numPr>
          <w:ilvl w:val="0"/>
          <w:numId w:val="0"/>
        </w:numPr>
        <w:ind w:left="1200" w:hanging="1200"/>
      </w:pPr>
      <w:r w:rsidRPr="0035391A">
        <w:t xml:space="preserve">Task 2 – </w:t>
      </w:r>
      <w:r w:rsidR="002A75C7">
        <w:t>(</w:t>
      </w:r>
      <w:r w:rsidRPr="0035391A">
        <w:t>Further</w:t>
      </w:r>
      <w:r w:rsidR="002A75C7">
        <w:t>)</w:t>
      </w:r>
      <w:r w:rsidRPr="0035391A">
        <w:t xml:space="preserve"> development of a quality management system for use by </w:t>
      </w:r>
      <w:r w:rsidR="002A75C7">
        <w:t>INRA</w:t>
      </w:r>
      <w:r w:rsidRPr="0035391A">
        <w:t xml:space="preserve"> in the regulation of nuclear installations </w:t>
      </w:r>
      <w:r w:rsidR="002A75C7">
        <w:t>(or in general for the Regulator)</w:t>
      </w:r>
    </w:p>
    <w:p w:rsidR="002A75C7" w:rsidRDefault="002A75C7" w:rsidP="002A75C7">
      <w:pPr>
        <w:numPr>
          <w:ilvl w:val="0"/>
          <w:numId w:val="3"/>
        </w:numPr>
        <w:spacing w:before="120" w:after="120"/>
        <w:jc w:val="both"/>
        <w:rPr>
          <w:szCs w:val="20"/>
          <w:lang w:val="en-US" w:eastAsia="ro-RO"/>
        </w:rPr>
      </w:pPr>
      <w:proofErr w:type="gramStart"/>
      <w:r w:rsidRPr="00BD3FE7">
        <w:rPr>
          <w:szCs w:val="20"/>
          <w:lang w:val="en-US" w:eastAsia="ro-RO"/>
        </w:rPr>
        <w:t>to</w:t>
      </w:r>
      <w:proofErr w:type="gramEnd"/>
      <w:r w:rsidRPr="00BD3FE7">
        <w:rPr>
          <w:szCs w:val="20"/>
          <w:lang w:val="en-US" w:eastAsia="ro-RO"/>
        </w:rPr>
        <w:t xml:space="preserve"> cooperate in the further development and completion of a quality management system for use by the regulatory body in fulfilling its functions of assessing and verifying the safety of nuclear installations (internal regulatory guides and procedures).</w:t>
      </w:r>
    </w:p>
    <w:p w:rsidR="002A75C7" w:rsidRPr="00E426CE" w:rsidRDefault="002A75C7" w:rsidP="002A75C7">
      <w:pPr>
        <w:spacing w:before="120" w:after="120"/>
        <w:jc w:val="both"/>
        <w:rPr>
          <w:bCs/>
          <w:szCs w:val="20"/>
          <w:lang w:val="en-US" w:eastAsia="zh-CN"/>
        </w:rPr>
      </w:pPr>
      <w:r w:rsidRPr="00E426CE">
        <w:rPr>
          <w:bCs/>
          <w:szCs w:val="20"/>
          <w:lang w:val="en-US" w:eastAsia="zh-CN"/>
        </w:rPr>
        <w:t xml:space="preserve">The management system will comprise a set of internal procedures and/or guides to be followed by the regulatory body in assessing and verifying safety.  Procedures will be developed, </w:t>
      </w:r>
      <w:r w:rsidRPr="00E426CE">
        <w:rPr>
          <w:bCs/>
          <w:i/>
          <w:szCs w:val="20"/>
          <w:lang w:val="en-US" w:eastAsia="zh-CN"/>
        </w:rPr>
        <w:t>inter alia</w:t>
      </w:r>
      <w:r w:rsidRPr="00E426CE">
        <w:rPr>
          <w:bCs/>
          <w:szCs w:val="20"/>
          <w:lang w:val="en-US" w:eastAsia="zh-CN"/>
        </w:rPr>
        <w:t xml:space="preserve">, for each of the </w:t>
      </w:r>
      <w:proofErr w:type="gramStart"/>
      <w:r w:rsidRPr="00E426CE">
        <w:rPr>
          <w:bCs/>
          <w:szCs w:val="20"/>
          <w:lang w:val="en-US" w:eastAsia="zh-CN"/>
        </w:rPr>
        <w:t>following</w:t>
      </w:r>
      <w:r>
        <w:rPr>
          <w:bCs/>
          <w:szCs w:val="20"/>
          <w:lang w:val="en-US" w:eastAsia="zh-CN"/>
        </w:rPr>
        <w:t xml:space="preserve">  (</w:t>
      </w:r>
      <w:proofErr w:type="gramEnd"/>
      <w:r>
        <w:rPr>
          <w:bCs/>
          <w:szCs w:val="20"/>
          <w:lang w:val="en-US" w:eastAsia="zh-CN"/>
        </w:rPr>
        <w:t>according to INRA needs)</w:t>
      </w:r>
      <w:r w:rsidRPr="00E426CE">
        <w:rPr>
          <w:bCs/>
          <w:szCs w:val="20"/>
          <w:lang w:val="en-US" w:eastAsia="zh-CN"/>
        </w:rPr>
        <w:t>:</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the decision making process for licensing a nuclear installation</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rule making</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issuing, amending, suspending, revoking and terminating a license</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the process for reviewing and assessing safety at all phases of installing and operating a nuclear facility (i.e., siting, design, construction, commissioning, operation, waste management, decommissioning and emergency preparedness and response)</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 xml:space="preserve">inspections, in particular addressing their objectives, scope, methodology, conduct, reporting, follow up and assessing their efficacy </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validation and verification</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identification of safety deficiencies</w:t>
      </w:r>
    </w:p>
    <w:p w:rsidR="002A75C7" w:rsidRPr="00E426CE" w:rsidRDefault="002A75C7" w:rsidP="002A75C7">
      <w:pPr>
        <w:numPr>
          <w:ilvl w:val="0"/>
          <w:numId w:val="7"/>
        </w:numPr>
        <w:spacing w:before="120" w:after="120"/>
        <w:ind w:left="1208" w:hanging="357"/>
        <w:jc w:val="both"/>
        <w:rPr>
          <w:bCs/>
          <w:szCs w:val="20"/>
          <w:lang w:val="en-US" w:eastAsia="zh-CN"/>
        </w:rPr>
      </w:pPr>
      <w:r w:rsidRPr="00E426CE">
        <w:rPr>
          <w:bCs/>
          <w:szCs w:val="20"/>
          <w:lang w:val="en-US" w:eastAsia="zh-CN"/>
        </w:rPr>
        <w:t>enforcement actions, and</w:t>
      </w:r>
    </w:p>
    <w:p w:rsidR="002A75C7" w:rsidRPr="00E426CE" w:rsidRDefault="002A75C7" w:rsidP="002A75C7">
      <w:pPr>
        <w:numPr>
          <w:ilvl w:val="0"/>
          <w:numId w:val="7"/>
        </w:numPr>
        <w:spacing w:before="120" w:after="120"/>
        <w:ind w:left="1208" w:hanging="357"/>
        <w:jc w:val="both"/>
        <w:rPr>
          <w:szCs w:val="20"/>
          <w:lang w:val="en-US" w:eastAsia="ro-RO"/>
        </w:rPr>
      </w:pPr>
      <w:proofErr w:type="gramStart"/>
      <w:r w:rsidRPr="00E426CE">
        <w:rPr>
          <w:bCs/>
          <w:szCs w:val="20"/>
          <w:lang w:val="en-US" w:eastAsia="zh-CN"/>
        </w:rPr>
        <w:t>record</w:t>
      </w:r>
      <w:proofErr w:type="gramEnd"/>
      <w:r w:rsidRPr="00E426CE">
        <w:rPr>
          <w:bCs/>
          <w:szCs w:val="20"/>
          <w:lang w:val="en-US" w:eastAsia="zh-CN"/>
        </w:rPr>
        <w:t xml:space="preserve"> keeping and documentation.</w:t>
      </w:r>
      <w:r w:rsidRPr="00E426CE">
        <w:rPr>
          <w:szCs w:val="20"/>
          <w:lang w:val="en-US" w:eastAsia="ro-RO"/>
        </w:rPr>
        <w:t xml:space="preserve"> </w:t>
      </w:r>
    </w:p>
    <w:p w:rsidR="002A75C7" w:rsidRDefault="002A75C7" w:rsidP="002A75C7">
      <w:pPr>
        <w:spacing w:before="120" w:after="120"/>
        <w:jc w:val="both"/>
        <w:rPr>
          <w:szCs w:val="20"/>
          <w:lang w:val="en-US" w:eastAsia="ro-RO"/>
        </w:rPr>
      </w:pPr>
    </w:p>
    <w:p w:rsidR="002A75C7" w:rsidRPr="00772A67" w:rsidRDefault="002A75C7" w:rsidP="000443E3">
      <w:pPr>
        <w:pStyle w:val="Heading3"/>
        <w:numPr>
          <w:ilvl w:val="0"/>
          <w:numId w:val="0"/>
        </w:numPr>
        <w:rPr>
          <w:rFonts w:eastAsia="Calibri"/>
        </w:rPr>
      </w:pPr>
      <w:r w:rsidRPr="00772A67">
        <w:rPr>
          <w:rFonts w:eastAsia="Calibri"/>
        </w:rPr>
        <w:lastRenderedPageBreak/>
        <w:t>Task 3 – Assessing and verifying the safety of nuclear installations</w:t>
      </w:r>
    </w:p>
    <w:p w:rsidR="002A75C7" w:rsidRPr="00772A67" w:rsidRDefault="002A75C7" w:rsidP="000443E3">
      <w:pPr>
        <w:spacing w:before="120" w:after="120"/>
        <w:jc w:val="both"/>
        <w:rPr>
          <w:rFonts w:cs="Angsana New"/>
          <w:lang w:eastAsia="en-US"/>
        </w:rPr>
      </w:pPr>
      <w:r w:rsidRPr="00772A67">
        <w:rPr>
          <w:rFonts w:cs="Angsana New"/>
          <w:lang w:eastAsia="en-US"/>
        </w:rPr>
        <w:t>The objective of this task is:</w:t>
      </w:r>
    </w:p>
    <w:p w:rsidR="002A75C7" w:rsidRPr="00772A67" w:rsidRDefault="002A75C7" w:rsidP="002A75C7">
      <w:pPr>
        <w:numPr>
          <w:ilvl w:val="0"/>
          <w:numId w:val="6"/>
        </w:numPr>
        <w:tabs>
          <w:tab w:val="left" w:pos="720"/>
        </w:tabs>
        <w:spacing w:before="120" w:after="120"/>
        <w:jc w:val="both"/>
        <w:rPr>
          <w:rFonts w:cs="Angsana New"/>
          <w:lang w:eastAsia="en-US"/>
        </w:rPr>
      </w:pPr>
      <w:proofErr w:type="gramStart"/>
      <w:r w:rsidRPr="00772A67">
        <w:rPr>
          <w:rFonts w:cs="Angsana New"/>
          <w:lang w:eastAsia="en-US"/>
        </w:rPr>
        <w:t>to</w:t>
      </w:r>
      <w:proofErr w:type="gramEnd"/>
      <w:r w:rsidRPr="00772A67">
        <w:rPr>
          <w:rFonts w:cs="Angsana New"/>
          <w:lang w:eastAsia="en-US"/>
        </w:rPr>
        <w:t xml:space="preserve"> enhance the capabilities of the regulatory authority in fulfilling its functions of assessing and verifying the safety of nuclear installations.</w:t>
      </w:r>
    </w:p>
    <w:p w:rsidR="002A75C7" w:rsidRDefault="002A75C7" w:rsidP="002A75C7">
      <w:pPr>
        <w:spacing w:before="120" w:after="120"/>
        <w:jc w:val="both"/>
        <w:rPr>
          <w:szCs w:val="20"/>
          <w:lang w:eastAsia="ro-RO"/>
        </w:rPr>
      </w:pPr>
      <w:r w:rsidRPr="002A75C7">
        <w:rPr>
          <w:szCs w:val="20"/>
          <w:lang w:eastAsia="ro-RO"/>
        </w:rPr>
        <w:t>Internal procedures and/or guides, to be followed by the regulatory body in assessing and verifying safety, will be developed and documented. Effort will focus on a limited number of priority topics for which procedures are likely to be needed in the short to medium term (e.g., evaluation of site investigations, construction of new installations, decommissioning, ageing management of the existing research reactor, etc.).  Training and tutoring will form an important element of cooperation within this task.</w:t>
      </w:r>
    </w:p>
    <w:p w:rsidR="000443E3" w:rsidRDefault="000443E3" w:rsidP="000443E3">
      <w:pPr>
        <w:pStyle w:val="Heading3"/>
        <w:numPr>
          <w:ilvl w:val="0"/>
          <w:numId w:val="0"/>
        </w:numPr>
        <w:rPr>
          <w:rFonts w:eastAsia="Calibri"/>
        </w:rPr>
      </w:pPr>
    </w:p>
    <w:p w:rsidR="000443E3" w:rsidRPr="00772A67" w:rsidRDefault="000443E3" w:rsidP="000443E3">
      <w:pPr>
        <w:pStyle w:val="Heading3"/>
        <w:numPr>
          <w:ilvl w:val="0"/>
          <w:numId w:val="0"/>
        </w:numPr>
        <w:rPr>
          <w:rFonts w:eastAsia="Calibri"/>
        </w:rPr>
      </w:pPr>
      <w:r w:rsidRPr="00772A67">
        <w:rPr>
          <w:rFonts w:eastAsia="Calibri"/>
        </w:rPr>
        <w:t>Task 4 – Human Resources Development Plan</w:t>
      </w:r>
      <w:r>
        <w:rPr>
          <w:rFonts w:eastAsia="Calibri"/>
        </w:rPr>
        <w:t xml:space="preserve"> </w:t>
      </w:r>
    </w:p>
    <w:p w:rsidR="000443E3" w:rsidRPr="00BD3FE7" w:rsidRDefault="000443E3" w:rsidP="000443E3">
      <w:pPr>
        <w:spacing w:before="120" w:after="120"/>
        <w:jc w:val="both"/>
        <w:rPr>
          <w:lang w:val="en-US" w:eastAsia="zh-CN"/>
        </w:rPr>
      </w:pPr>
      <w:r w:rsidRPr="00BD3FE7">
        <w:rPr>
          <w:lang w:val="en-US" w:eastAsia="zh-CN"/>
        </w:rPr>
        <w:t>The objectives of this task are:</w:t>
      </w:r>
    </w:p>
    <w:p w:rsidR="000443E3" w:rsidRPr="00BD3FE7" w:rsidRDefault="000443E3" w:rsidP="000443E3">
      <w:pPr>
        <w:numPr>
          <w:ilvl w:val="0"/>
          <w:numId w:val="9"/>
        </w:numPr>
        <w:spacing w:before="120" w:after="120"/>
        <w:ind w:left="1276" w:hanging="425"/>
        <w:jc w:val="both"/>
        <w:rPr>
          <w:lang w:val="en-US" w:eastAsia="zh-CN"/>
        </w:rPr>
      </w:pPr>
      <w:r w:rsidRPr="00BD3FE7">
        <w:rPr>
          <w:lang w:val="en-US" w:eastAsia="zh-CN"/>
        </w:rPr>
        <w:t xml:space="preserve">to cooperate in further refining the human resources development plan for </w:t>
      </w:r>
      <w:r>
        <w:rPr>
          <w:lang w:val="en-US" w:eastAsia="zh-CN"/>
        </w:rPr>
        <w:t>INRA</w:t>
      </w:r>
      <w:r w:rsidRPr="00BD3FE7">
        <w:rPr>
          <w:lang w:val="en-US" w:eastAsia="zh-CN"/>
        </w:rPr>
        <w:t xml:space="preserve"> </w:t>
      </w:r>
    </w:p>
    <w:p w:rsidR="000443E3" w:rsidRDefault="000443E3" w:rsidP="000443E3">
      <w:pPr>
        <w:numPr>
          <w:ilvl w:val="0"/>
          <w:numId w:val="9"/>
        </w:numPr>
        <w:spacing w:before="120" w:after="120"/>
        <w:ind w:left="1276" w:hanging="425"/>
        <w:jc w:val="both"/>
        <w:rPr>
          <w:lang w:val="en-US" w:eastAsia="zh-CN"/>
        </w:rPr>
      </w:pPr>
      <w:proofErr w:type="gramStart"/>
      <w:r w:rsidRPr="00BD3FE7">
        <w:rPr>
          <w:lang w:val="en-US" w:eastAsia="zh-CN"/>
        </w:rPr>
        <w:t>to</w:t>
      </w:r>
      <w:proofErr w:type="gramEnd"/>
      <w:r w:rsidRPr="00BD3FE7">
        <w:rPr>
          <w:lang w:val="en-US" w:eastAsia="zh-CN"/>
        </w:rPr>
        <w:t xml:space="preserve"> cooperate in the establishment of a sustainable training </w:t>
      </w:r>
      <w:proofErr w:type="spellStart"/>
      <w:r w:rsidRPr="00BD3FE7">
        <w:rPr>
          <w:lang w:val="en-US" w:eastAsia="zh-CN"/>
        </w:rPr>
        <w:t>programme</w:t>
      </w:r>
      <w:proofErr w:type="spellEnd"/>
      <w:r w:rsidRPr="00BD3FE7">
        <w:rPr>
          <w:lang w:val="en-US" w:eastAsia="zh-CN"/>
        </w:rPr>
        <w:t xml:space="preserve"> capable of delivering the goals of the human resources development plan.</w:t>
      </w:r>
    </w:p>
    <w:p w:rsidR="000443E3" w:rsidRPr="000443E3" w:rsidRDefault="000443E3" w:rsidP="002A75C7">
      <w:pPr>
        <w:spacing w:before="120" w:after="120"/>
        <w:jc w:val="both"/>
        <w:rPr>
          <w:szCs w:val="20"/>
          <w:lang w:val="en-US" w:eastAsia="ro-RO"/>
        </w:rPr>
      </w:pPr>
    </w:p>
    <w:p w:rsidR="000443E3" w:rsidRPr="00772A67" w:rsidRDefault="000443E3" w:rsidP="000443E3">
      <w:pPr>
        <w:pStyle w:val="Heading3"/>
        <w:numPr>
          <w:ilvl w:val="0"/>
          <w:numId w:val="0"/>
        </w:numPr>
        <w:rPr>
          <w:rFonts w:eastAsia="Calibri"/>
        </w:rPr>
      </w:pPr>
      <w:r w:rsidRPr="00772A67">
        <w:rPr>
          <w:rFonts w:eastAsia="Calibri"/>
        </w:rPr>
        <w:t xml:space="preserve">Task </w:t>
      </w:r>
      <w:r>
        <w:rPr>
          <w:rFonts w:eastAsia="Calibri"/>
        </w:rPr>
        <w:t>5</w:t>
      </w:r>
      <w:r w:rsidRPr="00772A67">
        <w:rPr>
          <w:rFonts w:eastAsia="Calibri"/>
        </w:rPr>
        <w:t xml:space="preserve"> – </w:t>
      </w:r>
      <w:r>
        <w:rPr>
          <w:rFonts w:eastAsia="Calibri"/>
        </w:rPr>
        <w:t xml:space="preserve">Emergency Preparedness and Response </w:t>
      </w:r>
    </w:p>
    <w:p w:rsidR="00084E37" w:rsidRPr="00BB651D" w:rsidRDefault="00084E37" w:rsidP="00084E37">
      <w:pPr>
        <w:pStyle w:val="Text2"/>
        <w:spacing w:before="0"/>
        <w:ind w:left="0"/>
      </w:pPr>
    </w:p>
    <w:p w:rsidR="00084E37" w:rsidRDefault="00FE3564" w:rsidP="00084E37">
      <w:pPr>
        <w:pStyle w:val="Text2"/>
        <w:ind w:left="0"/>
      </w:pPr>
      <w:r>
        <w:t>The objectives of this task are:</w:t>
      </w:r>
    </w:p>
    <w:p w:rsidR="00FE3564" w:rsidRDefault="00FE3564" w:rsidP="00256B1C">
      <w:pPr>
        <w:pStyle w:val="Text2"/>
        <w:numPr>
          <w:ilvl w:val="0"/>
          <w:numId w:val="10"/>
        </w:numPr>
      </w:pPr>
      <w:proofErr w:type="gramStart"/>
      <w:r>
        <w:t>to</w:t>
      </w:r>
      <w:proofErr w:type="gramEnd"/>
      <w:r>
        <w:t xml:space="preserve"> assess the national situation and propose a national centralised system in line with the best international practices for detection and response to nuclear incident in Iran. The national system will consider </w:t>
      </w:r>
      <w:r w:rsidRPr="00256B1C">
        <w:rPr>
          <w:i/>
        </w:rPr>
        <w:t>inter-alia</w:t>
      </w:r>
      <w:r>
        <w:t xml:space="preserve"> the technical means for detection, the communication system with a national centralised </w:t>
      </w:r>
      <w:proofErr w:type="spellStart"/>
      <w:r>
        <w:t>center</w:t>
      </w:r>
      <w:proofErr w:type="spellEnd"/>
      <w:r>
        <w:t xml:space="preserve"> of operation and the necessary support for the decision making process.</w:t>
      </w:r>
    </w:p>
    <w:p w:rsidR="00FE3564" w:rsidRDefault="00FE3564" w:rsidP="00256B1C">
      <w:pPr>
        <w:pStyle w:val="Text2"/>
        <w:numPr>
          <w:ilvl w:val="0"/>
          <w:numId w:val="10"/>
        </w:numPr>
      </w:pPr>
      <w:r>
        <w:t xml:space="preserve">Based on the results of the nuclear safety conference, engage with the region to assess the feasibility of a regional system of exchange of information based on the EU experience and propose a plan </w:t>
      </w:r>
      <w:r w:rsidR="00B57ECE">
        <w:t>for implementation to the interested countries.</w:t>
      </w:r>
    </w:p>
    <w:p w:rsidR="001074AE" w:rsidRDefault="001074AE" w:rsidP="001074AE">
      <w:pPr>
        <w:pStyle w:val="Text2"/>
        <w:ind w:left="0"/>
      </w:pPr>
      <w:r>
        <w:t xml:space="preserve">The Task will deliver two reports that will be used for the programming of two follow-up projects, namely i) the development of a national Emergency, Preparedness and Response </w:t>
      </w:r>
      <w:proofErr w:type="spellStart"/>
      <w:r>
        <w:t>center</w:t>
      </w:r>
      <w:proofErr w:type="spellEnd"/>
      <w:r>
        <w:t xml:space="preserve"> including decision making tools and processes and ii) the deployment of necessary technical means and tools for a real-time exchange of information concerning the radiological situation</w:t>
      </w:r>
      <w:r w:rsidRPr="001074AE">
        <w:t xml:space="preserve"> </w:t>
      </w:r>
      <w:r>
        <w:t>in the participating countries.</w:t>
      </w:r>
    </w:p>
    <w:p w:rsidR="000443E3" w:rsidRDefault="000443E3" w:rsidP="00084E37">
      <w:pPr>
        <w:pStyle w:val="Text2"/>
        <w:ind w:left="0"/>
      </w:pPr>
    </w:p>
    <w:p w:rsidR="000443E3" w:rsidRPr="00BB651D" w:rsidRDefault="000443E3" w:rsidP="00084E37">
      <w:pPr>
        <w:pStyle w:val="Text2"/>
        <w:ind w:left="0"/>
      </w:pPr>
    </w:p>
    <w:p w:rsidR="00084E37" w:rsidRPr="00BB651D" w:rsidRDefault="00084E37" w:rsidP="00084E37">
      <w:pPr>
        <w:pStyle w:val="Heading2"/>
        <w:rPr>
          <w:szCs w:val="24"/>
        </w:rPr>
      </w:pPr>
      <w:bookmarkStart w:id="6" w:name="_Toc391999049"/>
      <w:bookmarkStart w:id="7" w:name="_Toc392858013"/>
      <w:bookmarkStart w:id="8" w:name="_Toc391022365"/>
      <w:bookmarkStart w:id="9" w:name="_Toc391537207"/>
      <w:r w:rsidRPr="00BB651D">
        <w:rPr>
          <w:szCs w:val="24"/>
        </w:rPr>
        <w:t>Intervention logic</w:t>
      </w:r>
      <w:bookmarkEnd w:id="6"/>
      <w:bookmarkEnd w:id="7"/>
      <w:bookmarkEnd w:id="8"/>
      <w:bookmarkEnd w:id="9"/>
    </w:p>
    <w:p w:rsidR="00084E37" w:rsidRPr="00BB651D" w:rsidRDefault="00084E37" w:rsidP="00084E37">
      <w:pPr>
        <w:pStyle w:val="Text2"/>
        <w:spacing w:before="0"/>
        <w:ind w:left="0"/>
      </w:pPr>
      <w:bookmarkStart w:id="10" w:name="_Toc391999050"/>
      <w:bookmarkStart w:id="11" w:name="_Toc391022366"/>
      <w:bookmarkStart w:id="12" w:name="_Toc391537208"/>
      <w:bookmarkStart w:id="13" w:name="_Toc392858014"/>
      <w:r w:rsidRPr="00BB651D">
        <w:t>The Government of Iran will be provided with the technical means to support the decision making process in establishing a national nuclear safety centre and establishing a regulatory framework according to the best international standards.</w:t>
      </w:r>
    </w:p>
    <w:p w:rsidR="00084E37" w:rsidRPr="00BB651D" w:rsidRDefault="00084E37" w:rsidP="00084E37">
      <w:pPr>
        <w:pStyle w:val="Heading1"/>
        <w:rPr>
          <w:szCs w:val="24"/>
        </w:rPr>
      </w:pPr>
      <w:r w:rsidRPr="00BB651D">
        <w:rPr>
          <w:szCs w:val="24"/>
        </w:rPr>
        <w:lastRenderedPageBreak/>
        <w:t xml:space="preserve">Implementation </w:t>
      </w:r>
      <w:bookmarkEnd w:id="10"/>
      <w:bookmarkEnd w:id="11"/>
      <w:bookmarkEnd w:id="12"/>
      <w:bookmarkEnd w:id="13"/>
    </w:p>
    <w:p w:rsidR="00084E37" w:rsidRPr="00BB651D" w:rsidRDefault="00084E37" w:rsidP="00084E37">
      <w:pPr>
        <w:pStyle w:val="Heading2"/>
        <w:rPr>
          <w:szCs w:val="24"/>
        </w:rPr>
      </w:pPr>
      <w:bookmarkStart w:id="14" w:name="_Toc391999051"/>
      <w:bookmarkStart w:id="15" w:name="_Toc392858015"/>
      <w:bookmarkStart w:id="16" w:name="_Toc391022367"/>
      <w:bookmarkStart w:id="17" w:name="_Toc391537209"/>
      <w:bookmarkStart w:id="18" w:name="_Ref399942547"/>
      <w:r w:rsidRPr="00BB651D">
        <w:rPr>
          <w:szCs w:val="24"/>
        </w:rPr>
        <w:t>Financing agreement</w:t>
      </w:r>
      <w:bookmarkEnd w:id="14"/>
      <w:bookmarkEnd w:id="15"/>
      <w:bookmarkEnd w:id="16"/>
      <w:bookmarkEnd w:id="17"/>
      <w:bookmarkEnd w:id="18"/>
    </w:p>
    <w:p w:rsidR="00084E37" w:rsidRPr="00BB651D" w:rsidRDefault="00084E37" w:rsidP="00084E37">
      <w:pPr>
        <w:pStyle w:val="Text2"/>
        <w:spacing w:before="0"/>
        <w:ind w:left="0"/>
      </w:pPr>
      <w:r w:rsidRPr="00BB651D">
        <w:t>In order to implement this action, it is not foreseen to conclude a financing agreement with the partner country, referred to in Article 184(2</w:t>
      </w:r>
      <w:proofErr w:type="gramStart"/>
      <w:r w:rsidRPr="00BB651D">
        <w:t>)(</w:t>
      </w:r>
      <w:proofErr w:type="gramEnd"/>
      <w:r w:rsidRPr="00BB651D">
        <w:t xml:space="preserve">b) of Regulation (EU, </w:t>
      </w:r>
      <w:proofErr w:type="spellStart"/>
      <w:r w:rsidRPr="00BB651D">
        <w:t>Euratom</w:t>
      </w:r>
      <w:proofErr w:type="spellEnd"/>
      <w:r w:rsidRPr="00BB651D">
        <w:t>) No 966/2012.</w:t>
      </w:r>
    </w:p>
    <w:p w:rsidR="00084E37" w:rsidRPr="00BB651D" w:rsidRDefault="00084E37" w:rsidP="00084E37">
      <w:pPr>
        <w:pStyle w:val="Text2"/>
        <w:spacing w:before="0"/>
        <w:ind w:left="0"/>
      </w:pPr>
    </w:p>
    <w:p w:rsidR="00084E37" w:rsidRPr="00BB651D" w:rsidRDefault="00084E37" w:rsidP="00084E37">
      <w:pPr>
        <w:pStyle w:val="Heading2"/>
        <w:rPr>
          <w:szCs w:val="24"/>
        </w:rPr>
      </w:pPr>
      <w:bookmarkStart w:id="19" w:name="_Toc391022368"/>
      <w:bookmarkStart w:id="20" w:name="_Toc391537210"/>
      <w:bookmarkStart w:id="21" w:name="_Toc392858016"/>
      <w:r w:rsidRPr="00BB651D">
        <w:rPr>
          <w:szCs w:val="24"/>
        </w:rPr>
        <w:t xml:space="preserve">Indicative implementation period </w:t>
      </w:r>
      <w:bookmarkEnd w:id="19"/>
      <w:bookmarkEnd w:id="20"/>
      <w:bookmarkEnd w:id="21"/>
    </w:p>
    <w:p w:rsidR="00084E37" w:rsidRPr="00BB651D" w:rsidRDefault="00084E37" w:rsidP="00084E37">
      <w:pPr>
        <w:pStyle w:val="Text2"/>
        <w:spacing w:before="0"/>
        <w:ind w:left="0"/>
      </w:pPr>
      <w:r w:rsidRPr="00BB651D">
        <w:t xml:space="preserve">The indicative operational implementation period of this action, during which the activities described in section </w:t>
      </w:r>
      <w:r w:rsidRPr="00BB651D">
        <w:fldChar w:fldCharType="begin"/>
      </w:r>
      <w:r w:rsidRPr="00BB651D">
        <w:instrText xml:space="preserve"> REF _Ref399941567 \r \h  \* MERGEFORMAT </w:instrText>
      </w:r>
      <w:r w:rsidRPr="00BB651D">
        <w:fldChar w:fldCharType="separate"/>
      </w:r>
      <w:r>
        <w:t>4.1</w:t>
      </w:r>
      <w:r w:rsidRPr="00BB651D">
        <w:fldChar w:fldCharType="end"/>
      </w:r>
      <w:r w:rsidRPr="00BB651D">
        <w:t xml:space="preserve"> will be carried out and the corresponding contracts and agreements implemented, is 72 months from the date of adoption by the Commission of </w:t>
      </w:r>
      <w:r>
        <w:t xml:space="preserve">the Decision containing </w:t>
      </w:r>
      <w:r w:rsidRPr="00BB651D">
        <w:t xml:space="preserve">this </w:t>
      </w:r>
      <w:r>
        <w:t>a</w:t>
      </w:r>
      <w:r w:rsidRPr="00BB651D">
        <w:t xml:space="preserve">ction </w:t>
      </w:r>
      <w:r>
        <w:t>d</w:t>
      </w:r>
      <w:r w:rsidRPr="00BB651D">
        <w:t xml:space="preserve">ocument. </w:t>
      </w:r>
    </w:p>
    <w:p w:rsidR="00084E37" w:rsidRPr="00BB651D" w:rsidRDefault="00084E37" w:rsidP="00084E37">
      <w:pPr>
        <w:pStyle w:val="Text2"/>
        <w:spacing w:before="0"/>
        <w:ind w:left="0"/>
      </w:pPr>
      <w:r w:rsidRPr="00BB651D">
        <w:t xml:space="preserve">Extensions of the implementation period may be agreed by the Commission’s authorising officer responsible by amending this </w:t>
      </w:r>
      <w:r>
        <w:t>D</w:t>
      </w:r>
      <w:r w:rsidRPr="00BB651D">
        <w:t>ecision and the relevant contracts and agreements; such amendments to th</w:t>
      </w:r>
      <w:r>
        <w:t>e</w:t>
      </w:r>
      <w:r w:rsidRPr="00BB651D">
        <w:t xml:space="preserve"> </w:t>
      </w:r>
      <w:r>
        <w:t>D</w:t>
      </w:r>
      <w:r w:rsidRPr="00BB651D">
        <w:t>ecision constitute technical amendments in the sense of point (i) of Article 2(3)(c) of Regulation (EU) No 236/2014.</w:t>
      </w:r>
    </w:p>
    <w:p w:rsidR="00084E37" w:rsidRPr="00BB651D" w:rsidRDefault="00084E37" w:rsidP="00084E37">
      <w:pPr>
        <w:pStyle w:val="Text2"/>
        <w:spacing w:before="0"/>
        <w:ind w:left="0"/>
      </w:pPr>
    </w:p>
    <w:p w:rsidR="005C7AAE" w:rsidRDefault="005C7AAE"/>
    <w:sectPr w:rsidR="005C7AAE">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78" w:rsidRDefault="00C71378" w:rsidP="00084E37">
      <w:r>
        <w:separator/>
      </w:r>
    </w:p>
  </w:endnote>
  <w:endnote w:type="continuationSeparator" w:id="0">
    <w:p w:rsidR="00C71378" w:rsidRDefault="00C71378" w:rsidP="0008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78" w:rsidRDefault="00C71378" w:rsidP="00084E37">
      <w:r>
        <w:separator/>
      </w:r>
    </w:p>
  </w:footnote>
  <w:footnote w:type="continuationSeparator" w:id="0">
    <w:p w:rsidR="00C71378" w:rsidRDefault="00C71378" w:rsidP="0008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6F" w:rsidRDefault="00C52C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3318"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6F" w:rsidRPr="00C52C6F" w:rsidRDefault="00C52C6F">
    <w:pPr>
      <w:pStyle w:val="Header"/>
      <w:rPr>
        <w:i/>
        <w:lang w:val="fr-B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3319"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Pr>
        <w:lang w:val="fr-BE"/>
      </w:rPr>
      <w:tab/>
    </w:r>
    <w:r>
      <w:rPr>
        <w:lang w:val="fr-BE"/>
      </w:rPr>
      <w:tab/>
    </w:r>
    <w:r w:rsidRPr="00C52C6F">
      <w:rPr>
        <w:i/>
        <w:color w:val="FF0000"/>
        <w:lang w:val="fr-BE"/>
      </w:rPr>
      <w:t>CONFIDENTIAL</w:t>
    </w:r>
    <w:r w:rsidRPr="00C52C6F">
      <w:rPr>
        <w:i/>
        <w:lang w:val="fr-B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6F" w:rsidRDefault="00C52C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3317"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261A"/>
    <w:multiLevelType w:val="hybridMultilevel"/>
    <w:tmpl w:val="85385FCC"/>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
    <w:nsid w:val="24976528"/>
    <w:multiLevelType w:val="multilevel"/>
    <w:tmpl w:val="39586FEA"/>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Heading3"/>
      <w:lvlText w:val="%1.%2.%3"/>
      <w:lvlJc w:val="left"/>
      <w:pPr>
        <w:ind w:left="12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C304241"/>
    <w:multiLevelType w:val="hybridMultilevel"/>
    <w:tmpl w:val="C240A07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415B0C94"/>
    <w:multiLevelType w:val="hybridMultilevel"/>
    <w:tmpl w:val="6D72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CD1B81"/>
    <w:multiLevelType w:val="hybridMultilevel"/>
    <w:tmpl w:val="960CC7AC"/>
    <w:lvl w:ilvl="0" w:tplc="08090001">
      <w:start w:val="1"/>
      <w:numFmt w:val="bullet"/>
      <w:lvlText w:val=""/>
      <w:lvlJc w:val="left"/>
      <w:pPr>
        <w:ind w:left="1211" w:hanging="360"/>
      </w:pPr>
      <w:rPr>
        <w:rFonts w:ascii="Symbol" w:hAnsi="Symbol" w:hint="default"/>
      </w:rPr>
    </w:lvl>
    <w:lvl w:ilvl="1" w:tplc="FFFFFFFF">
      <w:start w:val="1"/>
      <w:numFmt w:val="bullet"/>
      <w:lvlText w:val="-"/>
      <w:lvlJc w:val="left"/>
      <w:pPr>
        <w:ind w:left="1931" w:hanging="360"/>
      </w:pPr>
      <w:rPr>
        <w:rFonts w:ascii="Times New Roman" w:eastAsia="Times New Roman" w:hAnsi="Times New Roman" w:hint="default"/>
      </w:rPr>
    </w:lvl>
    <w:lvl w:ilvl="2" w:tplc="DE308E96">
      <w:numFmt w:val="bullet"/>
      <w:lvlText w:val="•"/>
      <w:lvlJc w:val="left"/>
      <w:pPr>
        <w:ind w:left="2876" w:hanging="585"/>
      </w:pPr>
      <w:rPr>
        <w:rFonts w:ascii="Times New Roman" w:eastAsia="Times New Roman" w:hAnsi="Times New Roman" w:cs="Times New Roman"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CE3AA6"/>
    <w:multiLevelType w:val="multilevel"/>
    <w:tmpl w:val="191CCB7E"/>
    <w:name w:val="List Bullet 1"/>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758623A"/>
    <w:multiLevelType w:val="hybridMultilevel"/>
    <w:tmpl w:val="31F28B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684270EC"/>
    <w:multiLevelType w:val="hybridMultilevel"/>
    <w:tmpl w:val="D750B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CA4796"/>
    <w:multiLevelType w:val="hybridMultilevel"/>
    <w:tmpl w:val="2A66FBB0"/>
    <w:lvl w:ilvl="0" w:tplc="04180001">
      <w:start w:val="1"/>
      <w:numFmt w:val="bullet"/>
      <w:lvlText w:val=""/>
      <w:lvlJc w:val="left"/>
      <w:pPr>
        <w:ind w:left="1778" w:hanging="360"/>
      </w:pPr>
      <w:rPr>
        <w:rFonts w:ascii="Symbol" w:hAnsi="Symbol" w:hint="default"/>
      </w:rPr>
    </w:lvl>
    <w:lvl w:ilvl="1" w:tplc="04180003">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9"/>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4E37"/>
    <w:rsid w:val="000443E3"/>
    <w:rsid w:val="00084E37"/>
    <w:rsid w:val="001074AE"/>
    <w:rsid w:val="00194964"/>
    <w:rsid w:val="00256B1C"/>
    <w:rsid w:val="002A75C7"/>
    <w:rsid w:val="00317BDC"/>
    <w:rsid w:val="0035391A"/>
    <w:rsid w:val="00453B33"/>
    <w:rsid w:val="005C7AAE"/>
    <w:rsid w:val="00AD6D00"/>
    <w:rsid w:val="00B57ECE"/>
    <w:rsid w:val="00C52C6F"/>
    <w:rsid w:val="00C71378"/>
    <w:rsid w:val="00E916A3"/>
    <w:rsid w:val="00EE6922"/>
    <w:rsid w:val="00FE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3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Number"/>
    <w:next w:val="Normal"/>
    <w:link w:val="Heading1Char"/>
    <w:qFormat/>
    <w:rsid w:val="00084E37"/>
    <w:pPr>
      <w:keepNext/>
      <w:spacing w:before="360" w:after="120"/>
      <w:jc w:val="both"/>
      <w:outlineLvl w:val="0"/>
    </w:pPr>
    <w:rPr>
      <w:b/>
      <w:bCs/>
      <w:smallCaps/>
      <w:szCs w:val="32"/>
      <w:lang w:eastAsia="en-US"/>
    </w:rPr>
  </w:style>
  <w:style w:type="paragraph" w:styleId="Heading2">
    <w:name w:val="heading 2"/>
    <w:basedOn w:val="ListNumber"/>
    <w:next w:val="Text2"/>
    <w:link w:val="Heading2Char"/>
    <w:qFormat/>
    <w:rsid w:val="00084E37"/>
    <w:pPr>
      <w:keepNext/>
      <w:numPr>
        <w:ilvl w:val="1"/>
      </w:numPr>
      <w:tabs>
        <w:tab w:val="left" w:pos="840"/>
      </w:tabs>
      <w:spacing w:before="120" w:after="120"/>
      <w:ind w:left="432" w:hanging="432"/>
      <w:jc w:val="both"/>
      <w:outlineLvl w:val="1"/>
    </w:pPr>
    <w:rPr>
      <w:b/>
      <w:bCs/>
      <w:iCs/>
      <w:szCs w:val="28"/>
      <w:lang w:eastAsia="en-US"/>
    </w:rPr>
  </w:style>
  <w:style w:type="paragraph" w:styleId="Heading3">
    <w:name w:val="heading 3"/>
    <w:basedOn w:val="Normal"/>
    <w:next w:val="Normal"/>
    <w:link w:val="Heading3Char"/>
    <w:qFormat/>
    <w:rsid w:val="00084E37"/>
    <w:pPr>
      <w:keepNext/>
      <w:numPr>
        <w:ilvl w:val="2"/>
        <w:numId w:val="1"/>
      </w:numPr>
      <w:spacing w:before="120" w:after="120"/>
      <w:jc w:val="both"/>
      <w:outlineLvl w:val="2"/>
    </w:pPr>
    <w:rPr>
      <w:b/>
      <w:bCs/>
      <w:i/>
      <w:szCs w:val="26"/>
      <w:lang w:eastAsia="en-US"/>
    </w:rPr>
  </w:style>
  <w:style w:type="paragraph" w:styleId="Heading4">
    <w:name w:val="heading 4"/>
    <w:basedOn w:val="Normal"/>
    <w:next w:val="Normal"/>
    <w:link w:val="Heading4Char"/>
    <w:qFormat/>
    <w:rsid w:val="00084E37"/>
    <w:pPr>
      <w:keepNext/>
      <w:numPr>
        <w:ilvl w:val="3"/>
        <w:numId w:val="1"/>
      </w:numPr>
      <w:spacing w:before="120" w:after="120"/>
      <w:jc w:val="both"/>
      <w:outlineLvl w:val="3"/>
    </w:pPr>
    <w:rPr>
      <w:bCs/>
      <w:szCs w:val="28"/>
      <w:lang w:eastAsia="en-US"/>
    </w:rPr>
  </w:style>
  <w:style w:type="paragraph" w:styleId="Heading5">
    <w:name w:val="heading 5"/>
    <w:basedOn w:val="Normal"/>
    <w:next w:val="Normal"/>
    <w:link w:val="Heading5Char"/>
    <w:semiHidden/>
    <w:unhideWhenUsed/>
    <w:qFormat/>
    <w:rsid w:val="00084E3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84E3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84E3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84E3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84E3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E37"/>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084E37"/>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084E37"/>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sid w:val="00084E37"/>
    <w:rPr>
      <w:rFonts w:ascii="Times New Roman" w:eastAsia="Times New Roman" w:hAnsi="Times New Roman" w:cs="Times New Roman"/>
      <w:bCs/>
      <w:sz w:val="24"/>
      <w:szCs w:val="28"/>
    </w:rPr>
  </w:style>
  <w:style w:type="character" w:customStyle="1" w:styleId="Heading5Char">
    <w:name w:val="Heading 5 Char"/>
    <w:basedOn w:val="DefaultParagraphFont"/>
    <w:link w:val="Heading5"/>
    <w:semiHidden/>
    <w:rsid w:val="00084E37"/>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084E37"/>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084E37"/>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084E37"/>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084E37"/>
    <w:rPr>
      <w:rFonts w:ascii="Cambria" w:eastAsia="Times New Roman" w:hAnsi="Cambria" w:cs="Times New Roman"/>
      <w:lang w:eastAsia="en-GB"/>
    </w:rPr>
  </w:style>
  <w:style w:type="paragraph" w:customStyle="1" w:styleId="Text2">
    <w:name w:val="Text 2"/>
    <w:basedOn w:val="Normal"/>
    <w:rsid w:val="00084E37"/>
    <w:pPr>
      <w:spacing w:before="120" w:after="120"/>
      <w:ind w:left="850"/>
      <w:jc w:val="both"/>
    </w:pPr>
    <w:rPr>
      <w:lang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uiPriority w:val="99"/>
    <w:rsid w:val="00084E37"/>
    <w:rPr>
      <w:shd w:val="clear" w:color="auto" w:fill="auto"/>
      <w:vertAlign w:val="superscript"/>
    </w:rPr>
  </w:style>
  <w:style w:type="paragraph" w:styleId="ListParagraph">
    <w:name w:val="List Paragraph"/>
    <w:basedOn w:val="Normal"/>
    <w:uiPriority w:val="34"/>
    <w:qFormat/>
    <w:rsid w:val="00084E37"/>
    <w:pPr>
      <w:ind w:left="720"/>
    </w:pPr>
    <w:rPr>
      <w:rFonts w:ascii="Calibri" w:eastAsia="Calibri" w:hAnsi="Calibri"/>
      <w:sz w:val="22"/>
      <w:szCs w:val="22"/>
      <w:lang w:eastAsia="en-US"/>
    </w:rPr>
  </w:style>
  <w:style w:type="paragraph" w:styleId="ListNumber">
    <w:name w:val="List Number"/>
    <w:basedOn w:val="Normal"/>
    <w:uiPriority w:val="99"/>
    <w:semiHidden/>
    <w:unhideWhenUsed/>
    <w:rsid w:val="00084E37"/>
    <w:pPr>
      <w:ind w:left="432" w:hanging="432"/>
      <w:contextualSpacing/>
    </w:pPr>
  </w:style>
  <w:style w:type="paragraph" w:styleId="BalloonText">
    <w:name w:val="Balloon Text"/>
    <w:basedOn w:val="Normal"/>
    <w:link w:val="BalloonTextChar"/>
    <w:uiPriority w:val="99"/>
    <w:semiHidden/>
    <w:unhideWhenUsed/>
    <w:rsid w:val="00FE3564"/>
    <w:rPr>
      <w:rFonts w:ascii="Tahoma" w:hAnsi="Tahoma" w:cs="Tahoma"/>
      <w:sz w:val="16"/>
      <w:szCs w:val="16"/>
    </w:rPr>
  </w:style>
  <w:style w:type="character" w:customStyle="1" w:styleId="BalloonTextChar">
    <w:name w:val="Balloon Text Char"/>
    <w:basedOn w:val="DefaultParagraphFont"/>
    <w:link w:val="BalloonText"/>
    <w:uiPriority w:val="99"/>
    <w:semiHidden/>
    <w:rsid w:val="00FE3564"/>
    <w:rPr>
      <w:rFonts w:ascii="Tahoma" w:eastAsia="Times New Roman" w:hAnsi="Tahoma" w:cs="Tahoma"/>
      <w:sz w:val="16"/>
      <w:szCs w:val="16"/>
      <w:lang w:eastAsia="en-GB"/>
    </w:rPr>
  </w:style>
  <w:style w:type="paragraph" w:styleId="Header">
    <w:name w:val="header"/>
    <w:basedOn w:val="Normal"/>
    <w:link w:val="HeaderChar"/>
    <w:uiPriority w:val="99"/>
    <w:unhideWhenUsed/>
    <w:rsid w:val="00C52C6F"/>
    <w:pPr>
      <w:tabs>
        <w:tab w:val="center" w:pos="4536"/>
        <w:tab w:val="right" w:pos="9072"/>
      </w:tabs>
    </w:pPr>
  </w:style>
  <w:style w:type="character" w:customStyle="1" w:styleId="HeaderChar">
    <w:name w:val="Header Char"/>
    <w:basedOn w:val="DefaultParagraphFont"/>
    <w:link w:val="Header"/>
    <w:uiPriority w:val="99"/>
    <w:rsid w:val="00C52C6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2C6F"/>
    <w:pPr>
      <w:tabs>
        <w:tab w:val="center" w:pos="4536"/>
        <w:tab w:val="right" w:pos="9072"/>
      </w:tabs>
    </w:pPr>
  </w:style>
  <w:style w:type="character" w:customStyle="1" w:styleId="FooterChar">
    <w:name w:val="Footer Char"/>
    <w:basedOn w:val="DefaultParagraphFont"/>
    <w:link w:val="Footer"/>
    <w:uiPriority w:val="99"/>
    <w:rsid w:val="00C52C6F"/>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3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Number"/>
    <w:next w:val="Normal"/>
    <w:link w:val="Heading1Char"/>
    <w:qFormat/>
    <w:rsid w:val="00084E37"/>
    <w:pPr>
      <w:keepNext/>
      <w:spacing w:before="360" w:after="120"/>
      <w:jc w:val="both"/>
      <w:outlineLvl w:val="0"/>
    </w:pPr>
    <w:rPr>
      <w:b/>
      <w:bCs/>
      <w:smallCaps/>
      <w:szCs w:val="32"/>
      <w:lang w:eastAsia="en-US"/>
    </w:rPr>
  </w:style>
  <w:style w:type="paragraph" w:styleId="Heading2">
    <w:name w:val="heading 2"/>
    <w:basedOn w:val="ListNumber"/>
    <w:next w:val="Text2"/>
    <w:link w:val="Heading2Char"/>
    <w:qFormat/>
    <w:rsid w:val="00084E37"/>
    <w:pPr>
      <w:keepNext/>
      <w:numPr>
        <w:ilvl w:val="1"/>
      </w:numPr>
      <w:tabs>
        <w:tab w:val="left" w:pos="840"/>
      </w:tabs>
      <w:spacing w:before="120" w:after="120"/>
      <w:ind w:left="432" w:hanging="432"/>
      <w:jc w:val="both"/>
      <w:outlineLvl w:val="1"/>
    </w:pPr>
    <w:rPr>
      <w:b/>
      <w:bCs/>
      <w:iCs/>
      <w:szCs w:val="28"/>
      <w:lang w:eastAsia="en-US"/>
    </w:rPr>
  </w:style>
  <w:style w:type="paragraph" w:styleId="Heading3">
    <w:name w:val="heading 3"/>
    <w:basedOn w:val="Normal"/>
    <w:next w:val="Normal"/>
    <w:link w:val="Heading3Char"/>
    <w:qFormat/>
    <w:rsid w:val="00084E37"/>
    <w:pPr>
      <w:keepNext/>
      <w:numPr>
        <w:ilvl w:val="2"/>
        <w:numId w:val="1"/>
      </w:numPr>
      <w:spacing w:before="120" w:after="120"/>
      <w:jc w:val="both"/>
      <w:outlineLvl w:val="2"/>
    </w:pPr>
    <w:rPr>
      <w:b/>
      <w:bCs/>
      <w:i/>
      <w:szCs w:val="26"/>
      <w:lang w:eastAsia="en-US"/>
    </w:rPr>
  </w:style>
  <w:style w:type="paragraph" w:styleId="Heading4">
    <w:name w:val="heading 4"/>
    <w:basedOn w:val="Normal"/>
    <w:next w:val="Normal"/>
    <w:link w:val="Heading4Char"/>
    <w:qFormat/>
    <w:rsid w:val="00084E37"/>
    <w:pPr>
      <w:keepNext/>
      <w:numPr>
        <w:ilvl w:val="3"/>
        <w:numId w:val="1"/>
      </w:numPr>
      <w:spacing w:before="120" w:after="120"/>
      <w:jc w:val="both"/>
      <w:outlineLvl w:val="3"/>
    </w:pPr>
    <w:rPr>
      <w:bCs/>
      <w:szCs w:val="28"/>
      <w:lang w:eastAsia="en-US"/>
    </w:rPr>
  </w:style>
  <w:style w:type="paragraph" w:styleId="Heading5">
    <w:name w:val="heading 5"/>
    <w:basedOn w:val="Normal"/>
    <w:next w:val="Normal"/>
    <w:link w:val="Heading5Char"/>
    <w:semiHidden/>
    <w:unhideWhenUsed/>
    <w:qFormat/>
    <w:rsid w:val="00084E3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84E3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84E3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84E3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84E3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E37"/>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084E37"/>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084E37"/>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sid w:val="00084E37"/>
    <w:rPr>
      <w:rFonts w:ascii="Times New Roman" w:eastAsia="Times New Roman" w:hAnsi="Times New Roman" w:cs="Times New Roman"/>
      <w:bCs/>
      <w:sz w:val="24"/>
      <w:szCs w:val="28"/>
    </w:rPr>
  </w:style>
  <w:style w:type="character" w:customStyle="1" w:styleId="Heading5Char">
    <w:name w:val="Heading 5 Char"/>
    <w:basedOn w:val="DefaultParagraphFont"/>
    <w:link w:val="Heading5"/>
    <w:semiHidden/>
    <w:rsid w:val="00084E37"/>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084E37"/>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084E37"/>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084E37"/>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084E37"/>
    <w:rPr>
      <w:rFonts w:ascii="Cambria" w:eastAsia="Times New Roman" w:hAnsi="Cambria" w:cs="Times New Roman"/>
      <w:lang w:eastAsia="en-GB"/>
    </w:rPr>
  </w:style>
  <w:style w:type="paragraph" w:customStyle="1" w:styleId="Text2">
    <w:name w:val="Text 2"/>
    <w:basedOn w:val="Normal"/>
    <w:rsid w:val="00084E37"/>
    <w:pPr>
      <w:spacing w:before="120" w:after="120"/>
      <w:ind w:left="850"/>
      <w:jc w:val="both"/>
    </w:pPr>
    <w:rPr>
      <w:lang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uiPriority w:val="99"/>
    <w:rsid w:val="00084E37"/>
    <w:rPr>
      <w:shd w:val="clear" w:color="auto" w:fill="auto"/>
      <w:vertAlign w:val="superscript"/>
    </w:rPr>
  </w:style>
  <w:style w:type="paragraph" w:styleId="ListParagraph">
    <w:name w:val="List Paragraph"/>
    <w:basedOn w:val="Normal"/>
    <w:uiPriority w:val="34"/>
    <w:qFormat/>
    <w:rsid w:val="00084E37"/>
    <w:pPr>
      <w:ind w:left="720"/>
    </w:pPr>
    <w:rPr>
      <w:rFonts w:ascii="Calibri" w:eastAsia="Calibri" w:hAnsi="Calibri"/>
      <w:sz w:val="22"/>
      <w:szCs w:val="22"/>
      <w:lang w:eastAsia="en-US"/>
    </w:rPr>
  </w:style>
  <w:style w:type="paragraph" w:styleId="ListNumber">
    <w:name w:val="List Number"/>
    <w:basedOn w:val="Normal"/>
    <w:uiPriority w:val="99"/>
    <w:semiHidden/>
    <w:unhideWhenUsed/>
    <w:rsid w:val="00084E37"/>
    <w:pPr>
      <w:ind w:left="432" w:hanging="432"/>
      <w:contextualSpacing/>
    </w:pPr>
  </w:style>
  <w:style w:type="paragraph" w:styleId="BalloonText">
    <w:name w:val="Balloon Text"/>
    <w:basedOn w:val="Normal"/>
    <w:link w:val="BalloonTextChar"/>
    <w:uiPriority w:val="99"/>
    <w:semiHidden/>
    <w:unhideWhenUsed/>
    <w:rsid w:val="00FE3564"/>
    <w:rPr>
      <w:rFonts w:ascii="Tahoma" w:hAnsi="Tahoma" w:cs="Tahoma"/>
      <w:sz w:val="16"/>
      <w:szCs w:val="16"/>
    </w:rPr>
  </w:style>
  <w:style w:type="character" w:customStyle="1" w:styleId="BalloonTextChar">
    <w:name w:val="Balloon Text Char"/>
    <w:basedOn w:val="DefaultParagraphFont"/>
    <w:link w:val="BalloonText"/>
    <w:uiPriority w:val="99"/>
    <w:semiHidden/>
    <w:rsid w:val="00FE3564"/>
    <w:rPr>
      <w:rFonts w:ascii="Tahoma" w:eastAsia="Times New Roman" w:hAnsi="Tahoma" w:cs="Tahoma"/>
      <w:sz w:val="16"/>
      <w:szCs w:val="16"/>
      <w:lang w:eastAsia="en-GB"/>
    </w:rPr>
  </w:style>
  <w:style w:type="paragraph" w:styleId="Header">
    <w:name w:val="header"/>
    <w:basedOn w:val="Normal"/>
    <w:link w:val="HeaderChar"/>
    <w:uiPriority w:val="99"/>
    <w:unhideWhenUsed/>
    <w:rsid w:val="00C52C6F"/>
    <w:pPr>
      <w:tabs>
        <w:tab w:val="center" w:pos="4536"/>
        <w:tab w:val="right" w:pos="9072"/>
      </w:tabs>
    </w:pPr>
  </w:style>
  <w:style w:type="character" w:customStyle="1" w:styleId="HeaderChar">
    <w:name w:val="Header Char"/>
    <w:basedOn w:val="DefaultParagraphFont"/>
    <w:link w:val="Header"/>
    <w:uiPriority w:val="99"/>
    <w:rsid w:val="00C52C6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2C6F"/>
    <w:pPr>
      <w:tabs>
        <w:tab w:val="center" w:pos="4536"/>
        <w:tab w:val="right" w:pos="9072"/>
      </w:tabs>
    </w:pPr>
  </w:style>
  <w:style w:type="character" w:customStyle="1" w:styleId="FooterChar">
    <w:name w:val="Footer Char"/>
    <w:basedOn w:val="DefaultParagraphFont"/>
    <w:link w:val="Footer"/>
    <w:uiPriority w:val="99"/>
    <w:rsid w:val="00C52C6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6058-127B-4F9D-81AE-B7E389DC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NIETO Francesca (DEVCO)</dc:creator>
  <cp:lastModifiedBy>NIETO Francesca (DEVCO)</cp:lastModifiedBy>
  <cp:revision>3</cp:revision>
  <dcterms:created xsi:type="dcterms:W3CDTF">2016-10-04T10:41:00Z</dcterms:created>
  <dcterms:modified xsi:type="dcterms:W3CDTF">2016-10-04T12:16:00Z</dcterms:modified>
</cp:coreProperties>
</file>