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0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8"/>
        <w:gridCol w:w="1418"/>
        <w:gridCol w:w="810"/>
        <w:gridCol w:w="11091"/>
        <w:gridCol w:w="283"/>
        <w:gridCol w:w="1501"/>
      </w:tblGrid>
      <w:tr w:rsidR="00A84C0D" w:rsidRPr="00DE38D5" w:rsidTr="00CF2DB0">
        <w:trPr>
          <w:cantSplit/>
          <w:tblHeader/>
          <w:jc w:val="center"/>
        </w:trPr>
        <w:tc>
          <w:tcPr>
            <w:tcW w:w="398" w:type="dxa"/>
            <w:tcBorders>
              <w:top w:val="double" w:sz="4" w:space="0" w:color="auto"/>
              <w:bottom w:val="single" w:sz="24" w:space="0" w:color="auto"/>
            </w:tcBorders>
          </w:tcPr>
          <w:p w:rsidR="00A84C0D" w:rsidRPr="00910DB6" w:rsidRDefault="00A84C0D" w:rsidP="00910DB6">
            <w:pPr>
              <w:jc w:val="center"/>
              <w:rPr>
                <w:b/>
                <w:sz w:val="22"/>
                <w:lang w:val="en-US"/>
              </w:rPr>
            </w:pPr>
            <w:bookmarkStart w:id="0" w:name="_GoBack"/>
            <w:bookmarkEnd w:id="0"/>
            <w:r>
              <w:rPr>
                <w:b/>
                <w:sz w:val="22"/>
                <w:lang w:val="en-US"/>
              </w:rPr>
              <w:t>#</w:t>
            </w:r>
          </w:p>
        </w:tc>
        <w:tc>
          <w:tcPr>
            <w:tcW w:w="1418" w:type="dxa"/>
            <w:tcBorders>
              <w:top w:val="double" w:sz="4" w:space="0" w:color="auto"/>
              <w:bottom w:val="single" w:sz="24" w:space="0" w:color="auto"/>
            </w:tcBorders>
          </w:tcPr>
          <w:p w:rsidR="00A84C0D" w:rsidRPr="00910DB6" w:rsidRDefault="00A84C0D" w:rsidP="00910DB6">
            <w:pPr>
              <w:jc w:val="center"/>
              <w:rPr>
                <w:b/>
                <w:sz w:val="22"/>
                <w:lang w:val="en-US"/>
              </w:rPr>
            </w:pPr>
            <w:r>
              <w:rPr>
                <w:b/>
                <w:sz w:val="22"/>
                <w:lang w:val="en-US"/>
              </w:rPr>
              <w:t>Responsible person</w:t>
            </w:r>
          </w:p>
        </w:tc>
        <w:tc>
          <w:tcPr>
            <w:tcW w:w="810" w:type="dxa"/>
            <w:tcBorders>
              <w:top w:val="double" w:sz="4" w:space="0" w:color="auto"/>
              <w:bottom w:val="single" w:sz="24" w:space="0" w:color="auto"/>
            </w:tcBorders>
          </w:tcPr>
          <w:p w:rsidR="00A84C0D" w:rsidRPr="00910DB6" w:rsidRDefault="00A84C0D" w:rsidP="00910DB6">
            <w:pPr>
              <w:jc w:val="center"/>
              <w:rPr>
                <w:b/>
                <w:sz w:val="22"/>
                <w:lang w:val="en-US"/>
              </w:rPr>
            </w:pPr>
            <w:r w:rsidRPr="00910DB6">
              <w:rPr>
                <w:b/>
                <w:sz w:val="22"/>
                <w:lang w:val="en-US"/>
              </w:rPr>
              <w:t>S</w:t>
            </w:r>
            <w:r>
              <w:rPr>
                <w:b/>
                <w:sz w:val="22"/>
                <w:lang w:val="en-US"/>
              </w:rPr>
              <w:t>ection</w:t>
            </w:r>
          </w:p>
        </w:tc>
        <w:tc>
          <w:tcPr>
            <w:tcW w:w="12875" w:type="dxa"/>
            <w:gridSpan w:val="3"/>
            <w:tcBorders>
              <w:top w:val="double" w:sz="4" w:space="0" w:color="auto"/>
              <w:bottom w:val="single" w:sz="24" w:space="0" w:color="auto"/>
            </w:tcBorders>
          </w:tcPr>
          <w:p w:rsidR="00A84C0D" w:rsidRPr="00910DB6" w:rsidRDefault="00A84C0D" w:rsidP="000823CE">
            <w:pPr>
              <w:jc w:val="center"/>
              <w:rPr>
                <w:b/>
                <w:sz w:val="22"/>
                <w:lang w:val="en-US"/>
              </w:rPr>
            </w:pPr>
            <w:r>
              <w:rPr>
                <w:b/>
                <w:sz w:val="22"/>
                <w:lang w:val="en-US"/>
              </w:rPr>
              <w:t>Comment to Draft of Chapter 5 of SAST Report</w:t>
            </w:r>
          </w:p>
        </w:tc>
      </w:tr>
      <w:tr w:rsidR="00A07A00" w:rsidRPr="00DE38D5" w:rsidTr="00A07A00">
        <w:trPr>
          <w:cantSplit/>
          <w:trHeight w:val="528"/>
          <w:jc w:val="center"/>
        </w:trPr>
        <w:tc>
          <w:tcPr>
            <w:tcW w:w="398" w:type="dxa"/>
          </w:tcPr>
          <w:p w:rsidR="00A07A00" w:rsidRPr="00EF3198" w:rsidRDefault="00A07A00" w:rsidP="00B058F7">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CD28F0">
            <w:pPr>
              <w:rPr>
                <w:sz w:val="22"/>
                <w:lang w:val="en-US"/>
              </w:rPr>
            </w:pPr>
            <w:r>
              <w:rPr>
                <w:sz w:val="22"/>
                <w:lang w:val="en-US"/>
              </w:rPr>
              <w:t>In progress</w:t>
            </w:r>
          </w:p>
        </w:tc>
        <w:tc>
          <w:tcPr>
            <w:tcW w:w="810" w:type="dxa"/>
          </w:tcPr>
          <w:p w:rsidR="00A07A00" w:rsidRDefault="00A07A00" w:rsidP="00B058F7">
            <w:pPr>
              <w:rPr>
                <w:sz w:val="22"/>
                <w:lang w:val="en-US"/>
              </w:rPr>
            </w:pPr>
            <w:r>
              <w:rPr>
                <w:sz w:val="22"/>
                <w:lang w:val="en-US"/>
              </w:rPr>
              <w:t>5.1.1</w:t>
            </w:r>
          </w:p>
        </w:tc>
        <w:tc>
          <w:tcPr>
            <w:tcW w:w="11091" w:type="dxa"/>
          </w:tcPr>
          <w:p w:rsidR="00A07A00" w:rsidRDefault="00A07A00" w:rsidP="00B058F7">
            <w:pPr>
              <w:rPr>
                <w:sz w:val="22"/>
                <w:lang w:val="en-US"/>
              </w:rPr>
            </w:pPr>
            <w:r>
              <w:rPr>
                <w:sz w:val="22"/>
                <w:lang w:val="en-US"/>
              </w:rPr>
              <w:t>Please consider proposals for text changes in the enclosed file and the comment at the end of the enclosed file.</w:t>
            </w:r>
          </w:p>
        </w:tc>
        <w:bookmarkStart w:id="1" w:name="_MON_1612951907"/>
        <w:bookmarkEnd w:id="1"/>
        <w:tc>
          <w:tcPr>
            <w:tcW w:w="1784" w:type="dxa"/>
            <w:gridSpan w:val="2"/>
          </w:tcPr>
          <w:p w:rsidR="00A07A00" w:rsidRPr="0021723C" w:rsidRDefault="00A07A00" w:rsidP="00B058F7">
            <w:pPr>
              <w:rPr>
                <w:sz w:val="18"/>
                <w:szCs w:val="18"/>
                <w:lang w:val="en-US"/>
              </w:rPr>
            </w:pPr>
            <w:r>
              <w:rPr>
                <w:sz w:val="2"/>
                <w:szCs w:val="2"/>
                <w:lang w:val="en-US"/>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95pt" o:ole="">
                  <v:imagedata r:id="rId6" o:title=""/>
                </v:shape>
                <o:OLEObject Type="Embed" ProgID="Word.Document.12" ShapeID="_x0000_i1025" DrawAspect="Icon" ObjectID="_1617975540" r:id="rId7">
                  <o:FieldCodes>\s</o:FieldCodes>
                </o:OLEObject>
              </w:object>
            </w:r>
          </w:p>
        </w:tc>
      </w:tr>
      <w:tr w:rsidR="00A07A00" w:rsidRPr="00DE38D5" w:rsidTr="00A07A00">
        <w:trPr>
          <w:cantSplit/>
          <w:jc w:val="center"/>
        </w:trPr>
        <w:tc>
          <w:tcPr>
            <w:tcW w:w="398" w:type="dxa"/>
          </w:tcPr>
          <w:p w:rsidR="00A07A00" w:rsidRPr="00EF3198" w:rsidRDefault="00A07A00" w:rsidP="00B058F7">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CD28F0">
            <w:pPr>
              <w:rPr>
                <w:sz w:val="22"/>
                <w:lang w:val="en-US"/>
              </w:rPr>
            </w:pPr>
            <w:r>
              <w:rPr>
                <w:sz w:val="22"/>
                <w:lang w:val="en-US"/>
              </w:rPr>
              <w:t>In progress</w:t>
            </w:r>
          </w:p>
        </w:tc>
        <w:tc>
          <w:tcPr>
            <w:tcW w:w="810" w:type="dxa"/>
          </w:tcPr>
          <w:p w:rsidR="00A07A00" w:rsidRDefault="00A07A00" w:rsidP="00B058F7">
            <w:pPr>
              <w:rPr>
                <w:sz w:val="22"/>
                <w:lang w:val="en-US"/>
              </w:rPr>
            </w:pPr>
            <w:r>
              <w:rPr>
                <w:sz w:val="22"/>
                <w:lang w:val="en-US"/>
              </w:rPr>
              <w:t>5.1.2.1</w:t>
            </w:r>
          </w:p>
        </w:tc>
        <w:tc>
          <w:tcPr>
            <w:tcW w:w="12875" w:type="dxa"/>
            <w:gridSpan w:val="3"/>
          </w:tcPr>
          <w:p w:rsidR="00A07A00" w:rsidRDefault="00A07A00" w:rsidP="00B058F7">
            <w:pPr>
              <w:rPr>
                <w:sz w:val="22"/>
                <w:lang w:val="en-US"/>
              </w:rPr>
            </w:pPr>
            <w:r>
              <w:rPr>
                <w:sz w:val="22"/>
                <w:lang w:val="en-US"/>
              </w:rPr>
              <w:t xml:space="preserve">Please check the text related the specification of the necessary systems to provide decay heat removal from the core and SFP in various operational Modes, which has been added by UJV. Please add a discussion whether there is any physical restriction or not to use EFW system for long-term (at least 72 </w:t>
            </w:r>
            <w:proofErr w:type="spellStart"/>
            <w:r>
              <w:rPr>
                <w:sz w:val="22"/>
                <w:lang w:val="en-US"/>
              </w:rPr>
              <w:t>hrs</w:t>
            </w:r>
            <w:proofErr w:type="spellEnd"/>
            <w:r>
              <w:rPr>
                <w:sz w:val="22"/>
                <w:lang w:val="en-US"/>
              </w:rPr>
              <w:t>) decay heat removal at hot standby Mode without operation of system TW. Please add a discussion whether systems TL03, TL10 and TL13 need to operate to prevent fuel damage or not.</w:t>
            </w:r>
          </w:p>
        </w:tc>
      </w:tr>
      <w:tr w:rsidR="00A07A00" w:rsidRPr="00DE38D5" w:rsidTr="002A7A35">
        <w:trPr>
          <w:cantSplit/>
          <w:jc w:val="center"/>
        </w:trPr>
        <w:tc>
          <w:tcPr>
            <w:tcW w:w="398" w:type="dxa"/>
          </w:tcPr>
          <w:p w:rsidR="00A07A00" w:rsidRPr="00EF3198" w:rsidRDefault="00A07A00" w:rsidP="00B058F7">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B058F7">
            <w:pPr>
              <w:rPr>
                <w:sz w:val="22"/>
                <w:lang w:val="en-US"/>
              </w:rPr>
            </w:pPr>
            <w:r>
              <w:rPr>
                <w:sz w:val="22"/>
                <w:lang w:val="en-US"/>
              </w:rPr>
              <w:t>In progress</w:t>
            </w:r>
          </w:p>
        </w:tc>
        <w:tc>
          <w:tcPr>
            <w:tcW w:w="810" w:type="dxa"/>
          </w:tcPr>
          <w:p w:rsidR="00A07A00" w:rsidRDefault="00A07A00" w:rsidP="00B058F7">
            <w:pPr>
              <w:rPr>
                <w:sz w:val="22"/>
                <w:lang w:val="en-US"/>
              </w:rPr>
            </w:pPr>
            <w:r>
              <w:rPr>
                <w:sz w:val="22"/>
                <w:lang w:val="en-US"/>
              </w:rPr>
              <w:t>5.1.1.2</w:t>
            </w:r>
          </w:p>
        </w:tc>
        <w:tc>
          <w:tcPr>
            <w:tcW w:w="12875" w:type="dxa"/>
            <w:gridSpan w:val="3"/>
          </w:tcPr>
          <w:p w:rsidR="00A07A00" w:rsidRPr="00CA34EB" w:rsidRDefault="00A07A00" w:rsidP="00B058F7">
            <w:pPr>
              <w:rPr>
                <w:sz w:val="22"/>
                <w:lang w:val="en-US"/>
              </w:rPr>
            </w:pPr>
            <w:r>
              <w:rPr>
                <w:sz w:val="22"/>
                <w:lang w:val="en-US"/>
              </w:rPr>
              <w:t xml:space="preserve">Please check the text related the possibility to provide sufficient amount of fuel for EDGs to prolong their operation up to 72 </w:t>
            </w:r>
            <w:proofErr w:type="spellStart"/>
            <w:r>
              <w:rPr>
                <w:sz w:val="22"/>
                <w:lang w:val="en-US"/>
              </w:rPr>
              <w:t>hrs</w:t>
            </w:r>
            <w:proofErr w:type="spellEnd"/>
            <w:r>
              <w:rPr>
                <w:sz w:val="22"/>
                <w:lang w:val="en-US"/>
              </w:rPr>
              <w:t xml:space="preserve"> during long-term LOOP, which has been added by UJV based on information in item 27 of document “Information based on the Gap Analysis” and Chapter 9.5.4.5.1 of FSAR. Especially please check the information about dependency of means to refill tanks on power supply. Moreover, please add information whether car tank for refueling is located at site and where.</w:t>
            </w:r>
          </w:p>
        </w:tc>
      </w:tr>
      <w:tr w:rsidR="00A07A00" w:rsidRPr="00DE38D5" w:rsidTr="00A07A00">
        <w:trPr>
          <w:cantSplit/>
          <w:jc w:val="center"/>
        </w:trPr>
        <w:tc>
          <w:tcPr>
            <w:tcW w:w="398" w:type="dxa"/>
          </w:tcPr>
          <w:p w:rsidR="00A07A00" w:rsidRPr="00EF3198" w:rsidRDefault="00A07A00" w:rsidP="00EF3198">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CD28F0">
            <w:pPr>
              <w:rPr>
                <w:sz w:val="22"/>
                <w:lang w:val="en-US"/>
              </w:rPr>
            </w:pPr>
            <w:r>
              <w:rPr>
                <w:sz w:val="22"/>
                <w:lang w:val="en-US"/>
              </w:rPr>
              <w:t>In progress</w:t>
            </w:r>
          </w:p>
        </w:tc>
        <w:tc>
          <w:tcPr>
            <w:tcW w:w="810" w:type="dxa"/>
          </w:tcPr>
          <w:p w:rsidR="00A07A00" w:rsidRDefault="00A07A00" w:rsidP="00B058F7">
            <w:pPr>
              <w:rPr>
                <w:sz w:val="22"/>
                <w:lang w:val="en-US"/>
              </w:rPr>
            </w:pPr>
            <w:r>
              <w:rPr>
                <w:sz w:val="22"/>
                <w:lang w:val="en-US"/>
              </w:rPr>
              <w:t>5.1.1.2</w:t>
            </w:r>
          </w:p>
        </w:tc>
        <w:tc>
          <w:tcPr>
            <w:tcW w:w="12875" w:type="dxa"/>
            <w:gridSpan w:val="3"/>
          </w:tcPr>
          <w:p w:rsidR="00A07A00" w:rsidRPr="00CA34EB" w:rsidRDefault="00A07A00" w:rsidP="00B7518A">
            <w:pPr>
              <w:rPr>
                <w:sz w:val="22"/>
                <w:lang w:val="en-US"/>
              </w:rPr>
            </w:pPr>
            <w:r>
              <w:rPr>
                <w:sz w:val="22"/>
                <w:lang w:val="en-US"/>
              </w:rPr>
              <w:t xml:space="preserve">Please add possibilities to refill EFW tanks to prolong EFW operation up to 72 hours including the specification of time necessary to refill those tanks. Please add a discussion about the realistic FW flow rate from EFW pump to SGs after LOOP, e.g. consider estimated flow rate into SGs based on </w:t>
            </w:r>
            <w:r w:rsidRPr="005B22C8">
              <w:rPr>
                <w:sz w:val="22"/>
                <w:lang w:val="en-US"/>
              </w:rPr>
              <w:t>Figure 15.2.4.2-30</w:t>
            </w:r>
            <w:r>
              <w:rPr>
                <w:sz w:val="22"/>
                <w:lang w:val="en-US"/>
              </w:rPr>
              <w:t xml:space="preserve"> of FSAR or based on similar accident in FSAR.</w:t>
            </w:r>
          </w:p>
        </w:tc>
      </w:tr>
      <w:tr w:rsidR="00A07A00" w:rsidRPr="00DE38D5" w:rsidTr="00A07A00">
        <w:trPr>
          <w:cantSplit/>
          <w:jc w:val="center"/>
        </w:trPr>
        <w:tc>
          <w:tcPr>
            <w:tcW w:w="398" w:type="dxa"/>
          </w:tcPr>
          <w:p w:rsidR="00A07A00" w:rsidRPr="00EF3198" w:rsidRDefault="00A07A00" w:rsidP="00EF3198">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CD28F0">
            <w:pPr>
              <w:rPr>
                <w:sz w:val="22"/>
                <w:lang w:val="en-US"/>
              </w:rPr>
            </w:pPr>
            <w:r>
              <w:rPr>
                <w:sz w:val="22"/>
                <w:lang w:val="en-US"/>
              </w:rPr>
              <w:t>In progress</w:t>
            </w:r>
          </w:p>
        </w:tc>
        <w:tc>
          <w:tcPr>
            <w:tcW w:w="810" w:type="dxa"/>
          </w:tcPr>
          <w:p w:rsidR="00A07A00" w:rsidRDefault="00A07A00" w:rsidP="00DE38D5">
            <w:pPr>
              <w:rPr>
                <w:sz w:val="22"/>
                <w:lang w:val="en-US"/>
              </w:rPr>
            </w:pPr>
            <w:r>
              <w:rPr>
                <w:sz w:val="22"/>
                <w:lang w:val="en-US"/>
              </w:rPr>
              <w:t>5.1.2.1</w:t>
            </w:r>
          </w:p>
        </w:tc>
        <w:tc>
          <w:tcPr>
            <w:tcW w:w="12875" w:type="dxa"/>
            <w:gridSpan w:val="3"/>
          </w:tcPr>
          <w:p w:rsidR="00A07A00" w:rsidRPr="00CA34EB" w:rsidRDefault="00A07A00" w:rsidP="00056EA8">
            <w:pPr>
              <w:rPr>
                <w:sz w:val="22"/>
                <w:lang w:val="en-US"/>
              </w:rPr>
            </w:pPr>
            <w:r>
              <w:rPr>
                <w:sz w:val="22"/>
                <w:lang w:val="en-US"/>
              </w:rPr>
              <w:t xml:space="preserve">Please check the text related to dependency of the common plant DG (10GY50) on fuel and oil that has been added by UJV based on information in item 31 of document “Information based on the Gap Analysis” and Chapter 9.5.4.5.1 of FSAR. </w:t>
            </w:r>
          </w:p>
        </w:tc>
      </w:tr>
      <w:tr w:rsidR="00A07A00" w:rsidRPr="00DE38D5" w:rsidTr="008A5063">
        <w:trPr>
          <w:cantSplit/>
          <w:jc w:val="center"/>
        </w:trPr>
        <w:tc>
          <w:tcPr>
            <w:tcW w:w="398" w:type="dxa"/>
          </w:tcPr>
          <w:p w:rsidR="00A07A00" w:rsidRPr="00EF3198" w:rsidRDefault="00A07A00" w:rsidP="00FF27B8">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FF27B8">
            <w:pPr>
              <w:rPr>
                <w:sz w:val="22"/>
                <w:lang w:val="en-US"/>
              </w:rPr>
            </w:pPr>
            <w:r>
              <w:rPr>
                <w:sz w:val="22"/>
                <w:lang w:val="en-US"/>
              </w:rPr>
              <w:t>In progress</w:t>
            </w:r>
          </w:p>
        </w:tc>
        <w:tc>
          <w:tcPr>
            <w:tcW w:w="810" w:type="dxa"/>
          </w:tcPr>
          <w:p w:rsidR="00A07A00" w:rsidRDefault="00A07A00" w:rsidP="00FF27B8">
            <w:pPr>
              <w:rPr>
                <w:sz w:val="22"/>
                <w:lang w:val="en-US"/>
              </w:rPr>
            </w:pPr>
            <w:r>
              <w:rPr>
                <w:sz w:val="22"/>
                <w:lang w:val="en-US"/>
              </w:rPr>
              <w:t>5.1.2.1</w:t>
            </w:r>
          </w:p>
        </w:tc>
        <w:tc>
          <w:tcPr>
            <w:tcW w:w="12875" w:type="dxa"/>
            <w:gridSpan w:val="3"/>
          </w:tcPr>
          <w:p w:rsidR="00A07A00" w:rsidRDefault="00A07A00" w:rsidP="00FF27B8">
            <w:pPr>
              <w:rPr>
                <w:sz w:val="22"/>
                <w:lang w:val="en-US"/>
              </w:rPr>
            </w:pPr>
            <w:r>
              <w:rPr>
                <w:sz w:val="22"/>
                <w:lang w:val="en-US"/>
              </w:rPr>
              <w:t>Please add information whether car tank for refueling is located at site as well as whether all necessary means to refill the fuel service tank of DG 10GY50 are independent on power supply (or whether such means are powered at least from DG 10GY50).</w:t>
            </w:r>
          </w:p>
        </w:tc>
      </w:tr>
      <w:tr w:rsidR="00A07A00" w:rsidRPr="00DE38D5" w:rsidTr="005B7221">
        <w:trPr>
          <w:cantSplit/>
          <w:jc w:val="center"/>
        </w:trPr>
        <w:tc>
          <w:tcPr>
            <w:tcW w:w="398" w:type="dxa"/>
          </w:tcPr>
          <w:p w:rsidR="00A07A00" w:rsidRPr="00EF3198" w:rsidRDefault="00A07A00" w:rsidP="00FF27B8">
            <w:pPr>
              <w:pStyle w:val="ListParagraph"/>
              <w:numPr>
                <w:ilvl w:val="0"/>
                <w:numId w:val="1"/>
              </w:numPr>
              <w:ind w:left="357" w:hanging="357"/>
              <w:contextualSpacing w:val="0"/>
              <w:rPr>
                <w:sz w:val="22"/>
                <w:lang w:val="en-US"/>
              </w:rPr>
            </w:pPr>
          </w:p>
        </w:tc>
        <w:tc>
          <w:tcPr>
            <w:tcW w:w="1418" w:type="dxa"/>
            <w:shd w:val="clear" w:color="auto" w:fill="92D050"/>
          </w:tcPr>
          <w:p w:rsidR="00A07A00" w:rsidRDefault="005B7221" w:rsidP="00FF27B8">
            <w:pPr>
              <w:rPr>
                <w:sz w:val="22"/>
                <w:lang w:val="en-US"/>
              </w:rPr>
            </w:pPr>
            <w:r>
              <w:rPr>
                <w:sz w:val="22"/>
                <w:lang w:val="en-US"/>
              </w:rPr>
              <w:t>Accepted</w:t>
            </w:r>
          </w:p>
        </w:tc>
        <w:tc>
          <w:tcPr>
            <w:tcW w:w="810" w:type="dxa"/>
          </w:tcPr>
          <w:p w:rsidR="00A07A00" w:rsidRDefault="00A07A00" w:rsidP="00FF27B8">
            <w:pPr>
              <w:rPr>
                <w:sz w:val="22"/>
                <w:lang w:val="en-US"/>
              </w:rPr>
            </w:pPr>
            <w:r>
              <w:rPr>
                <w:sz w:val="22"/>
                <w:lang w:val="en-US"/>
              </w:rPr>
              <w:t>5.1.2.1</w:t>
            </w:r>
          </w:p>
        </w:tc>
        <w:tc>
          <w:tcPr>
            <w:tcW w:w="12875" w:type="dxa"/>
            <w:gridSpan w:val="3"/>
          </w:tcPr>
          <w:p w:rsidR="00A07A00" w:rsidRPr="00CA34EB" w:rsidRDefault="00A07A00" w:rsidP="00FF27B8">
            <w:pPr>
              <w:rPr>
                <w:sz w:val="22"/>
                <w:lang w:val="en-US"/>
              </w:rPr>
            </w:pPr>
            <w:r>
              <w:rPr>
                <w:sz w:val="22"/>
                <w:lang w:val="en-US"/>
              </w:rPr>
              <w:t>Please check the text related to the robustness of common plant DG 10GY50 against seismic and flooding which has been added by UJV based on information in item 31 of document “Information based on the Gap Analysis”.</w:t>
            </w:r>
          </w:p>
        </w:tc>
      </w:tr>
      <w:tr w:rsidR="00A07A00" w:rsidRPr="00DE38D5" w:rsidTr="00A269DA">
        <w:trPr>
          <w:cantSplit/>
          <w:jc w:val="center"/>
        </w:trPr>
        <w:tc>
          <w:tcPr>
            <w:tcW w:w="398" w:type="dxa"/>
          </w:tcPr>
          <w:p w:rsidR="00A07A00" w:rsidRPr="00EF3198" w:rsidRDefault="00A07A00" w:rsidP="007D562A">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675C91">
            <w:pPr>
              <w:rPr>
                <w:sz w:val="22"/>
                <w:lang w:val="en-US"/>
              </w:rPr>
            </w:pPr>
            <w:r>
              <w:rPr>
                <w:sz w:val="22"/>
                <w:lang w:val="en-US"/>
              </w:rPr>
              <w:t>In progress</w:t>
            </w:r>
          </w:p>
        </w:tc>
        <w:tc>
          <w:tcPr>
            <w:tcW w:w="810" w:type="dxa"/>
          </w:tcPr>
          <w:p w:rsidR="00A07A00" w:rsidRDefault="00A07A00" w:rsidP="00114B2B">
            <w:pPr>
              <w:rPr>
                <w:sz w:val="22"/>
                <w:lang w:val="en-US"/>
              </w:rPr>
            </w:pPr>
            <w:r>
              <w:rPr>
                <w:sz w:val="22"/>
                <w:lang w:val="en-US"/>
              </w:rPr>
              <w:t>5.1.2.1</w:t>
            </w:r>
          </w:p>
        </w:tc>
        <w:tc>
          <w:tcPr>
            <w:tcW w:w="12875" w:type="dxa"/>
            <w:gridSpan w:val="3"/>
          </w:tcPr>
          <w:p w:rsidR="00A07A00" w:rsidRPr="00CA34EB" w:rsidRDefault="00A07A00" w:rsidP="007D562A">
            <w:pPr>
              <w:rPr>
                <w:sz w:val="22"/>
                <w:lang w:val="en-US"/>
              </w:rPr>
            </w:pPr>
            <w:r>
              <w:rPr>
                <w:sz w:val="22"/>
                <w:lang w:val="en-US"/>
              </w:rPr>
              <w:t>Please check the text related to the preparedness of 10GY50 for operation which has been added by UJV based on item 31 of document “Information based on the Gap Analysis” and on Section 8.3.1.2.4.1 of FSAR. Please add the condition for 10GY50 start (e.g. loss of power supply to at least one of bus 10BK or 10BL, or loss of power supply to both busbars 10BK and 10BL, etc.) and eventually the additional important information properly characterizing preparedness of 10GY50 for operation.</w:t>
            </w:r>
          </w:p>
        </w:tc>
      </w:tr>
      <w:tr w:rsidR="00A07A00" w:rsidRPr="00DE38D5" w:rsidTr="00A07A00">
        <w:trPr>
          <w:cantSplit/>
          <w:jc w:val="center"/>
        </w:trPr>
        <w:tc>
          <w:tcPr>
            <w:tcW w:w="398" w:type="dxa"/>
          </w:tcPr>
          <w:p w:rsidR="00A07A00" w:rsidRPr="00EF3198" w:rsidRDefault="00A07A00" w:rsidP="007D562A">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CD28F0">
            <w:pPr>
              <w:rPr>
                <w:sz w:val="22"/>
                <w:lang w:val="en-US"/>
              </w:rPr>
            </w:pPr>
            <w:r>
              <w:rPr>
                <w:sz w:val="22"/>
                <w:lang w:val="en-US"/>
              </w:rPr>
              <w:t>In progress</w:t>
            </w:r>
          </w:p>
        </w:tc>
        <w:tc>
          <w:tcPr>
            <w:tcW w:w="810" w:type="dxa"/>
          </w:tcPr>
          <w:p w:rsidR="00A07A00" w:rsidRDefault="00A07A00" w:rsidP="007D562A">
            <w:pPr>
              <w:rPr>
                <w:sz w:val="22"/>
                <w:lang w:val="en-US"/>
              </w:rPr>
            </w:pPr>
            <w:r>
              <w:rPr>
                <w:sz w:val="22"/>
                <w:lang w:val="en-US"/>
              </w:rPr>
              <w:t>5.1.2.1</w:t>
            </w:r>
          </w:p>
        </w:tc>
        <w:tc>
          <w:tcPr>
            <w:tcW w:w="12875" w:type="dxa"/>
            <w:gridSpan w:val="3"/>
          </w:tcPr>
          <w:p w:rsidR="00A07A00" w:rsidRPr="00CA34EB" w:rsidRDefault="00A07A00" w:rsidP="007D562A">
            <w:pPr>
              <w:rPr>
                <w:sz w:val="22"/>
                <w:lang w:val="en-US"/>
              </w:rPr>
            </w:pPr>
            <w:r w:rsidRPr="00F95F91">
              <w:rPr>
                <w:sz w:val="22"/>
                <w:lang w:val="en-US"/>
              </w:rPr>
              <w:t xml:space="preserve">Please add </w:t>
            </w:r>
            <w:r>
              <w:rPr>
                <w:sz w:val="22"/>
                <w:lang w:val="en-US"/>
              </w:rPr>
              <w:t>a brief discussion about</w:t>
            </w:r>
            <w:r w:rsidRPr="00F95F91">
              <w:rPr>
                <w:sz w:val="22"/>
                <w:lang w:val="en-US"/>
              </w:rPr>
              <w:t xml:space="preserve"> possibility to use AFW</w:t>
            </w:r>
            <w:r>
              <w:rPr>
                <w:sz w:val="22"/>
                <w:lang w:val="en-US"/>
              </w:rPr>
              <w:t xml:space="preserve"> pump</w:t>
            </w:r>
            <w:r w:rsidRPr="00F95F91">
              <w:rPr>
                <w:sz w:val="22"/>
                <w:lang w:val="en-US"/>
              </w:rPr>
              <w:t xml:space="preserve"> 10RR</w:t>
            </w:r>
            <w:r>
              <w:rPr>
                <w:sz w:val="22"/>
                <w:lang w:val="en-US"/>
              </w:rPr>
              <w:t>12(22)D001</w:t>
            </w:r>
            <w:r w:rsidRPr="00F95F91">
              <w:rPr>
                <w:sz w:val="22"/>
                <w:lang w:val="en-US"/>
              </w:rPr>
              <w:t xml:space="preserve"> </w:t>
            </w:r>
            <w:r>
              <w:rPr>
                <w:sz w:val="22"/>
                <w:lang w:val="en-US"/>
              </w:rPr>
              <w:t xml:space="preserve">supported by </w:t>
            </w:r>
            <w:r w:rsidRPr="00F95F91">
              <w:rPr>
                <w:sz w:val="22"/>
                <w:lang w:val="en-US"/>
              </w:rPr>
              <w:t xml:space="preserve">makeup of </w:t>
            </w:r>
            <w:r>
              <w:rPr>
                <w:sz w:val="22"/>
                <w:lang w:val="en-US"/>
              </w:rPr>
              <w:t xml:space="preserve">turbine </w:t>
            </w:r>
            <w:proofErr w:type="spellStart"/>
            <w:r w:rsidRPr="00F95F91">
              <w:rPr>
                <w:sz w:val="22"/>
                <w:lang w:val="en-US"/>
              </w:rPr>
              <w:t>deareator</w:t>
            </w:r>
            <w:proofErr w:type="spellEnd"/>
            <w:r>
              <w:rPr>
                <w:sz w:val="22"/>
                <w:lang w:val="en-US"/>
              </w:rPr>
              <w:t xml:space="preserve"> with demi-water makeup pump</w:t>
            </w:r>
            <w:r w:rsidRPr="00F95F91">
              <w:rPr>
                <w:sz w:val="22"/>
                <w:lang w:val="en-US"/>
              </w:rPr>
              <w:t xml:space="preserve"> 10UD</w:t>
            </w:r>
            <w:r>
              <w:rPr>
                <w:sz w:val="22"/>
                <w:lang w:val="en-US"/>
              </w:rPr>
              <w:t>03(13)D001 when powered by the common plant DG during defined SBO (LOOP + loss of EDGs), including the specification of</w:t>
            </w:r>
            <w:r w:rsidRPr="00F95F91">
              <w:rPr>
                <w:sz w:val="22"/>
                <w:lang w:val="en-US"/>
              </w:rPr>
              <w:t xml:space="preserve"> </w:t>
            </w:r>
            <w:r>
              <w:rPr>
                <w:sz w:val="22"/>
                <w:lang w:val="en-US"/>
              </w:rPr>
              <w:t xml:space="preserve">the </w:t>
            </w:r>
            <w:r w:rsidRPr="00F95F91">
              <w:rPr>
                <w:sz w:val="22"/>
                <w:lang w:val="en-US"/>
              </w:rPr>
              <w:t>difficulties to use such systems for FW supply to SGs</w:t>
            </w:r>
            <w:r>
              <w:rPr>
                <w:sz w:val="22"/>
                <w:lang w:val="en-US"/>
              </w:rPr>
              <w:t xml:space="preserve"> in this case</w:t>
            </w:r>
            <w:r w:rsidRPr="00F95F91">
              <w:rPr>
                <w:sz w:val="22"/>
                <w:lang w:val="en-US"/>
              </w:rPr>
              <w:t xml:space="preserve"> (</w:t>
            </w:r>
            <w:r>
              <w:rPr>
                <w:sz w:val="22"/>
                <w:lang w:val="en-US"/>
              </w:rPr>
              <w:t xml:space="preserve">e.g. the eventual </w:t>
            </w:r>
            <w:r w:rsidRPr="00F95F91">
              <w:rPr>
                <w:sz w:val="22"/>
                <w:lang w:val="en-US"/>
              </w:rPr>
              <w:t xml:space="preserve">necessity to manually open MOVs, </w:t>
            </w:r>
            <w:r>
              <w:rPr>
                <w:sz w:val="22"/>
                <w:lang w:val="en-US"/>
              </w:rPr>
              <w:t>possible difficulty to</w:t>
            </w:r>
            <w:r w:rsidRPr="00F95F91">
              <w:rPr>
                <w:sz w:val="22"/>
                <w:lang w:val="en-US"/>
              </w:rPr>
              <w:t xml:space="preserve"> control SG water level </w:t>
            </w:r>
            <w:r>
              <w:rPr>
                <w:sz w:val="22"/>
                <w:lang w:val="en-US"/>
              </w:rPr>
              <w:t xml:space="preserve">since </w:t>
            </w:r>
            <w:r w:rsidRPr="00F95F91">
              <w:rPr>
                <w:sz w:val="22"/>
                <w:lang w:val="en-US"/>
              </w:rPr>
              <w:t xml:space="preserve">control valves </w:t>
            </w:r>
            <w:r>
              <w:rPr>
                <w:sz w:val="22"/>
                <w:lang w:val="en-US"/>
              </w:rPr>
              <w:t xml:space="preserve">can be </w:t>
            </w:r>
            <w:r w:rsidRPr="00F95F91">
              <w:rPr>
                <w:sz w:val="22"/>
                <w:lang w:val="en-US"/>
              </w:rPr>
              <w:t>without power supply</w:t>
            </w:r>
            <w:r>
              <w:rPr>
                <w:sz w:val="22"/>
                <w:lang w:val="en-US"/>
              </w:rPr>
              <w:t>, etc.</w:t>
            </w:r>
            <w:r w:rsidRPr="00F95F91">
              <w:rPr>
                <w:sz w:val="22"/>
                <w:lang w:val="en-US"/>
              </w:rPr>
              <w:t>)</w:t>
            </w:r>
            <w:r>
              <w:rPr>
                <w:sz w:val="22"/>
                <w:lang w:val="en-US"/>
              </w:rPr>
              <w:t>.</w:t>
            </w:r>
          </w:p>
        </w:tc>
      </w:tr>
      <w:tr w:rsidR="00A07A00" w:rsidRPr="00DE38D5" w:rsidTr="002A7A35">
        <w:trPr>
          <w:cantSplit/>
          <w:jc w:val="center"/>
        </w:trPr>
        <w:tc>
          <w:tcPr>
            <w:tcW w:w="398" w:type="dxa"/>
          </w:tcPr>
          <w:p w:rsidR="00A07A00" w:rsidRPr="00EF3198" w:rsidRDefault="00A07A00" w:rsidP="00F976A3">
            <w:pPr>
              <w:pStyle w:val="ListParagraph"/>
              <w:numPr>
                <w:ilvl w:val="0"/>
                <w:numId w:val="1"/>
              </w:numPr>
              <w:ind w:left="357" w:hanging="357"/>
              <w:contextualSpacing w:val="0"/>
              <w:rPr>
                <w:sz w:val="22"/>
                <w:lang w:val="en-US"/>
              </w:rPr>
            </w:pPr>
          </w:p>
        </w:tc>
        <w:tc>
          <w:tcPr>
            <w:tcW w:w="1418" w:type="dxa"/>
            <w:shd w:val="clear" w:color="auto" w:fill="92D050"/>
          </w:tcPr>
          <w:p w:rsidR="00A07A00" w:rsidRDefault="00A07A00" w:rsidP="00C96DFB">
            <w:pPr>
              <w:rPr>
                <w:sz w:val="22"/>
                <w:lang w:val="en-US"/>
              </w:rPr>
            </w:pPr>
            <w:r>
              <w:rPr>
                <w:sz w:val="22"/>
                <w:lang w:val="en-US"/>
              </w:rPr>
              <w:t xml:space="preserve">Submitted on 24 </w:t>
            </w:r>
            <w:proofErr w:type="spellStart"/>
            <w:r>
              <w:rPr>
                <w:sz w:val="22"/>
                <w:lang w:val="en-US"/>
              </w:rPr>
              <w:t>th</w:t>
            </w:r>
            <w:proofErr w:type="spellEnd"/>
            <w:r>
              <w:rPr>
                <w:sz w:val="22"/>
                <w:lang w:val="en-US"/>
              </w:rPr>
              <w:t xml:space="preserve"> Apr</w:t>
            </w:r>
          </w:p>
        </w:tc>
        <w:tc>
          <w:tcPr>
            <w:tcW w:w="810" w:type="dxa"/>
          </w:tcPr>
          <w:p w:rsidR="00A07A00" w:rsidRPr="00DE38D5" w:rsidRDefault="00A07A00" w:rsidP="00F976A3">
            <w:pPr>
              <w:rPr>
                <w:sz w:val="22"/>
                <w:lang w:val="en-US"/>
              </w:rPr>
            </w:pPr>
            <w:r>
              <w:rPr>
                <w:sz w:val="22"/>
                <w:lang w:val="en-US"/>
              </w:rPr>
              <w:t>5.1.2.1</w:t>
            </w:r>
          </w:p>
        </w:tc>
        <w:tc>
          <w:tcPr>
            <w:tcW w:w="12875" w:type="dxa"/>
            <w:gridSpan w:val="3"/>
          </w:tcPr>
          <w:p w:rsidR="00A07A00" w:rsidRPr="00CA34EB" w:rsidRDefault="00A07A00" w:rsidP="00F976A3">
            <w:pPr>
              <w:rPr>
                <w:sz w:val="22"/>
                <w:lang w:val="en-US"/>
              </w:rPr>
            </w:pPr>
            <w:r>
              <w:rPr>
                <w:sz w:val="22"/>
                <w:lang w:val="en-US"/>
              </w:rPr>
              <w:t xml:space="preserve">Please </w:t>
            </w:r>
            <w:r w:rsidRPr="00CA34EB">
              <w:rPr>
                <w:sz w:val="22"/>
                <w:lang w:val="en-US"/>
              </w:rPr>
              <w:t>add important characteristics of mobile DGs</w:t>
            </w:r>
            <w:r>
              <w:rPr>
                <w:sz w:val="22"/>
                <w:lang w:val="en-US"/>
              </w:rPr>
              <w:t>, especially power output, air cooling, design capability to start loads, possibility to shelter, etc. Useful information can be found in item 32 of document “Information based on the Gap Analysis” and in design documentation for mobile DGs.</w:t>
            </w:r>
          </w:p>
        </w:tc>
      </w:tr>
      <w:tr w:rsidR="00A07A00" w:rsidRPr="00DE38D5" w:rsidTr="008A0D2B">
        <w:trPr>
          <w:cantSplit/>
          <w:jc w:val="center"/>
        </w:trPr>
        <w:tc>
          <w:tcPr>
            <w:tcW w:w="398" w:type="dxa"/>
          </w:tcPr>
          <w:p w:rsidR="00A07A00" w:rsidRPr="00EF3198" w:rsidRDefault="00A07A00" w:rsidP="00114B2B">
            <w:pPr>
              <w:pStyle w:val="ListParagraph"/>
              <w:numPr>
                <w:ilvl w:val="0"/>
                <w:numId w:val="1"/>
              </w:numPr>
              <w:ind w:left="357" w:hanging="357"/>
              <w:contextualSpacing w:val="0"/>
              <w:rPr>
                <w:sz w:val="22"/>
                <w:lang w:val="en-US"/>
              </w:rPr>
            </w:pPr>
          </w:p>
        </w:tc>
        <w:tc>
          <w:tcPr>
            <w:tcW w:w="1418" w:type="dxa"/>
            <w:shd w:val="clear" w:color="auto" w:fill="92D050"/>
          </w:tcPr>
          <w:p w:rsidR="00A07A00" w:rsidRDefault="00A07A00" w:rsidP="005A1889">
            <w:pPr>
              <w:rPr>
                <w:sz w:val="22"/>
                <w:lang w:val="en-US"/>
              </w:rPr>
            </w:pPr>
            <w:r>
              <w:rPr>
                <w:sz w:val="22"/>
                <w:lang w:val="en-US"/>
              </w:rPr>
              <w:t xml:space="preserve">Submitted on 24 </w:t>
            </w:r>
            <w:proofErr w:type="spellStart"/>
            <w:r>
              <w:rPr>
                <w:sz w:val="22"/>
                <w:lang w:val="en-US"/>
              </w:rPr>
              <w:t>th</w:t>
            </w:r>
            <w:proofErr w:type="spellEnd"/>
            <w:r>
              <w:rPr>
                <w:sz w:val="22"/>
                <w:lang w:val="en-US"/>
              </w:rPr>
              <w:t xml:space="preserve"> Apr</w:t>
            </w:r>
          </w:p>
        </w:tc>
        <w:tc>
          <w:tcPr>
            <w:tcW w:w="810" w:type="dxa"/>
          </w:tcPr>
          <w:p w:rsidR="00A07A00" w:rsidRDefault="00A07A00" w:rsidP="005A1889">
            <w:pPr>
              <w:rPr>
                <w:sz w:val="22"/>
                <w:lang w:val="en-US"/>
              </w:rPr>
            </w:pPr>
            <w:r>
              <w:rPr>
                <w:sz w:val="22"/>
                <w:lang w:val="en-US"/>
              </w:rPr>
              <w:t>5.1.2.1</w:t>
            </w:r>
          </w:p>
        </w:tc>
        <w:tc>
          <w:tcPr>
            <w:tcW w:w="12875" w:type="dxa"/>
            <w:gridSpan w:val="3"/>
          </w:tcPr>
          <w:p w:rsidR="00A07A00" w:rsidRDefault="00A07A00" w:rsidP="00114B2B">
            <w:pPr>
              <w:rPr>
                <w:sz w:val="22"/>
                <w:lang w:val="en-US"/>
              </w:rPr>
            </w:pPr>
            <w:r>
              <w:rPr>
                <w:sz w:val="22"/>
                <w:lang w:val="en-US"/>
              </w:rPr>
              <w:t xml:space="preserve">Please add basic </w:t>
            </w:r>
            <w:r w:rsidRPr="009D29CF">
              <w:rPr>
                <w:sz w:val="22"/>
                <w:lang w:val="en-US"/>
              </w:rPr>
              <w:t>in</w:t>
            </w:r>
            <w:r>
              <w:rPr>
                <w:sz w:val="22"/>
                <w:lang w:val="en-US"/>
              </w:rPr>
              <w:t>formation about DGs located in</w:t>
            </w:r>
            <w:r w:rsidRPr="009D29CF">
              <w:rPr>
                <w:sz w:val="22"/>
                <w:lang w:val="en-US"/>
              </w:rPr>
              <w:t xml:space="preserve"> ZK.9 building</w:t>
            </w:r>
            <w:r>
              <w:rPr>
                <w:sz w:val="22"/>
                <w:lang w:val="en-US"/>
              </w:rPr>
              <w:t xml:space="preserve"> (their number, power output, whether they are mobile DGs or permanently installed DGs, etc.)</w:t>
            </w:r>
          </w:p>
        </w:tc>
      </w:tr>
      <w:tr w:rsidR="00A07A00" w:rsidRPr="00DE38D5" w:rsidTr="008A0D2B">
        <w:trPr>
          <w:cantSplit/>
          <w:jc w:val="center"/>
        </w:trPr>
        <w:tc>
          <w:tcPr>
            <w:tcW w:w="398" w:type="dxa"/>
          </w:tcPr>
          <w:p w:rsidR="00A07A00" w:rsidRPr="00EF3198" w:rsidRDefault="00A07A00" w:rsidP="00114B2B">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5A1889">
            <w:pPr>
              <w:rPr>
                <w:sz w:val="22"/>
                <w:lang w:val="en-US"/>
              </w:rPr>
            </w:pPr>
            <w:r>
              <w:rPr>
                <w:sz w:val="22"/>
                <w:lang w:val="en-US"/>
              </w:rPr>
              <w:t>In progress</w:t>
            </w:r>
          </w:p>
        </w:tc>
        <w:tc>
          <w:tcPr>
            <w:tcW w:w="810" w:type="dxa"/>
          </w:tcPr>
          <w:p w:rsidR="00A07A00" w:rsidRDefault="00A07A00" w:rsidP="005A1889">
            <w:pPr>
              <w:rPr>
                <w:sz w:val="22"/>
                <w:lang w:val="en-US"/>
              </w:rPr>
            </w:pPr>
            <w:r>
              <w:rPr>
                <w:sz w:val="22"/>
                <w:lang w:val="en-US"/>
              </w:rPr>
              <w:t>5.1.2.3 5.1.3.2</w:t>
            </w:r>
          </w:p>
        </w:tc>
        <w:tc>
          <w:tcPr>
            <w:tcW w:w="12875" w:type="dxa"/>
            <w:gridSpan w:val="3"/>
          </w:tcPr>
          <w:p w:rsidR="00A07A00" w:rsidRDefault="00A07A00" w:rsidP="00114B2B">
            <w:pPr>
              <w:rPr>
                <w:sz w:val="22"/>
                <w:lang w:val="en-US"/>
              </w:rPr>
            </w:pPr>
            <w:r>
              <w:rPr>
                <w:sz w:val="22"/>
                <w:lang w:val="en-US"/>
              </w:rPr>
              <w:t>Please check the text about available off-site AC power sources which has been added by UJV based on information in item 36 of document “Information based on the Gap Analysis”. Please add a brief information whether this gas plant can be used to provide power supply for BNPP house load (self-consumption) via external grid if LOOP occurs outside local grid.</w:t>
            </w:r>
          </w:p>
          <w:p w:rsidR="00A07A00" w:rsidRDefault="00A07A00" w:rsidP="00114B2B">
            <w:pPr>
              <w:rPr>
                <w:sz w:val="22"/>
                <w:lang w:val="en-US"/>
              </w:rPr>
            </w:pPr>
            <w:r>
              <w:rPr>
                <w:sz w:val="22"/>
                <w:lang w:val="en-US"/>
              </w:rPr>
              <w:t>Note: Mobile DGs located at site are not exceptional AC power supply from transportable or dedicated off-site sources, see the content of Sections 5.1.2.3 and 5.1.3.2 of SAST Report, which is described in Appendix E of Methodology Report.</w:t>
            </w:r>
          </w:p>
        </w:tc>
      </w:tr>
      <w:tr w:rsidR="00A07A00" w:rsidRPr="00DE38D5" w:rsidTr="00797C36">
        <w:trPr>
          <w:cantSplit/>
          <w:jc w:val="center"/>
        </w:trPr>
        <w:tc>
          <w:tcPr>
            <w:tcW w:w="398" w:type="dxa"/>
          </w:tcPr>
          <w:p w:rsidR="00A07A00" w:rsidRPr="00EF3198" w:rsidRDefault="00A07A00" w:rsidP="00114B2B">
            <w:pPr>
              <w:pStyle w:val="ListParagraph"/>
              <w:numPr>
                <w:ilvl w:val="0"/>
                <w:numId w:val="1"/>
              </w:numPr>
              <w:ind w:left="357" w:hanging="357"/>
              <w:contextualSpacing w:val="0"/>
              <w:rPr>
                <w:sz w:val="22"/>
                <w:lang w:val="en-US"/>
              </w:rPr>
            </w:pPr>
          </w:p>
        </w:tc>
        <w:tc>
          <w:tcPr>
            <w:tcW w:w="1418" w:type="dxa"/>
            <w:shd w:val="clear" w:color="auto" w:fill="92D050"/>
          </w:tcPr>
          <w:p w:rsidR="00A07A00" w:rsidRDefault="00797C36" w:rsidP="00114B2B">
            <w:pPr>
              <w:rPr>
                <w:sz w:val="22"/>
                <w:lang w:val="en-US"/>
              </w:rPr>
            </w:pPr>
            <w:r>
              <w:rPr>
                <w:sz w:val="22"/>
                <w:lang w:val="en-US"/>
              </w:rPr>
              <w:t>Accepted</w:t>
            </w:r>
          </w:p>
        </w:tc>
        <w:tc>
          <w:tcPr>
            <w:tcW w:w="810" w:type="dxa"/>
          </w:tcPr>
          <w:p w:rsidR="00A07A00" w:rsidRDefault="00A07A00" w:rsidP="00114B2B">
            <w:pPr>
              <w:rPr>
                <w:sz w:val="22"/>
                <w:lang w:val="en-US"/>
              </w:rPr>
            </w:pPr>
            <w:r>
              <w:rPr>
                <w:sz w:val="22"/>
                <w:lang w:val="en-US"/>
              </w:rPr>
              <w:t>5.1.2.4</w:t>
            </w:r>
          </w:p>
        </w:tc>
        <w:tc>
          <w:tcPr>
            <w:tcW w:w="12875" w:type="dxa"/>
            <w:gridSpan w:val="3"/>
          </w:tcPr>
          <w:p w:rsidR="00A07A00" w:rsidRPr="00CA34EB" w:rsidRDefault="00A07A00" w:rsidP="00114B2B">
            <w:pPr>
              <w:rPr>
                <w:sz w:val="22"/>
                <w:lang w:val="en-US"/>
              </w:rPr>
            </w:pPr>
            <w:r>
              <w:rPr>
                <w:sz w:val="22"/>
                <w:lang w:val="en-US"/>
              </w:rPr>
              <w:t>Please check the text related to delays before the respective loads are powered from 10GY50 which has been added by UJV based on item 31 of document “Information based on the Gap Analysis” and on Section 8.3.1.2.4.1 of FSAR.</w:t>
            </w:r>
          </w:p>
        </w:tc>
      </w:tr>
      <w:tr w:rsidR="00A07A00" w:rsidRPr="00DE38D5" w:rsidTr="00797C36">
        <w:trPr>
          <w:cantSplit/>
          <w:jc w:val="center"/>
        </w:trPr>
        <w:tc>
          <w:tcPr>
            <w:tcW w:w="398" w:type="dxa"/>
          </w:tcPr>
          <w:p w:rsidR="00A07A00" w:rsidRPr="00EF3198" w:rsidRDefault="00A07A00" w:rsidP="00366D77">
            <w:pPr>
              <w:pStyle w:val="ListParagraph"/>
              <w:numPr>
                <w:ilvl w:val="0"/>
                <w:numId w:val="1"/>
              </w:numPr>
              <w:ind w:left="357" w:hanging="357"/>
              <w:contextualSpacing w:val="0"/>
              <w:rPr>
                <w:sz w:val="22"/>
                <w:lang w:val="en-US"/>
              </w:rPr>
            </w:pPr>
          </w:p>
        </w:tc>
        <w:tc>
          <w:tcPr>
            <w:tcW w:w="1418" w:type="dxa"/>
            <w:shd w:val="clear" w:color="auto" w:fill="92D050"/>
          </w:tcPr>
          <w:p w:rsidR="00A07A00" w:rsidRDefault="00797C36" w:rsidP="00675C91">
            <w:pPr>
              <w:rPr>
                <w:sz w:val="22"/>
                <w:lang w:val="en-US"/>
              </w:rPr>
            </w:pPr>
            <w:r>
              <w:rPr>
                <w:sz w:val="22"/>
                <w:lang w:val="en-US"/>
              </w:rPr>
              <w:t>Accepted</w:t>
            </w:r>
          </w:p>
        </w:tc>
        <w:tc>
          <w:tcPr>
            <w:tcW w:w="810" w:type="dxa"/>
          </w:tcPr>
          <w:p w:rsidR="00A07A00" w:rsidRDefault="00A07A00" w:rsidP="00366D77">
            <w:pPr>
              <w:rPr>
                <w:sz w:val="22"/>
                <w:lang w:val="en-US"/>
              </w:rPr>
            </w:pPr>
            <w:r>
              <w:rPr>
                <w:sz w:val="22"/>
                <w:lang w:val="en-US"/>
              </w:rPr>
              <w:t>5.1.2.4</w:t>
            </w:r>
          </w:p>
        </w:tc>
        <w:tc>
          <w:tcPr>
            <w:tcW w:w="12875" w:type="dxa"/>
            <w:gridSpan w:val="3"/>
          </w:tcPr>
          <w:p w:rsidR="00A07A00" w:rsidRPr="00CA34EB" w:rsidRDefault="00A07A00" w:rsidP="00366D77">
            <w:pPr>
              <w:rPr>
                <w:sz w:val="22"/>
                <w:lang w:val="en-US"/>
              </w:rPr>
            </w:pPr>
            <w:r>
              <w:rPr>
                <w:sz w:val="22"/>
                <w:lang w:val="en-US"/>
              </w:rPr>
              <w:t>Please check the text related to delays before the respective loads are powered from mobile DGs which has been added by UJV based on item 32 of document “Information based on the Gap Analysis”.</w:t>
            </w:r>
          </w:p>
        </w:tc>
      </w:tr>
      <w:tr w:rsidR="00A07A00" w:rsidRPr="00DE38D5" w:rsidTr="00332012">
        <w:trPr>
          <w:cantSplit/>
          <w:jc w:val="center"/>
        </w:trPr>
        <w:tc>
          <w:tcPr>
            <w:tcW w:w="398" w:type="dxa"/>
          </w:tcPr>
          <w:p w:rsidR="00A07A00" w:rsidRPr="00EF3198" w:rsidRDefault="00A07A00" w:rsidP="00FC25D1">
            <w:pPr>
              <w:pStyle w:val="ListParagraph"/>
              <w:numPr>
                <w:ilvl w:val="0"/>
                <w:numId w:val="1"/>
              </w:numPr>
              <w:ind w:left="357" w:hanging="357"/>
              <w:contextualSpacing w:val="0"/>
              <w:rPr>
                <w:sz w:val="22"/>
                <w:lang w:val="en-US"/>
              </w:rPr>
            </w:pPr>
          </w:p>
        </w:tc>
        <w:tc>
          <w:tcPr>
            <w:tcW w:w="1418" w:type="dxa"/>
            <w:shd w:val="clear" w:color="auto" w:fill="92D050"/>
          </w:tcPr>
          <w:p w:rsidR="00A07A00" w:rsidRPr="00E62D33" w:rsidRDefault="00A07A00" w:rsidP="00FC25D1">
            <w:pPr>
              <w:rPr>
                <w:sz w:val="22"/>
                <w:lang w:val="en-US"/>
              </w:rPr>
            </w:pPr>
            <w:r>
              <w:rPr>
                <w:sz w:val="22"/>
                <w:lang w:val="en-US"/>
              </w:rPr>
              <w:t>Accepted</w:t>
            </w:r>
          </w:p>
        </w:tc>
        <w:tc>
          <w:tcPr>
            <w:tcW w:w="810" w:type="dxa"/>
          </w:tcPr>
          <w:p w:rsidR="00A07A00" w:rsidRPr="00E62D33" w:rsidRDefault="00A07A00" w:rsidP="00FC25D1">
            <w:pPr>
              <w:rPr>
                <w:sz w:val="22"/>
                <w:lang w:val="en-US"/>
              </w:rPr>
            </w:pPr>
            <w:r w:rsidRPr="00E62D33">
              <w:rPr>
                <w:sz w:val="22"/>
                <w:lang w:val="en-US"/>
              </w:rPr>
              <w:t>5.2.2.1</w:t>
            </w:r>
          </w:p>
        </w:tc>
        <w:tc>
          <w:tcPr>
            <w:tcW w:w="12875" w:type="dxa"/>
            <w:gridSpan w:val="3"/>
          </w:tcPr>
          <w:p w:rsidR="00A07A00" w:rsidRPr="00E62D33" w:rsidRDefault="00A07A00" w:rsidP="00FC25D1">
            <w:pPr>
              <w:rPr>
                <w:sz w:val="22"/>
                <w:lang w:val="en-US"/>
              </w:rPr>
            </w:pPr>
            <w:r w:rsidRPr="00E62D33">
              <w:rPr>
                <w:sz w:val="22"/>
                <w:lang w:val="en-US"/>
              </w:rPr>
              <w:t xml:space="preserve">Please </w:t>
            </w:r>
            <w:r>
              <w:rPr>
                <w:sz w:val="22"/>
                <w:lang w:val="en-US"/>
              </w:rPr>
              <w:t>check the volume of water in ECCS and KWU HAs which can be injected as a maximum into depressurized or open reactor (Mode 5 or 6), which has been added by UJV based on Chapter 6.3.1.3.2 of FSAR (1st stage HA) and Chapter 6.3.1.1.4.2.2 of FSAR (2nd stage HA).</w:t>
            </w:r>
          </w:p>
        </w:tc>
      </w:tr>
      <w:tr w:rsidR="00A07A00" w:rsidRPr="00DE38D5" w:rsidTr="00865A87">
        <w:trPr>
          <w:cantSplit/>
          <w:jc w:val="center"/>
        </w:trPr>
        <w:tc>
          <w:tcPr>
            <w:tcW w:w="398" w:type="dxa"/>
          </w:tcPr>
          <w:p w:rsidR="00A07A00" w:rsidRPr="00EF3198" w:rsidRDefault="00A07A00" w:rsidP="00242D4D">
            <w:pPr>
              <w:pStyle w:val="ListParagraph"/>
              <w:numPr>
                <w:ilvl w:val="0"/>
                <w:numId w:val="1"/>
              </w:numPr>
              <w:ind w:left="357" w:hanging="357"/>
              <w:contextualSpacing w:val="0"/>
              <w:rPr>
                <w:sz w:val="22"/>
                <w:lang w:val="en-US"/>
              </w:rPr>
            </w:pPr>
          </w:p>
        </w:tc>
        <w:tc>
          <w:tcPr>
            <w:tcW w:w="1418" w:type="dxa"/>
            <w:shd w:val="clear" w:color="auto" w:fill="92D050"/>
          </w:tcPr>
          <w:p w:rsidR="00A07A00" w:rsidRDefault="00A07A00" w:rsidP="00242D4D">
            <w:pPr>
              <w:rPr>
                <w:sz w:val="22"/>
                <w:lang w:val="en-US"/>
              </w:rPr>
            </w:pPr>
            <w:r>
              <w:rPr>
                <w:sz w:val="22"/>
                <w:lang w:val="en-US"/>
              </w:rPr>
              <w:t>Accepted</w:t>
            </w:r>
          </w:p>
        </w:tc>
        <w:tc>
          <w:tcPr>
            <w:tcW w:w="810" w:type="dxa"/>
          </w:tcPr>
          <w:p w:rsidR="00A07A00" w:rsidRDefault="00A07A00" w:rsidP="00242D4D">
            <w:pPr>
              <w:rPr>
                <w:sz w:val="22"/>
                <w:lang w:val="en-US"/>
              </w:rPr>
            </w:pPr>
            <w:r>
              <w:rPr>
                <w:sz w:val="22"/>
                <w:lang w:val="en-US"/>
              </w:rPr>
              <w:t>5.1.3</w:t>
            </w:r>
          </w:p>
        </w:tc>
        <w:tc>
          <w:tcPr>
            <w:tcW w:w="12875" w:type="dxa"/>
            <w:gridSpan w:val="3"/>
          </w:tcPr>
          <w:p w:rsidR="00A07A00" w:rsidRPr="00CA34EB" w:rsidRDefault="00A07A00" w:rsidP="00242D4D">
            <w:pPr>
              <w:rPr>
                <w:sz w:val="22"/>
                <w:lang w:val="en-US"/>
              </w:rPr>
            </w:pPr>
            <w:r>
              <w:rPr>
                <w:sz w:val="22"/>
                <w:lang w:val="en-US"/>
              </w:rPr>
              <w:t>Please check the text related to the possibility to use mobile diesel pump which has been added by UJV based on item 33 of document “Information based on the Gap Analysis”.</w:t>
            </w:r>
          </w:p>
        </w:tc>
      </w:tr>
      <w:tr w:rsidR="00A07A00" w:rsidRPr="00DE38D5" w:rsidTr="00865A87">
        <w:trPr>
          <w:cantSplit/>
          <w:jc w:val="center"/>
        </w:trPr>
        <w:tc>
          <w:tcPr>
            <w:tcW w:w="398" w:type="dxa"/>
          </w:tcPr>
          <w:p w:rsidR="00A07A00" w:rsidRPr="00EF3198" w:rsidRDefault="00A07A00" w:rsidP="00242D4D">
            <w:pPr>
              <w:pStyle w:val="ListParagraph"/>
              <w:numPr>
                <w:ilvl w:val="0"/>
                <w:numId w:val="1"/>
              </w:numPr>
              <w:ind w:left="357" w:hanging="357"/>
              <w:contextualSpacing w:val="0"/>
              <w:rPr>
                <w:sz w:val="22"/>
                <w:lang w:val="en-US"/>
              </w:rPr>
            </w:pPr>
          </w:p>
        </w:tc>
        <w:tc>
          <w:tcPr>
            <w:tcW w:w="1418" w:type="dxa"/>
            <w:shd w:val="clear" w:color="auto" w:fill="92D050"/>
          </w:tcPr>
          <w:p w:rsidR="00A07A00" w:rsidRDefault="00A07A00" w:rsidP="00675C91">
            <w:pPr>
              <w:rPr>
                <w:sz w:val="22"/>
                <w:lang w:val="en-US"/>
              </w:rPr>
            </w:pPr>
            <w:r>
              <w:rPr>
                <w:sz w:val="22"/>
                <w:lang w:val="en-US"/>
              </w:rPr>
              <w:t>Requirements and data sheet of mobile diesel pump is attached (</w:t>
            </w:r>
            <w:proofErr w:type="gramStart"/>
            <w:r>
              <w:rPr>
                <w:sz w:val="22"/>
                <w:lang w:val="en-US"/>
              </w:rPr>
              <w:t>File :</w:t>
            </w:r>
            <w:proofErr w:type="gramEnd"/>
            <w:r>
              <w:rPr>
                <w:sz w:val="22"/>
                <w:lang w:val="en-US"/>
              </w:rPr>
              <w:t xml:space="preserve"> 17.1, 17.2).</w:t>
            </w:r>
          </w:p>
        </w:tc>
        <w:tc>
          <w:tcPr>
            <w:tcW w:w="810" w:type="dxa"/>
          </w:tcPr>
          <w:p w:rsidR="00A07A00" w:rsidRDefault="00A07A00" w:rsidP="00242D4D">
            <w:pPr>
              <w:rPr>
                <w:sz w:val="22"/>
                <w:lang w:val="en-US"/>
              </w:rPr>
            </w:pPr>
            <w:r>
              <w:rPr>
                <w:sz w:val="22"/>
                <w:lang w:val="en-US"/>
              </w:rPr>
              <w:t>5.1.3</w:t>
            </w:r>
          </w:p>
        </w:tc>
        <w:tc>
          <w:tcPr>
            <w:tcW w:w="12875" w:type="dxa"/>
            <w:gridSpan w:val="3"/>
          </w:tcPr>
          <w:p w:rsidR="00A07A00" w:rsidRDefault="00A07A00" w:rsidP="009C2803">
            <w:pPr>
              <w:rPr>
                <w:sz w:val="22"/>
                <w:lang w:val="en-US"/>
              </w:rPr>
            </w:pPr>
            <w:r>
              <w:rPr>
                <w:sz w:val="22"/>
                <w:lang w:val="en-US"/>
              </w:rPr>
              <w:t xml:space="preserve">Please add </w:t>
            </w:r>
            <w:r w:rsidRPr="00CA34EB">
              <w:rPr>
                <w:sz w:val="22"/>
                <w:lang w:val="en-US"/>
              </w:rPr>
              <w:t>important characteristics</w:t>
            </w:r>
            <w:r>
              <w:rPr>
                <w:sz w:val="22"/>
                <w:lang w:val="en-US"/>
              </w:rPr>
              <w:t xml:space="preserve"> of mobile diesel pump, especially discharge flow and pressure, air cooling, capacity of fuel tank, qualification for high temperature, etc. Moreover, please add a short specification of water sources which mobile pump can use. Useful information can be found in design documentation for mobile diesel pump.</w:t>
            </w:r>
          </w:p>
        </w:tc>
      </w:tr>
      <w:tr w:rsidR="00A07A00" w:rsidRPr="00DE38D5" w:rsidTr="00CF2DB0">
        <w:trPr>
          <w:cantSplit/>
          <w:jc w:val="center"/>
        </w:trPr>
        <w:tc>
          <w:tcPr>
            <w:tcW w:w="398" w:type="dxa"/>
          </w:tcPr>
          <w:p w:rsidR="00A07A00" w:rsidRPr="00EF3198" w:rsidRDefault="00A07A00" w:rsidP="004D571E">
            <w:pPr>
              <w:pStyle w:val="ListParagraph"/>
              <w:numPr>
                <w:ilvl w:val="0"/>
                <w:numId w:val="1"/>
              </w:numPr>
              <w:ind w:left="357" w:hanging="357"/>
              <w:contextualSpacing w:val="0"/>
              <w:rPr>
                <w:sz w:val="22"/>
                <w:lang w:val="en-US"/>
              </w:rPr>
            </w:pPr>
          </w:p>
        </w:tc>
        <w:tc>
          <w:tcPr>
            <w:tcW w:w="1418" w:type="dxa"/>
            <w:shd w:val="clear" w:color="auto" w:fill="92D050"/>
          </w:tcPr>
          <w:p w:rsidR="00A07A00" w:rsidRDefault="00A07A00" w:rsidP="004D571E">
            <w:pPr>
              <w:rPr>
                <w:sz w:val="22"/>
                <w:lang w:val="en-US"/>
              </w:rPr>
            </w:pPr>
            <w:r>
              <w:rPr>
                <w:sz w:val="22"/>
                <w:lang w:val="en-US"/>
              </w:rPr>
              <w:t>Checked and commented</w:t>
            </w:r>
          </w:p>
        </w:tc>
        <w:tc>
          <w:tcPr>
            <w:tcW w:w="810" w:type="dxa"/>
          </w:tcPr>
          <w:p w:rsidR="00A07A00" w:rsidRDefault="00A07A00" w:rsidP="004D571E">
            <w:pPr>
              <w:rPr>
                <w:sz w:val="22"/>
                <w:lang w:val="en-US"/>
              </w:rPr>
            </w:pPr>
            <w:r>
              <w:rPr>
                <w:sz w:val="22"/>
                <w:lang w:val="en-US"/>
              </w:rPr>
              <w:t>5.1.3</w:t>
            </w:r>
          </w:p>
        </w:tc>
        <w:tc>
          <w:tcPr>
            <w:tcW w:w="11374" w:type="dxa"/>
            <w:gridSpan w:val="2"/>
          </w:tcPr>
          <w:p w:rsidR="00A07A00" w:rsidRDefault="00A07A00" w:rsidP="004D571E">
            <w:pPr>
              <w:rPr>
                <w:sz w:val="22"/>
                <w:lang w:val="en-US"/>
              </w:rPr>
            </w:pPr>
            <w:r>
              <w:rPr>
                <w:sz w:val="22"/>
                <w:lang w:val="en-US"/>
              </w:rPr>
              <w:t>Please check the sufficient flow to open reactor and SFP to compensate evaporation after loss of normal cooling that has been added by UJV based on Chapter 15.3.7.6 of FSAR and on Section 3.9.1 of vendor’s SAST report, see also enclosed file.</w:t>
            </w:r>
          </w:p>
        </w:tc>
        <w:bookmarkStart w:id="2" w:name="_MON_1612945244"/>
        <w:bookmarkEnd w:id="2"/>
        <w:tc>
          <w:tcPr>
            <w:tcW w:w="1501" w:type="dxa"/>
          </w:tcPr>
          <w:p w:rsidR="00A07A00" w:rsidRPr="00662EE8" w:rsidRDefault="00A07A00" w:rsidP="004D571E">
            <w:pPr>
              <w:rPr>
                <w:sz w:val="2"/>
                <w:szCs w:val="2"/>
                <w:lang w:val="en-US"/>
              </w:rPr>
            </w:pPr>
            <w:r w:rsidRPr="00662EE8">
              <w:rPr>
                <w:sz w:val="2"/>
                <w:szCs w:val="2"/>
                <w:lang w:val="en-US"/>
              </w:rPr>
              <w:object w:dxaOrig="2520" w:dyaOrig="1640">
                <v:shape id="_x0000_i1026" type="#_x0000_t75" style="width:126.15pt;height:81.8pt" o:ole="">
                  <v:imagedata r:id="rId8" o:title=""/>
                </v:shape>
                <o:OLEObject Type="Embed" ProgID="Word.Document.12" ShapeID="_x0000_i1026" DrawAspect="Icon" ObjectID="_1617975541" r:id="rId9">
                  <o:FieldCodes>\s</o:FieldCodes>
                </o:OLEObject>
              </w:object>
            </w:r>
          </w:p>
        </w:tc>
      </w:tr>
      <w:tr w:rsidR="00A07A00" w:rsidRPr="00DE38D5" w:rsidTr="00CF2DB0">
        <w:trPr>
          <w:cantSplit/>
          <w:jc w:val="center"/>
        </w:trPr>
        <w:tc>
          <w:tcPr>
            <w:tcW w:w="398" w:type="dxa"/>
          </w:tcPr>
          <w:p w:rsidR="00A07A00" w:rsidRPr="00EF3198" w:rsidRDefault="00A07A00" w:rsidP="004D571E">
            <w:pPr>
              <w:pStyle w:val="ListParagraph"/>
              <w:numPr>
                <w:ilvl w:val="0"/>
                <w:numId w:val="1"/>
              </w:numPr>
              <w:ind w:left="357" w:hanging="357"/>
              <w:contextualSpacing w:val="0"/>
              <w:rPr>
                <w:sz w:val="22"/>
                <w:lang w:val="en-US"/>
              </w:rPr>
            </w:pPr>
          </w:p>
        </w:tc>
        <w:tc>
          <w:tcPr>
            <w:tcW w:w="1418" w:type="dxa"/>
            <w:shd w:val="clear" w:color="auto" w:fill="92D050"/>
          </w:tcPr>
          <w:p w:rsidR="00A07A00" w:rsidRDefault="00A07A00" w:rsidP="004D571E">
            <w:pPr>
              <w:rPr>
                <w:sz w:val="22"/>
                <w:lang w:val="en-US"/>
              </w:rPr>
            </w:pPr>
            <w:r>
              <w:rPr>
                <w:sz w:val="22"/>
                <w:lang w:val="en-US"/>
              </w:rPr>
              <w:t xml:space="preserve">Submitted on 24 </w:t>
            </w:r>
            <w:proofErr w:type="spellStart"/>
            <w:r>
              <w:rPr>
                <w:sz w:val="22"/>
                <w:lang w:val="en-US"/>
              </w:rPr>
              <w:t>th</w:t>
            </w:r>
            <w:proofErr w:type="spellEnd"/>
            <w:r>
              <w:rPr>
                <w:sz w:val="22"/>
                <w:lang w:val="en-US"/>
              </w:rPr>
              <w:t xml:space="preserve"> Apr</w:t>
            </w:r>
          </w:p>
        </w:tc>
        <w:tc>
          <w:tcPr>
            <w:tcW w:w="810" w:type="dxa"/>
          </w:tcPr>
          <w:p w:rsidR="00A07A00" w:rsidRPr="00DE38D5" w:rsidRDefault="00A07A00" w:rsidP="004D571E">
            <w:pPr>
              <w:rPr>
                <w:sz w:val="22"/>
                <w:lang w:val="en-US"/>
              </w:rPr>
            </w:pPr>
            <w:r>
              <w:rPr>
                <w:sz w:val="22"/>
                <w:lang w:val="en-US"/>
              </w:rPr>
              <w:t>5.1.3.1</w:t>
            </w:r>
          </w:p>
        </w:tc>
        <w:tc>
          <w:tcPr>
            <w:tcW w:w="11374" w:type="dxa"/>
            <w:gridSpan w:val="2"/>
          </w:tcPr>
          <w:p w:rsidR="00A07A00" w:rsidRPr="00CA34EB" w:rsidRDefault="00A07A00" w:rsidP="004D571E">
            <w:pPr>
              <w:rPr>
                <w:sz w:val="22"/>
                <w:lang w:val="en-US"/>
              </w:rPr>
            </w:pPr>
            <w:r>
              <w:rPr>
                <w:sz w:val="22"/>
                <w:lang w:val="en-US"/>
              </w:rPr>
              <w:t>Please add the</w:t>
            </w:r>
            <w:r w:rsidRPr="00CA34EB">
              <w:rPr>
                <w:sz w:val="22"/>
                <w:lang w:val="en-US"/>
              </w:rPr>
              <w:t xml:space="preserve"> discuss</w:t>
            </w:r>
            <w:r>
              <w:rPr>
                <w:sz w:val="22"/>
                <w:lang w:val="en-US"/>
              </w:rPr>
              <w:t>ion on</w:t>
            </w:r>
            <w:r w:rsidRPr="00CA34EB">
              <w:rPr>
                <w:sz w:val="22"/>
                <w:lang w:val="en-US"/>
              </w:rPr>
              <w:t xml:space="preserve"> how to prolong the time to battery depletion in case of SBO. It includes the specification of battery consumers which can be disconnected from batteries following SBO</w:t>
            </w:r>
            <w:r>
              <w:rPr>
                <w:sz w:val="22"/>
                <w:lang w:val="en-US"/>
              </w:rPr>
              <w:t xml:space="preserve"> either</w:t>
            </w:r>
            <w:r w:rsidRPr="00CA34EB">
              <w:rPr>
                <w:sz w:val="22"/>
                <w:lang w:val="en-US"/>
              </w:rPr>
              <w:t xml:space="preserve"> at power operation </w:t>
            </w:r>
            <w:r>
              <w:rPr>
                <w:sz w:val="22"/>
                <w:lang w:val="en-US"/>
              </w:rPr>
              <w:t>or</w:t>
            </w:r>
            <w:r w:rsidRPr="00CA34EB">
              <w:rPr>
                <w:sz w:val="22"/>
                <w:lang w:val="en-US"/>
              </w:rPr>
              <w:t xml:space="preserve"> in cold shutdown state (Mode 6)</w:t>
            </w:r>
            <w:r>
              <w:rPr>
                <w:sz w:val="22"/>
                <w:lang w:val="en-US"/>
              </w:rPr>
              <w:t>, see enclosed file,</w:t>
            </w:r>
            <w:r w:rsidRPr="00CA34EB">
              <w:rPr>
                <w:sz w:val="22"/>
                <w:lang w:val="en-US"/>
              </w:rPr>
              <w:t xml:space="preserve"> assuming that the other consumers will be still sufficient to monitor plant status and to control the remaining means for </w:t>
            </w:r>
            <w:r>
              <w:rPr>
                <w:sz w:val="22"/>
                <w:lang w:val="en-US"/>
              </w:rPr>
              <w:t xml:space="preserve">long-term </w:t>
            </w:r>
            <w:r w:rsidRPr="00CA34EB">
              <w:rPr>
                <w:sz w:val="22"/>
                <w:lang w:val="en-US"/>
              </w:rPr>
              <w:t xml:space="preserve">decay heat </w:t>
            </w:r>
            <w:r>
              <w:rPr>
                <w:sz w:val="22"/>
                <w:lang w:val="en-US"/>
              </w:rPr>
              <w:t xml:space="preserve">removal </w:t>
            </w:r>
            <w:r w:rsidRPr="00CA34EB">
              <w:rPr>
                <w:sz w:val="22"/>
                <w:lang w:val="en-US"/>
              </w:rPr>
              <w:t>under blackout conditions</w:t>
            </w:r>
            <w:r>
              <w:rPr>
                <w:sz w:val="22"/>
                <w:lang w:val="en-US"/>
              </w:rPr>
              <w:t>. The list of</w:t>
            </w:r>
            <w:r w:rsidRPr="00CA34EB">
              <w:rPr>
                <w:sz w:val="22"/>
                <w:lang w:val="en-US"/>
              </w:rPr>
              <w:t xml:space="preserve"> battery consumers</w:t>
            </w:r>
            <w:r>
              <w:rPr>
                <w:sz w:val="22"/>
                <w:lang w:val="en-US"/>
              </w:rPr>
              <w:t>,</w:t>
            </w:r>
            <w:r w:rsidRPr="00CA34EB">
              <w:rPr>
                <w:sz w:val="22"/>
                <w:lang w:val="en-US"/>
              </w:rPr>
              <w:t xml:space="preserve"> which can be disconnected from batteries following SBO</w:t>
            </w:r>
            <w:r>
              <w:rPr>
                <w:sz w:val="22"/>
                <w:lang w:val="en-US"/>
              </w:rPr>
              <w:t>, should be done by plant, the specification of consumer parameters can by done by TAVANA.</w:t>
            </w:r>
          </w:p>
        </w:tc>
        <w:tc>
          <w:tcPr>
            <w:tcW w:w="1501" w:type="dxa"/>
          </w:tcPr>
          <w:p w:rsidR="00A07A00" w:rsidRPr="00662EE8" w:rsidRDefault="00A07A00" w:rsidP="004D571E">
            <w:pPr>
              <w:rPr>
                <w:sz w:val="2"/>
                <w:szCs w:val="2"/>
                <w:lang w:val="en-US"/>
              </w:rPr>
            </w:pPr>
            <w:r>
              <w:rPr>
                <w:sz w:val="2"/>
                <w:szCs w:val="2"/>
                <w:lang w:val="en-US"/>
              </w:rPr>
              <w:object w:dxaOrig="2520" w:dyaOrig="1640">
                <v:shape id="_x0000_i1027" type="#_x0000_t75" style="width:125.55pt;height:81.8pt" o:ole="">
                  <v:imagedata r:id="rId10" o:title=""/>
                </v:shape>
                <o:OLEObject Type="Embed" ProgID="Excel.Sheet.12" ShapeID="_x0000_i1027" DrawAspect="Icon" ObjectID="_1617975542" r:id="rId11"/>
              </w:object>
            </w:r>
          </w:p>
        </w:tc>
      </w:tr>
      <w:tr w:rsidR="00A07A00" w:rsidRPr="00DE38D5" w:rsidTr="00CF2DB0">
        <w:trPr>
          <w:cantSplit/>
          <w:jc w:val="center"/>
        </w:trPr>
        <w:tc>
          <w:tcPr>
            <w:tcW w:w="398" w:type="dxa"/>
          </w:tcPr>
          <w:p w:rsidR="00A07A00" w:rsidRPr="00EF3198" w:rsidRDefault="00A07A00" w:rsidP="004D571E">
            <w:pPr>
              <w:pStyle w:val="ListParagraph"/>
              <w:numPr>
                <w:ilvl w:val="0"/>
                <w:numId w:val="1"/>
              </w:numPr>
              <w:ind w:left="357" w:hanging="357"/>
              <w:contextualSpacing w:val="0"/>
              <w:rPr>
                <w:sz w:val="22"/>
                <w:lang w:val="en-US"/>
              </w:rPr>
            </w:pPr>
          </w:p>
        </w:tc>
        <w:tc>
          <w:tcPr>
            <w:tcW w:w="1418" w:type="dxa"/>
            <w:shd w:val="clear" w:color="auto" w:fill="92D050"/>
          </w:tcPr>
          <w:p w:rsidR="00A07A00" w:rsidRDefault="00A07A00" w:rsidP="00C96DFB">
            <w:pPr>
              <w:rPr>
                <w:sz w:val="22"/>
                <w:lang w:val="en-US"/>
              </w:rPr>
            </w:pPr>
            <w:r>
              <w:rPr>
                <w:sz w:val="22"/>
                <w:lang w:val="en-US"/>
              </w:rPr>
              <w:t>Checked and commented</w:t>
            </w:r>
          </w:p>
        </w:tc>
        <w:tc>
          <w:tcPr>
            <w:tcW w:w="810" w:type="dxa"/>
          </w:tcPr>
          <w:p w:rsidR="00A07A00" w:rsidRDefault="00A07A00" w:rsidP="004D571E">
            <w:pPr>
              <w:rPr>
                <w:sz w:val="22"/>
                <w:lang w:val="en-US"/>
              </w:rPr>
            </w:pPr>
            <w:r>
              <w:rPr>
                <w:sz w:val="22"/>
                <w:lang w:val="en-US"/>
              </w:rPr>
              <w:t>5.1.3.4</w:t>
            </w:r>
          </w:p>
        </w:tc>
        <w:tc>
          <w:tcPr>
            <w:tcW w:w="11374" w:type="dxa"/>
            <w:gridSpan w:val="2"/>
          </w:tcPr>
          <w:p w:rsidR="00A07A00" w:rsidRDefault="00A07A00" w:rsidP="004D571E">
            <w:pPr>
              <w:rPr>
                <w:sz w:val="22"/>
                <w:lang w:val="en-US"/>
              </w:rPr>
            </w:pPr>
            <w:r>
              <w:rPr>
                <w:sz w:val="22"/>
                <w:lang w:val="en-US"/>
              </w:rPr>
              <w:t>Please check the text related time to core damage/</w:t>
            </w:r>
            <w:proofErr w:type="spellStart"/>
            <w:r>
              <w:rPr>
                <w:sz w:val="22"/>
                <w:lang w:val="en-US"/>
              </w:rPr>
              <w:t>uncovery</w:t>
            </w:r>
            <w:proofErr w:type="spellEnd"/>
            <w:r>
              <w:rPr>
                <w:sz w:val="22"/>
                <w:lang w:val="en-US"/>
              </w:rPr>
              <w:t xml:space="preserve"> in cold shutdown and time to fuel </w:t>
            </w:r>
            <w:proofErr w:type="spellStart"/>
            <w:r>
              <w:rPr>
                <w:sz w:val="22"/>
                <w:lang w:val="en-US"/>
              </w:rPr>
              <w:t>uncovery</w:t>
            </w:r>
            <w:proofErr w:type="spellEnd"/>
            <w:r>
              <w:rPr>
                <w:sz w:val="22"/>
                <w:lang w:val="en-US"/>
              </w:rPr>
              <w:t xml:space="preserve"> in SFP that has been added by UJV based on items 37 and 38 of document “Information based on the Gap Analysis”, on Chapter 15.3.7.6 of FSAR and on Section 3.9.1 of vendor’s SAST report, see also enclosed file.</w:t>
            </w:r>
          </w:p>
        </w:tc>
        <w:bookmarkStart w:id="3" w:name="_MON_1612945012"/>
        <w:bookmarkEnd w:id="3"/>
        <w:tc>
          <w:tcPr>
            <w:tcW w:w="1501" w:type="dxa"/>
          </w:tcPr>
          <w:p w:rsidR="00A07A00" w:rsidRPr="0017306F" w:rsidRDefault="00A07A00" w:rsidP="004D571E">
            <w:pPr>
              <w:ind w:right="1701"/>
              <w:rPr>
                <w:sz w:val="2"/>
                <w:szCs w:val="2"/>
                <w:lang w:val="en-US"/>
              </w:rPr>
            </w:pPr>
            <w:r>
              <w:rPr>
                <w:sz w:val="2"/>
                <w:szCs w:val="2"/>
                <w:lang w:val="en-US"/>
              </w:rPr>
              <w:object w:dxaOrig="2520" w:dyaOrig="1640">
                <v:shape id="_x0000_i1028" type="#_x0000_t75" style="width:126.15pt;height:81.8pt" o:ole="">
                  <v:imagedata r:id="rId12" o:title=""/>
                </v:shape>
                <o:OLEObject Type="Embed" ProgID="Word.Document.12" ShapeID="_x0000_i1028" DrawAspect="Icon" ObjectID="_1617975543" r:id="rId13">
                  <o:FieldCodes>\s</o:FieldCodes>
                </o:OLEObject>
              </w:object>
            </w:r>
          </w:p>
        </w:tc>
      </w:tr>
      <w:tr w:rsidR="00A07A00" w:rsidRPr="00DE38D5" w:rsidTr="00CF2DB0">
        <w:trPr>
          <w:cantSplit/>
          <w:jc w:val="center"/>
        </w:trPr>
        <w:tc>
          <w:tcPr>
            <w:tcW w:w="398" w:type="dxa"/>
          </w:tcPr>
          <w:p w:rsidR="00A07A00" w:rsidRPr="00EF3198" w:rsidRDefault="00A07A00" w:rsidP="004D571E">
            <w:pPr>
              <w:pStyle w:val="ListParagraph"/>
              <w:numPr>
                <w:ilvl w:val="0"/>
                <w:numId w:val="1"/>
              </w:numPr>
              <w:ind w:left="357" w:hanging="357"/>
              <w:contextualSpacing w:val="0"/>
              <w:rPr>
                <w:sz w:val="22"/>
                <w:lang w:val="en-US"/>
              </w:rPr>
            </w:pPr>
          </w:p>
        </w:tc>
        <w:tc>
          <w:tcPr>
            <w:tcW w:w="1418" w:type="dxa"/>
            <w:shd w:val="clear" w:color="auto" w:fill="92D050"/>
          </w:tcPr>
          <w:p w:rsidR="00A07A00" w:rsidRDefault="00A07A00" w:rsidP="004D571E">
            <w:pPr>
              <w:rPr>
                <w:sz w:val="22"/>
                <w:lang w:val="en-US"/>
              </w:rPr>
            </w:pPr>
            <w:r>
              <w:rPr>
                <w:sz w:val="22"/>
                <w:lang w:val="en-US"/>
              </w:rPr>
              <w:t xml:space="preserve">Submitted on 24 </w:t>
            </w:r>
            <w:proofErr w:type="spellStart"/>
            <w:r>
              <w:rPr>
                <w:sz w:val="22"/>
                <w:lang w:val="en-US"/>
              </w:rPr>
              <w:t>th</w:t>
            </w:r>
            <w:proofErr w:type="spellEnd"/>
            <w:r>
              <w:rPr>
                <w:sz w:val="22"/>
                <w:lang w:val="en-US"/>
              </w:rPr>
              <w:t xml:space="preserve"> Apr</w:t>
            </w:r>
          </w:p>
        </w:tc>
        <w:tc>
          <w:tcPr>
            <w:tcW w:w="810" w:type="dxa"/>
          </w:tcPr>
          <w:p w:rsidR="00A07A00" w:rsidRPr="00DE38D5" w:rsidRDefault="00A07A00" w:rsidP="004D571E">
            <w:pPr>
              <w:rPr>
                <w:sz w:val="22"/>
                <w:lang w:val="en-US"/>
              </w:rPr>
            </w:pPr>
            <w:r>
              <w:rPr>
                <w:sz w:val="22"/>
                <w:lang w:val="en-US"/>
              </w:rPr>
              <w:t>5.1.3.4</w:t>
            </w:r>
          </w:p>
        </w:tc>
        <w:tc>
          <w:tcPr>
            <w:tcW w:w="12875" w:type="dxa"/>
            <w:gridSpan w:val="3"/>
          </w:tcPr>
          <w:p w:rsidR="00A07A00" w:rsidRPr="00CA34EB" w:rsidRDefault="00A07A00" w:rsidP="004D571E">
            <w:pPr>
              <w:rPr>
                <w:sz w:val="22"/>
                <w:lang w:val="en-US"/>
              </w:rPr>
            </w:pPr>
            <w:r>
              <w:rPr>
                <w:sz w:val="22"/>
                <w:lang w:val="en-US"/>
              </w:rPr>
              <w:t>Please check the text related the</w:t>
            </w:r>
            <w:r w:rsidRPr="00CA34EB">
              <w:rPr>
                <w:sz w:val="22"/>
                <w:lang w:val="en-US"/>
              </w:rPr>
              <w:t xml:space="preserve"> possibility of drainage of water from </w:t>
            </w:r>
            <w:proofErr w:type="spellStart"/>
            <w:r w:rsidRPr="00CA34EB">
              <w:rPr>
                <w:sz w:val="22"/>
                <w:lang w:val="en-US"/>
              </w:rPr>
              <w:t>deareator</w:t>
            </w:r>
            <w:proofErr w:type="spellEnd"/>
            <w:r w:rsidRPr="00CA34EB">
              <w:rPr>
                <w:sz w:val="22"/>
                <w:lang w:val="en-US"/>
              </w:rPr>
              <w:t xml:space="preserve"> to SGs according to Section 5.3.1 of BDBA control manual</w:t>
            </w:r>
            <w:r>
              <w:rPr>
                <w:sz w:val="22"/>
                <w:lang w:val="en-US"/>
              </w:rPr>
              <w:t xml:space="preserve"> which has been added by UJV based on item 42 of document “Information based on the Gap Analysis</w:t>
            </w:r>
            <w:r w:rsidRPr="00CA34EB">
              <w:rPr>
                <w:sz w:val="22"/>
                <w:lang w:val="en-US"/>
              </w:rPr>
              <w:t xml:space="preserve">. </w:t>
            </w:r>
            <w:r>
              <w:rPr>
                <w:sz w:val="22"/>
                <w:lang w:val="en-US"/>
              </w:rPr>
              <w:t>Please add a</w:t>
            </w:r>
            <w:r w:rsidRPr="00CA34EB">
              <w:rPr>
                <w:sz w:val="22"/>
                <w:lang w:val="en-US"/>
              </w:rPr>
              <w:t>n estimation of prolongation of time to dry SGs (extra time) if feasible.</w:t>
            </w:r>
          </w:p>
        </w:tc>
      </w:tr>
      <w:tr w:rsidR="00A07A00" w:rsidRPr="00DE38D5" w:rsidTr="001E2227">
        <w:trPr>
          <w:cantSplit/>
          <w:jc w:val="center"/>
        </w:trPr>
        <w:tc>
          <w:tcPr>
            <w:tcW w:w="398" w:type="dxa"/>
          </w:tcPr>
          <w:p w:rsidR="00A07A00" w:rsidRPr="00EF3198" w:rsidRDefault="00A07A00" w:rsidP="004D571E">
            <w:pPr>
              <w:pStyle w:val="ListParagraph"/>
              <w:numPr>
                <w:ilvl w:val="0"/>
                <w:numId w:val="1"/>
              </w:numPr>
              <w:ind w:left="357" w:hanging="357"/>
              <w:contextualSpacing w:val="0"/>
              <w:rPr>
                <w:sz w:val="22"/>
                <w:lang w:val="en-US"/>
              </w:rPr>
            </w:pPr>
          </w:p>
        </w:tc>
        <w:tc>
          <w:tcPr>
            <w:tcW w:w="1418" w:type="dxa"/>
            <w:shd w:val="clear" w:color="auto" w:fill="FFFF00"/>
          </w:tcPr>
          <w:p w:rsidR="00A07A00" w:rsidRDefault="00A07A00" w:rsidP="004D571E">
            <w:pPr>
              <w:rPr>
                <w:sz w:val="22"/>
                <w:lang w:val="en-US"/>
              </w:rPr>
            </w:pPr>
            <w:r>
              <w:rPr>
                <w:sz w:val="22"/>
                <w:lang w:val="en-US"/>
              </w:rPr>
              <w:t>In progress</w:t>
            </w:r>
          </w:p>
        </w:tc>
        <w:tc>
          <w:tcPr>
            <w:tcW w:w="810" w:type="dxa"/>
          </w:tcPr>
          <w:p w:rsidR="00A07A00" w:rsidRDefault="00A07A00" w:rsidP="004D571E">
            <w:pPr>
              <w:rPr>
                <w:sz w:val="22"/>
                <w:lang w:val="en-US"/>
              </w:rPr>
            </w:pPr>
            <w:r>
              <w:rPr>
                <w:sz w:val="22"/>
                <w:lang w:val="en-US"/>
              </w:rPr>
              <w:t>5.1.3.5</w:t>
            </w:r>
          </w:p>
        </w:tc>
        <w:tc>
          <w:tcPr>
            <w:tcW w:w="12875" w:type="dxa"/>
            <w:gridSpan w:val="3"/>
          </w:tcPr>
          <w:p w:rsidR="00A07A00" w:rsidRDefault="00A07A00" w:rsidP="004D571E">
            <w:pPr>
              <w:rPr>
                <w:sz w:val="22"/>
                <w:lang w:val="en-US"/>
              </w:rPr>
            </w:pPr>
            <w:r>
              <w:rPr>
                <w:sz w:val="22"/>
                <w:lang w:val="en-US"/>
              </w:rPr>
              <w:t>Please add the qualification of common plant DG and mobile DGs to high temperatures.</w:t>
            </w:r>
          </w:p>
        </w:tc>
      </w:tr>
      <w:tr w:rsidR="00A07A00" w:rsidRPr="00DE38D5" w:rsidTr="00CF2DB0">
        <w:trPr>
          <w:cantSplit/>
          <w:jc w:val="center"/>
        </w:trPr>
        <w:tc>
          <w:tcPr>
            <w:tcW w:w="398" w:type="dxa"/>
            <w:tcBorders>
              <w:bottom w:val="single" w:sz="6" w:space="0" w:color="auto"/>
            </w:tcBorders>
          </w:tcPr>
          <w:p w:rsidR="00A07A00" w:rsidRPr="00EF3198" w:rsidRDefault="00A07A00" w:rsidP="004D571E">
            <w:pPr>
              <w:pStyle w:val="ListParagraph"/>
              <w:numPr>
                <w:ilvl w:val="0"/>
                <w:numId w:val="1"/>
              </w:numPr>
              <w:ind w:left="357" w:hanging="357"/>
              <w:contextualSpacing w:val="0"/>
              <w:rPr>
                <w:sz w:val="22"/>
                <w:lang w:val="en-US"/>
              </w:rPr>
            </w:pPr>
          </w:p>
        </w:tc>
        <w:tc>
          <w:tcPr>
            <w:tcW w:w="1418" w:type="dxa"/>
            <w:tcBorders>
              <w:bottom w:val="single" w:sz="6" w:space="0" w:color="auto"/>
            </w:tcBorders>
            <w:shd w:val="clear" w:color="auto" w:fill="92D050"/>
          </w:tcPr>
          <w:p w:rsidR="00A07A00" w:rsidRDefault="00A07A00" w:rsidP="004D571E">
            <w:pPr>
              <w:rPr>
                <w:sz w:val="22"/>
                <w:lang w:val="en-US"/>
              </w:rPr>
            </w:pPr>
            <w:r>
              <w:rPr>
                <w:sz w:val="22"/>
                <w:lang w:val="en-US"/>
              </w:rPr>
              <w:t>Submitted on 24</w:t>
            </w:r>
            <w:r w:rsidRPr="000D3721">
              <w:rPr>
                <w:sz w:val="22"/>
                <w:vertAlign w:val="superscript"/>
                <w:lang w:val="en-US"/>
              </w:rPr>
              <w:t>th</w:t>
            </w:r>
            <w:r>
              <w:rPr>
                <w:sz w:val="22"/>
                <w:lang w:val="en-US"/>
              </w:rPr>
              <w:t xml:space="preserve"> Apr.</w:t>
            </w:r>
          </w:p>
          <w:p w:rsidR="00A07A00" w:rsidRPr="000D3721" w:rsidRDefault="00A07A00" w:rsidP="004D571E">
            <w:pPr>
              <w:rPr>
                <w:sz w:val="22"/>
                <w:lang w:val="en-US"/>
              </w:rPr>
            </w:pPr>
            <w:r>
              <w:rPr>
                <w:sz w:val="20"/>
                <w:szCs w:val="20"/>
                <w:lang w:val="en-US"/>
              </w:rPr>
              <w:t xml:space="preserve">Note: </w:t>
            </w:r>
            <w:r w:rsidRPr="00CF2DB0">
              <w:rPr>
                <w:sz w:val="20"/>
                <w:szCs w:val="20"/>
                <w:lang w:val="en-US"/>
              </w:rPr>
              <w:t>TH16S001 is powered from 4</w:t>
            </w:r>
            <w:r w:rsidRPr="00CF2DB0">
              <w:rPr>
                <w:sz w:val="20"/>
                <w:szCs w:val="20"/>
                <w:vertAlign w:val="superscript"/>
                <w:lang w:val="en-US"/>
              </w:rPr>
              <w:t>th</w:t>
            </w:r>
            <w:r w:rsidRPr="00CF2DB0">
              <w:rPr>
                <w:sz w:val="20"/>
                <w:szCs w:val="20"/>
                <w:lang w:val="en-US"/>
              </w:rPr>
              <w:t xml:space="preserve"> Channel of EPSS, TH16S002 is </w:t>
            </w:r>
            <w:proofErr w:type="spellStart"/>
            <w:r w:rsidRPr="00CF2DB0">
              <w:rPr>
                <w:sz w:val="20"/>
                <w:szCs w:val="20"/>
                <w:lang w:val="en-US"/>
              </w:rPr>
              <w:t>powred</w:t>
            </w:r>
            <w:proofErr w:type="spellEnd"/>
            <w:r w:rsidRPr="00CF2DB0">
              <w:rPr>
                <w:sz w:val="20"/>
                <w:szCs w:val="20"/>
                <w:lang w:val="en-US"/>
              </w:rPr>
              <w:t xml:space="preserve"> from 3</w:t>
            </w:r>
            <w:r w:rsidRPr="00CF2DB0">
              <w:rPr>
                <w:sz w:val="20"/>
                <w:szCs w:val="20"/>
                <w:vertAlign w:val="superscript"/>
                <w:lang w:val="en-US"/>
              </w:rPr>
              <w:t>rd</w:t>
            </w:r>
            <w:r w:rsidRPr="00CF2DB0">
              <w:rPr>
                <w:sz w:val="20"/>
                <w:szCs w:val="20"/>
                <w:lang w:val="en-US"/>
              </w:rPr>
              <w:t xml:space="preserve"> Channel of EPSS</w:t>
            </w:r>
          </w:p>
        </w:tc>
        <w:tc>
          <w:tcPr>
            <w:tcW w:w="810" w:type="dxa"/>
            <w:tcBorders>
              <w:bottom w:val="single" w:sz="6" w:space="0" w:color="auto"/>
            </w:tcBorders>
          </w:tcPr>
          <w:p w:rsidR="00A07A00" w:rsidRPr="00DE38D5" w:rsidRDefault="00A07A00" w:rsidP="004D571E">
            <w:pPr>
              <w:rPr>
                <w:sz w:val="22"/>
                <w:lang w:val="en-US"/>
              </w:rPr>
            </w:pPr>
            <w:r>
              <w:rPr>
                <w:sz w:val="22"/>
                <w:lang w:val="en-US"/>
              </w:rPr>
              <w:t>5.2.2.1</w:t>
            </w:r>
          </w:p>
        </w:tc>
        <w:tc>
          <w:tcPr>
            <w:tcW w:w="12875" w:type="dxa"/>
            <w:gridSpan w:val="3"/>
            <w:tcBorders>
              <w:bottom w:val="single" w:sz="6" w:space="0" w:color="auto"/>
            </w:tcBorders>
          </w:tcPr>
          <w:p w:rsidR="00A07A00" w:rsidRDefault="00A07A00" w:rsidP="004D571E">
            <w:pPr>
              <w:rPr>
                <w:sz w:val="22"/>
                <w:lang w:val="en-US"/>
              </w:rPr>
            </w:pPr>
            <w:r>
              <w:rPr>
                <w:sz w:val="22"/>
                <w:lang w:val="en-US"/>
              </w:rPr>
              <w:t xml:space="preserve">Please add </w:t>
            </w:r>
            <w:r w:rsidRPr="00CA34EB">
              <w:rPr>
                <w:sz w:val="22"/>
                <w:lang w:val="en-US"/>
              </w:rPr>
              <w:t>discuss</w:t>
            </w:r>
            <w:r>
              <w:rPr>
                <w:sz w:val="22"/>
                <w:lang w:val="en-US"/>
              </w:rPr>
              <w:t>ion about</w:t>
            </w:r>
            <w:r w:rsidRPr="00DE38D5">
              <w:rPr>
                <w:sz w:val="22"/>
                <w:lang w:val="en-US"/>
              </w:rPr>
              <w:t xml:space="preserve"> backup measures after loss of ESW in Mode 5 and 6 (open reactor)</w:t>
            </w:r>
            <w:r>
              <w:rPr>
                <w:sz w:val="22"/>
                <w:lang w:val="en-US"/>
              </w:rPr>
              <w:t>. Water can be injection from HAs, but they</w:t>
            </w:r>
            <w:r w:rsidRPr="00DE38D5">
              <w:rPr>
                <w:sz w:val="22"/>
                <w:lang w:val="en-US"/>
              </w:rPr>
              <w:t xml:space="preserve"> can be isolated </w:t>
            </w:r>
            <w:r>
              <w:rPr>
                <w:sz w:val="22"/>
                <w:lang w:val="en-US"/>
              </w:rPr>
              <w:t xml:space="preserve">and </w:t>
            </w:r>
            <w:r w:rsidRPr="00DE38D5">
              <w:rPr>
                <w:sz w:val="22"/>
                <w:lang w:val="en-US"/>
              </w:rPr>
              <w:t>without power supply for</w:t>
            </w:r>
            <w:r>
              <w:rPr>
                <w:sz w:val="22"/>
                <w:lang w:val="en-US"/>
              </w:rPr>
              <w:t xml:space="preserve"> their</w:t>
            </w:r>
            <w:r w:rsidRPr="00DE38D5">
              <w:rPr>
                <w:sz w:val="22"/>
                <w:lang w:val="en-US"/>
              </w:rPr>
              <w:t xml:space="preserve"> isolation MOVs due to power supply maintenan</w:t>
            </w:r>
            <w:r>
              <w:rPr>
                <w:sz w:val="22"/>
                <w:lang w:val="en-US"/>
              </w:rPr>
              <w:t xml:space="preserve">ce. Please check possibility to use pumps </w:t>
            </w:r>
            <w:r w:rsidRPr="00DE38D5">
              <w:rPr>
                <w:sz w:val="22"/>
                <w:lang w:val="en-US"/>
              </w:rPr>
              <w:t xml:space="preserve">TH71,72D001 </w:t>
            </w:r>
            <w:r>
              <w:rPr>
                <w:sz w:val="22"/>
                <w:lang w:val="en-US"/>
              </w:rPr>
              <w:t xml:space="preserve">(or other pumps independent on ESW) </w:t>
            </w:r>
            <w:r w:rsidRPr="00DE38D5">
              <w:rPr>
                <w:sz w:val="22"/>
                <w:lang w:val="en-US"/>
              </w:rPr>
              <w:t>to makeup open reactor and SFP to compensate evaporation</w:t>
            </w:r>
            <w:r>
              <w:rPr>
                <w:sz w:val="22"/>
                <w:lang w:val="en-US"/>
              </w:rPr>
              <w:t xml:space="preserve"> and eventually add a discussion about such remedy action (if feasible) with description of available water sources for such pumps. Moreover, please check the power supply division for MOVs THx6,x7SS001,S002 whether it is from the same power supply division.</w:t>
            </w:r>
          </w:p>
          <w:p w:rsidR="00A07A00" w:rsidRPr="00DE38D5" w:rsidRDefault="00A07A00" w:rsidP="004D571E">
            <w:pPr>
              <w:rPr>
                <w:sz w:val="22"/>
                <w:lang w:val="en-US"/>
              </w:rPr>
            </w:pPr>
            <w:r>
              <w:rPr>
                <w:sz w:val="22"/>
                <w:lang w:val="en-US"/>
              </w:rPr>
              <w:t>Note: AOVs YT1xS001 are powered from the 3nd division (13FL53H) and AOVs YT1xS002 are powered from the 4th division (14FM53H) of power supply. According to plant staff information, MOVs THx6</w:t>
            </w:r>
            <w:proofErr w:type="gramStart"/>
            <w:r>
              <w:rPr>
                <w:sz w:val="22"/>
                <w:lang w:val="en-US"/>
              </w:rPr>
              <w:t>,x7S001</w:t>
            </w:r>
            <w:proofErr w:type="gramEnd"/>
            <w:r>
              <w:rPr>
                <w:sz w:val="22"/>
                <w:lang w:val="en-US"/>
              </w:rPr>
              <w:t xml:space="preserve"> are powered from the same division of power supply and MOVs THx6,x7S002 are powered from the same division of power supply as well.</w:t>
            </w:r>
          </w:p>
        </w:tc>
      </w:tr>
      <w:tr w:rsidR="00A07A00" w:rsidRPr="00DE38D5" w:rsidTr="00CF2DB0">
        <w:trPr>
          <w:cantSplit/>
          <w:jc w:val="center"/>
        </w:trPr>
        <w:tc>
          <w:tcPr>
            <w:tcW w:w="398" w:type="dxa"/>
            <w:tcBorders>
              <w:top w:val="single" w:sz="6" w:space="0" w:color="auto"/>
              <w:bottom w:val="single" w:sz="6" w:space="0" w:color="auto"/>
            </w:tcBorders>
          </w:tcPr>
          <w:p w:rsidR="00A07A00" w:rsidRPr="00EF3198" w:rsidRDefault="00A07A00" w:rsidP="004D571E">
            <w:pPr>
              <w:pStyle w:val="ListParagraph"/>
              <w:numPr>
                <w:ilvl w:val="0"/>
                <w:numId w:val="1"/>
              </w:numPr>
              <w:ind w:left="357" w:hanging="357"/>
              <w:contextualSpacing w:val="0"/>
              <w:rPr>
                <w:sz w:val="22"/>
                <w:lang w:val="en-US"/>
              </w:rPr>
            </w:pPr>
          </w:p>
        </w:tc>
        <w:tc>
          <w:tcPr>
            <w:tcW w:w="1418" w:type="dxa"/>
            <w:tcBorders>
              <w:top w:val="single" w:sz="6" w:space="0" w:color="auto"/>
              <w:bottom w:val="single" w:sz="6" w:space="0" w:color="auto"/>
            </w:tcBorders>
            <w:shd w:val="clear" w:color="auto" w:fill="92D050"/>
          </w:tcPr>
          <w:p w:rsidR="00A07A00" w:rsidRDefault="00A07A00" w:rsidP="004D571E">
            <w:pPr>
              <w:rPr>
                <w:sz w:val="22"/>
                <w:lang w:val="en-US"/>
              </w:rPr>
            </w:pPr>
            <w:r>
              <w:rPr>
                <w:sz w:val="22"/>
                <w:lang w:val="en-US"/>
              </w:rPr>
              <w:t xml:space="preserve">Submitted on 24 </w:t>
            </w:r>
            <w:proofErr w:type="spellStart"/>
            <w:r>
              <w:rPr>
                <w:sz w:val="22"/>
                <w:lang w:val="en-US"/>
              </w:rPr>
              <w:t>th</w:t>
            </w:r>
            <w:proofErr w:type="spellEnd"/>
            <w:r>
              <w:rPr>
                <w:sz w:val="22"/>
                <w:lang w:val="en-US"/>
              </w:rPr>
              <w:t xml:space="preserve"> Apr</w:t>
            </w:r>
          </w:p>
        </w:tc>
        <w:tc>
          <w:tcPr>
            <w:tcW w:w="810" w:type="dxa"/>
            <w:tcBorders>
              <w:top w:val="single" w:sz="6" w:space="0" w:color="auto"/>
              <w:bottom w:val="single" w:sz="6" w:space="0" w:color="auto"/>
            </w:tcBorders>
          </w:tcPr>
          <w:p w:rsidR="00A07A00" w:rsidRPr="00DE38D5" w:rsidRDefault="00A07A00" w:rsidP="004D571E">
            <w:pPr>
              <w:rPr>
                <w:sz w:val="22"/>
                <w:lang w:val="en-US"/>
              </w:rPr>
            </w:pPr>
            <w:r>
              <w:rPr>
                <w:sz w:val="22"/>
                <w:lang w:val="en-US"/>
              </w:rPr>
              <w:t>5.2.2.1</w:t>
            </w:r>
          </w:p>
        </w:tc>
        <w:tc>
          <w:tcPr>
            <w:tcW w:w="12875" w:type="dxa"/>
            <w:gridSpan w:val="3"/>
            <w:tcBorders>
              <w:top w:val="single" w:sz="6" w:space="0" w:color="auto"/>
              <w:bottom w:val="single" w:sz="6" w:space="0" w:color="auto"/>
            </w:tcBorders>
          </w:tcPr>
          <w:p w:rsidR="00A07A00" w:rsidRPr="00597E4B" w:rsidRDefault="00A07A00" w:rsidP="004D571E">
            <w:pPr>
              <w:rPr>
                <w:sz w:val="22"/>
                <w:lang w:val="en-US"/>
              </w:rPr>
            </w:pPr>
            <w:r w:rsidRPr="00597E4B">
              <w:rPr>
                <w:sz w:val="22"/>
                <w:lang w:val="en-US"/>
              </w:rPr>
              <w:t xml:space="preserve">Please add a discussion about the impact of loss of ventilation of rooms on EFW function (EFW room, power supply rooms, MCR, </w:t>
            </w:r>
            <w:r>
              <w:rPr>
                <w:sz w:val="22"/>
                <w:lang w:val="en-US"/>
              </w:rPr>
              <w:t xml:space="preserve">room with </w:t>
            </w:r>
            <w:r w:rsidRPr="00597E4B">
              <w:rPr>
                <w:sz w:val="22"/>
                <w:lang w:val="en-US"/>
              </w:rPr>
              <w:t>safety I&amp;C</w:t>
            </w:r>
            <w:r>
              <w:rPr>
                <w:sz w:val="22"/>
                <w:lang w:val="en-US"/>
              </w:rPr>
              <w:t xml:space="preserve"> systems or with I&amp;C systems for monitoring of key plant parameters</w:t>
            </w:r>
            <w:r w:rsidRPr="00597E4B">
              <w:rPr>
                <w:sz w:val="22"/>
                <w:lang w:val="en-US"/>
              </w:rPr>
              <w:t>)</w:t>
            </w:r>
            <w:r>
              <w:rPr>
                <w:sz w:val="22"/>
                <w:lang w:val="en-US"/>
              </w:rPr>
              <w:t xml:space="preserve"> </w:t>
            </w:r>
            <w:r w:rsidRPr="00597E4B">
              <w:rPr>
                <w:sz w:val="22"/>
                <w:lang w:val="en-US"/>
              </w:rPr>
              <w:t>after loss of ESW</w:t>
            </w:r>
            <w:r>
              <w:rPr>
                <w:sz w:val="22"/>
                <w:lang w:val="en-US"/>
              </w:rPr>
              <w:t xml:space="preserve">. Please check the </w:t>
            </w:r>
            <w:r w:rsidRPr="00597E4B">
              <w:rPr>
                <w:sz w:val="22"/>
                <w:lang w:val="en-US"/>
              </w:rPr>
              <w:t>possibility to use the existing air conditioning devices independent on ESW. Particularly,</w:t>
            </w:r>
            <w:r>
              <w:rPr>
                <w:sz w:val="22"/>
                <w:lang w:val="en-US"/>
              </w:rPr>
              <w:t xml:space="preserve"> please check </w:t>
            </w:r>
            <w:r w:rsidRPr="00597E4B">
              <w:rPr>
                <w:sz w:val="22"/>
                <w:lang w:val="en-US"/>
              </w:rPr>
              <w:t xml:space="preserve">the impact of loss of UV21D001,D002 (example </w:t>
            </w:r>
            <w:r>
              <w:rPr>
                <w:sz w:val="22"/>
                <w:lang w:val="en-US"/>
              </w:rPr>
              <w:t xml:space="preserve">is </w:t>
            </w:r>
            <w:r w:rsidRPr="00597E4B">
              <w:rPr>
                <w:sz w:val="22"/>
                <w:lang w:val="en-US"/>
              </w:rPr>
              <w:t>for the 1st division) on power supply availability since PSA assumes loss of 10 kV busbar 11BU due to loss of UV21D001,D002.</w:t>
            </w:r>
          </w:p>
          <w:p w:rsidR="00A07A00" w:rsidRPr="00DE38D5" w:rsidRDefault="00A07A00" w:rsidP="004D571E">
            <w:pPr>
              <w:rPr>
                <w:sz w:val="22"/>
                <w:lang w:val="en-US"/>
              </w:rPr>
            </w:pPr>
            <w:r w:rsidRPr="00597E4B">
              <w:rPr>
                <w:sz w:val="22"/>
                <w:lang w:val="en-US"/>
              </w:rPr>
              <w:t xml:space="preserve">Note: The example of important power supply room for </w:t>
            </w:r>
            <w:r>
              <w:rPr>
                <w:sz w:val="22"/>
                <w:lang w:val="en-US"/>
              </w:rPr>
              <w:t xml:space="preserve">the </w:t>
            </w:r>
            <w:r w:rsidRPr="00597E4B">
              <w:rPr>
                <w:sz w:val="22"/>
                <w:lang w:val="en-US"/>
              </w:rPr>
              <w:t>1st division is K2 03.20.</w:t>
            </w:r>
          </w:p>
        </w:tc>
      </w:tr>
      <w:tr w:rsidR="00A07A00" w:rsidRPr="00DE38D5" w:rsidTr="00CF2DB0">
        <w:trPr>
          <w:cantSplit/>
          <w:jc w:val="center"/>
        </w:trPr>
        <w:tc>
          <w:tcPr>
            <w:tcW w:w="398" w:type="dxa"/>
            <w:tcBorders>
              <w:top w:val="single" w:sz="6" w:space="0" w:color="auto"/>
              <w:bottom w:val="double" w:sz="6" w:space="0" w:color="auto"/>
            </w:tcBorders>
          </w:tcPr>
          <w:p w:rsidR="00A07A00" w:rsidRPr="00EF3198" w:rsidRDefault="00A07A00" w:rsidP="004D571E">
            <w:pPr>
              <w:pStyle w:val="ListParagraph"/>
              <w:numPr>
                <w:ilvl w:val="0"/>
                <w:numId w:val="1"/>
              </w:numPr>
              <w:ind w:left="357" w:hanging="357"/>
              <w:contextualSpacing w:val="0"/>
              <w:rPr>
                <w:sz w:val="22"/>
                <w:lang w:val="en-US"/>
              </w:rPr>
            </w:pPr>
          </w:p>
        </w:tc>
        <w:tc>
          <w:tcPr>
            <w:tcW w:w="1418" w:type="dxa"/>
            <w:tcBorders>
              <w:top w:val="single" w:sz="6" w:space="0" w:color="auto"/>
              <w:bottom w:val="double" w:sz="6" w:space="0" w:color="auto"/>
            </w:tcBorders>
            <w:shd w:val="clear" w:color="auto" w:fill="92D050"/>
          </w:tcPr>
          <w:p w:rsidR="00A07A00" w:rsidRDefault="00A07A00" w:rsidP="004D571E">
            <w:pPr>
              <w:rPr>
                <w:sz w:val="22"/>
                <w:lang w:val="en-US"/>
              </w:rPr>
            </w:pPr>
            <w:r>
              <w:rPr>
                <w:sz w:val="22"/>
                <w:lang w:val="en-US"/>
              </w:rPr>
              <w:t xml:space="preserve">Submitted on 24 </w:t>
            </w:r>
            <w:proofErr w:type="spellStart"/>
            <w:r>
              <w:rPr>
                <w:sz w:val="22"/>
                <w:lang w:val="en-US"/>
              </w:rPr>
              <w:t>th</w:t>
            </w:r>
            <w:proofErr w:type="spellEnd"/>
            <w:r>
              <w:rPr>
                <w:sz w:val="22"/>
                <w:lang w:val="en-US"/>
              </w:rPr>
              <w:t xml:space="preserve"> Apr</w:t>
            </w:r>
          </w:p>
        </w:tc>
        <w:tc>
          <w:tcPr>
            <w:tcW w:w="810" w:type="dxa"/>
            <w:tcBorders>
              <w:top w:val="single" w:sz="6" w:space="0" w:color="auto"/>
              <w:bottom w:val="double" w:sz="6" w:space="0" w:color="auto"/>
            </w:tcBorders>
          </w:tcPr>
          <w:p w:rsidR="00A07A00" w:rsidRDefault="00A07A00" w:rsidP="004D571E">
            <w:pPr>
              <w:rPr>
                <w:sz w:val="22"/>
                <w:lang w:val="en-US"/>
              </w:rPr>
            </w:pPr>
            <w:r>
              <w:rPr>
                <w:sz w:val="22"/>
                <w:lang w:val="en-US"/>
              </w:rPr>
              <w:t>5.2.2.2</w:t>
            </w:r>
          </w:p>
        </w:tc>
        <w:tc>
          <w:tcPr>
            <w:tcW w:w="12875" w:type="dxa"/>
            <w:gridSpan w:val="3"/>
            <w:tcBorders>
              <w:top w:val="single" w:sz="6" w:space="0" w:color="auto"/>
              <w:bottom w:val="double" w:sz="6" w:space="0" w:color="auto"/>
            </w:tcBorders>
          </w:tcPr>
          <w:p w:rsidR="00A07A00" w:rsidRPr="00597E4B" w:rsidRDefault="00A07A00" w:rsidP="004D571E">
            <w:pPr>
              <w:rPr>
                <w:sz w:val="22"/>
                <w:lang w:val="en-US"/>
              </w:rPr>
            </w:pPr>
            <w:r>
              <w:rPr>
                <w:sz w:val="22"/>
                <w:lang w:val="en-US"/>
              </w:rPr>
              <w:t>Please add a discussion about the expected time duration to loss of systems which are necessary for EFW operation or to monitor key plant parameters (if such time durations are available or is possible to estimate from events in plant history) when their room ventilation is lost due to loss of ESW.</w:t>
            </w:r>
          </w:p>
        </w:tc>
      </w:tr>
    </w:tbl>
    <w:p w:rsidR="00B81E2B" w:rsidRDefault="00B81E2B" w:rsidP="009F18B8">
      <w:pPr>
        <w:spacing w:after="0" w:line="240" w:lineRule="auto"/>
        <w:jc w:val="both"/>
        <w:rPr>
          <w:sz w:val="22"/>
          <w:lang w:val="en-US"/>
        </w:rPr>
      </w:pPr>
    </w:p>
    <w:p w:rsidR="009F18B8" w:rsidRDefault="009F18B8" w:rsidP="009F18B8">
      <w:pPr>
        <w:spacing w:after="0" w:line="240" w:lineRule="auto"/>
        <w:jc w:val="both"/>
        <w:rPr>
          <w:sz w:val="22"/>
          <w:lang w:val="en-US"/>
        </w:rPr>
      </w:pPr>
      <w:r>
        <w:rPr>
          <w:sz w:val="22"/>
          <w:lang w:val="en-US"/>
        </w:rPr>
        <w:t>Note:</w:t>
      </w:r>
    </w:p>
    <w:p w:rsidR="009F18B8" w:rsidRDefault="009F18B8" w:rsidP="009F18B8">
      <w:pPr>
        <w:spacing w:after="0" w:line="240" w:lineRule="auto"/>
        <w:jc w:val="both"/>
        <w:rPr>
          <w:sz w:val="22"/>
          <w:lang w:val="en-US"/>
        </w:rPr>
      </w:pPr>
      <w:r>
        <w:rPr>
          <w:sz w:val="22"/>
          <w:lang w:val="en-US"/>
        </w:rPr>
        <w:t>AFW</w:t>
      </w:r>
      <w:r>
        <w:rPr>
          <w:sz w:val="22"/>
          <w:lang w:val="en-US"/>
        </w:rPr>
        <w:tab/>
        <w:t>Auxiliary Feedwater</w:t>
      </w:r>
    </w:p>
    <w:p w:rsidR="009F18B8" w:rsidRDefault="009F18B8" w:rsidP="009F18B8">
      <w:pPr>
        <w:spacing w:after="0" w:line="240" w:lineRule="auto"/>
        <w:jc w:val="both"/>
        <w:rPr>
          <w:sz w:val="22"/>
          <w:lang w:val="en-US"/>
        </w:rPr>
      </w:pPr>
      <w:r>
        <w:rPr>
          <w:sz w:val="22"/>
          <w:lang w:val="en-US"/>
        </w:rPr>
        <w:t>AOV</w:t>
      </w:r>
      <w:r>
        <w:rPr>
          <w:sz w:val="22"/>
          <w:lang w:val="en-US"/>
        </w:rPr>
        <w:tab/>
        <w:t>Air Operated Valve</w:t>
      </w:r>
    </w:p>
    <w:p w:rsidR="007F5FBA" w:rsidRDefault="007F5FBA" w:rsidP="009F18B8">
      <w:pPr>
        <w:spacing w:after="0" w:line="240" w:lineRule="auto"/>
        <w:jc w:val="both"/>
        <w:rPr>
          <w:sz w:val="22"/>
          <w:lang w:val="en-US"/>
        </w:rPr>
      </w:pPr>
      <w:r>
        <w:rPr>
          <w:sz w:val="22"/>
          <w:lang w:val="en-US"/>
        </w:rPr>
        <w:t>ECCS</w:t>
      </w:r>
      <w:r>
        <w:rPr>
          <w:sz w:val="22"/>
          <w:lang w:val="en-US"/>
        </w:rPr>
        <w:tab/>
        <w:t>Emergency Core Cooling System</w:t>
      </w:r>
    </w:p>
    <w:p w:rsidR="009F18B8" w:rsidRDefault="009F18B8" w:rsidP="009F18B8">
      <w:pPr>
        <w:spacing w:after="0" w:line="240" w:lineRule="auto"/>
        <w:jc w:val="both"/>
        <w:rPr>
          <w:sz w:val="22"/>
          <w:lang w:val="en-US"/>
        </w:rPr>
      </w:pPr>
      <w:r>
        <w:rPr>
          <w:sz w:val="22"/>
          <w:lang w:val="en-US"/>
        </w:rPr>
        <w:t>EDG</w:t>
      </w:r>
      <w:r>
        <w:rPr>
          <w:sz w:val="22"/>
          <w:lang w:val="en-US"/>
        </w:rPr>
        <w:tab/>
        <w:t>Emergency Diesel Generator (ordinary DG)</w:t>
      </w:r>
    </w:p>
    <w:p w:rsidR="003005F9" w:rsidRDefault="003005F9" w:rsidP="009F18B8">
      <w:pPr>
        <w:spacing w:after="0" w:line="240" w:lineRule="auto"/>
        <w:jc w:val="both"/>
        <w:rPr>
          <w:sz w:val="22"/>
          <w:lang w:val="en-US"/>
        </w:rPr>
      </w:pPr>
      <w:r>
        <w:rPr>
          <w:sz w:val="22"/>
          <w:lang w:val="en-US"/>
        </w:rPr>
        <w:t>EFW</w:t>
      </w:r>
      <w:r>
        <w:rPr>
          <w:sz w:val="22"/>
          <w:lang w:val="en-US"/>
        </w:rPr>
        <w:tab/>
        <w:t>Emergency Feedwater</w:t>
      </w:r>
    </w:p>
    <w:p w:rsidR="009F18B8" w:rsidRDefault="009F18B8" w:rsidP="009F18B8">
      <w:pPr>
        <w:spacing w:after="0" w:line="240" w:lineRule="auto"/>
        <w:jc w:val="both"/>
        <w:rPr>
          <w:sz w:val="22"/>
          <w:lang w:val="en-US"/>
        </w:rPr>
      </w:pPr>
      <w:r>
        <w:rPr>
          <w:sz w:val="22"/>
          <w:lang w:val="en-US"/>
        </w:rPr>
        <w:t>ESW</w:t>
      </w:r>
      <w:r>
        <w:rPr>
          <w:sz w:val="22"/>
          <w:lang w:val="en-US"/>
        </w:rPr>
        <w:tab/>
        <w:t>Essential Service Water</w:t>
      </w:r>
    </w:p>
    <w:p w:rsidR="009F18B8" w:rsidRDefault="009F18B8" w:rsidP="009F18B8">
      <w:pPr>
        <w:spacing w:after="0" w:line="240" w:lineRule="auto"/>
        <w:jc w:val="both"/>
        <w:rPr>
          <w:sz w:val="22"/>
          <w:lang w:val="en-US"/>
        </w:rPr>
      </w:pPr>
      <w:r>
        <w:rPr>
          <w:sz w:val="22"/>
          <w:lang w:val="en-US"/>
        </w:rPr>
        <w:t>HA</w:t>
      </w:r>
      <w:r>
        <w:rPr>
          <w:sz w:val="22"/>
          <w:lang w:val="en-US"/>
        </w:rPr>
        <w:tab/>
      </w:r>
      <w:proofErr w:type="spellStart"/>
      <w:r>
        <w:rPr>
          <w:sz w:val="22"/>
          <w:lang w:val="en-US"/>
        </w:rPr>
        <w:t>Hydroaccumulator</w:t>
      </w:r>
      <w:proofErr w:type="spellEnd"/>
    </w:p>
    <w:p w:rsidR="007F5FBA" w:rsidRDefault="007F5FBA" w:rsidP="009F18B8">
      <w:pPr>
        <w:spacing w:after="0" w:line="240" w:lineRule="auto"/>
        <w:jc w:val="both"/>
        <w:rPr>
          <w:sz w:val="22"/>
          <w:lang w:val="en-US"/>
        </w:rPr>
      </w:pPr>
      <w:r>
        <w:rPr>
          <w:sz w:val="22"/>
          <w:lang w:val="en-US"/>
        </w:rPr>
        <w:t>HP</w:t>
      </w:r>
      <w:r>
        <w:rPr>
          <w:sz w:val="22"/>
          <w:lang w:val="en-US"/>
        </w:rPr>
        <w:tab/>
        <w:t>High Pressure</w:t>
      </w:r>
    </w:p>
    <w:p w:rsidR="002A7812" w:rsidRDefault="002A7812" w:rsidP="00FC25D1">
      <w:pPr>
        <w:spacing w:after="0" w:line="240" w:lineRule="auto"/>
        <w:jc w:val="both"/>
        <w:rPr>
          <w:sz w:val="22"/>
          <w:lang w:val="en-US"/>
        </w:rPr>
      </w:pPr>
      <w:r>
        <w:rPr>
          <w:sz w:val="22"/>
          <w:lang w:val="en-US"/>
        </w:rPr>
        <w:t>I&amp;C</w:t>
      </w:r>
      <w:r>
        <w:rPr>
          <w:sz w:val="22"/>
          <w:lang w:val="en-US"/>
        </w:rPr>
        <w:tab/>
        <w:t>Instrumentation and control</w:t>
      </w:r>
    </w:p>
    <w:p w:rsidR="00FC25D1" w:rsidRDefault="00FC25D1" w:rsidP="00FC25D1">
      <w:pPr>
        <w:spacing w:after="0" w:line="240" w:lineRule="auto"/>
        <w:jc w:val="both"/>
        <w:rPr>
          <w:sz w:val="22"/>
          <w:lang w:val="en-US"/>
        </w:rPr>
      </w:pPr>
      <w:r>
        <w:rPr>
          <w:sz w:val="22"/>
          <w:lang w:val="en-US"/>
        </w:rPr>
        <w:t>LOOP</w:t>
      </w:r>
      <w:r>
        <w:rPr>
          <w:sz w:val="22"/>
          <w:lang w:val="en-US"/>
        </w:rPr>
        <w:tab/>
        <w:t>Loss of Off-site Power</w:t>
      </w:r>
    </w:p>
    <w:p w:rsidR="007F5FBA" w:rsidRDefault="007F5FBA" w:rsidP="009F18B8">
      <w:pPr>
        <w:spacing w:after="0" w:line="240" w:lineRule="auto"/>
        <w:jc w:val="both"/>
        <w:rPr>
          <w:sz w:val="22"/>
          <w:lang w:val="en-US"/>
        </w:rPr>
      </w:pPr>
      <w:r>
        <w:rPr>
          <w:sz w:val="22"/>
          <w:lang w:val="en-US"/>
        </w:rPr>
        <w:t>LP</w:t>
      </w:r>
      <w:r>
        <w:rPr>
          <w:sz w:val="22"/>
          <w:lang w:val="en-US"/>
        </w:rPr>
        <w:tab/>
        <w:t>Low Pressure</w:t>
      </w:r>
    </w:p>
    <w:p w:rsidR="007F5FBA" w:rsidRDefault="007F5FBA" w:rsidP="007F5FBA">
      <w:pPr>
        <w:spacing w:after="0" w:line="240" w:lineRule="auto"/>
        <w:jc w:val="both"/>
        <w:rPr>
          <w:sz w:val="22"/>
          <w:lang w:val="en-US"/>
        </w:rPr>
      </w:pPr>
      <w:r>
        <w:rPr>
          <w:sz w:val="22"/>
          <w:lang w:val="en-US"/>
        </w:rPr>
        <w:t>MOV</w:t>
      </w:r>
      <w:r>
        <w:rPr>
          <w:sz w:val="22"/>
          <w:lang w:val="en-US"/>
        </w:rPr>
        <w:tab/>
        <w:t>Motor Operated Valve</w:t>
      </w:r>
    </w:p>
    <w:p w:rsidR="00266F2C" w:rsidRDefault="00266F2C" w:rsidP="009F18B8">
      <w:pPr>
        <w:spacing w:after="0" w:line="240" w:lineRule="auto"/>
        <w:jc w:val="both"/>
        <w:rPr>
          <w:sz w:val="22"/>
          <w:lang w:val="en-US"/>
        </w:rPr>
      </w:pPr>
      <w:r>
        <w:rPr>
          <w:sz w:val="22"/>
          <w:lang w:val="en-US"/>
        </w:rPr>
        <w:t>SBO</w:t>
      </w:r>
      <w:r>
        <w:rPr>
          <w:sz w:val="22"/>
          <w:lang w:val="en-US"/>
        </w:rPr>
        <w:tab/>
        <w:t>Station Blackout</w:t>
      </w:r>
    </w:p>
    <w:p w:rsidR="009F18B8" w:rsidRDefault="009F18B8" w:rsidP="009F18B8">
      <w:pPr>
        <w:spacing w:after="0" w:line="240" w:lineRule="auto"/>
        <w:jc w:val="both"/>
        <w:rPr>
          <w:sz w:val="22"/>
          <w:lang w:val="en-US"/>
        </w:rPr>
      </w:pPr>
      <w:r>
        <w:rPr>
          <w:sz w:val="22"/>
          <w:lang w:val="en-US"/>
        </w:rPr>
        <w:t>SFP</w:t>
      </w:r>
      <w:r>
        <w:rPr>
          <w:sz w:val="22"/>
          <w:lang w:val="en-US"/>
        </w:rPr>
        <w:tab/>
        <w:t>Spent Fuel Pool</w:t>
      </w:r>
    </w:p>
    <w:p w:rsidR="008C1A3C" w:rsidRPr="00DE38D5" w:rsidRDefault="009F18B8" w:rsidP="009F18B8">
      <w:pPr>
        <w:spacing w:after="0" w:line="240" w:lineRule="auto"/>
        <w:jc w:val="both"/>
        <w:rPr>
          <w:sz w:val="22"/>
          <w:lang w:val="en-US"/>
        </w:rPr>
      </w:pPr>
      <w:r>
        <w:rPr>
          <w:sz w:val="22"/>
          <w:lang w:val="en-US"/>
        </w:rPr>
        <w:t>SG</w:t>
      </w:r>
      <w:r>
        <w:rPr>
          <w:sz w:val="22"/>
          <w:lang w:val="en-US"/>
        </w:rPr>
        <w:tab/>
        <w:t>Steam Generator</w:t>
      </w:r>
    </w:p>
    <w:sectPr w:rsidR="008C1A3C" w:rsidRPr="00DE38D5" w:rsidSect="00B81E2B">
      <w:pgSz w:w="16838" w:h="11906" w:orient="landscape"/>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15D0"/>
    <w:multiLevelType w:val="hybridMultilevel"/>
    <w:tmpl w:val="1C066C8C"/>
    <w:lvl w:ilvl="0" w:tplc="0405000F">
      <w:start w:val="1"/>
      <w:numFmt w:val="decimal"/>
      <w:lvlText w:val="%1."/>
      <w:lvlJc w:val="left"/>
      <w:pPr>
        <w:ind w:left="70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84"/>
    <w:rsid w:val="0002614E"/>
    <w:rsid w:val="0003278D"/>
    <w:rsid w:val="00036219"/>
    <w:rsid w:val="000477EC"/>
    <w:rsid w:val="00053D44"/>
    <w:rsid w:val="00056EA8"/>
    <w:rsid w:val="000823CE"/>
    <w:rsid w:val="000B616D"/>
    <w:rsid w:val="000C61E8"/>
    <w:rsid w:val="000D3721"/>
    <w:rsid w:val="000E4256"/>
    <w:rsid w:val="0010045D"/>
    <w:rsid w:val="00104922"/>
    <w:rsid w:val="00105997"/>
    <w:rsid w:val="00113B0D"/>
    <w:rsid w:val="00114B2B"/>
    <w:rsid w:val="00116051"/>
    <w:rsid w:val="00117576"/>
    <w:rsid w:val="001328B2"/>
    <w:rsid w:val="001365F2"/>
    <w:rsid w:val="0015055E"/>
    <w:rsid w:val="00160E7C"/>
    <w:rsid w:val="00162CD3"/>
    <w:rsid w:val="00172922"/>
    <w:rsid w:val="0017306F"/>
    <w:rsid w:val="00174ED4"/>
    <w:rsid w:val="001756A4"/>
    <w:rsid w:val="001C47F0"/>
    <w:rsid w:val="001D25CB"/>
    <w:rsid w:val="001D730F"/>
    <w:rsid w:val="001E2227"/>
    <w:rsid w:val="0021723C"/>
    <w:rsid w:val="002249E0"/>
    <w:rsid w:val="002342F0"/>
    <w:rsid w:val="00242D4D"/>
    <w:rsid w:val="00266F2C"/>
    <w:rsid w:val="00276349"/>
    <w:rsid w:val="00284057"/>
    <w:rsid w:val="002915DD"/>
    <w:rsid w:val="002931C0"/>
    <w:rsid w:val="00293835"/>
    <w:rsid w:val="00294167"/>
    <w:rsid w:val="00294BEF"/>
    <w:rsid w:val="002A090C"/>
    <w:rsid w:val="002A426F"/>
    <w:rsid w:val="002A7812"/>
    <w:rsid w:val="002A7A35"/>
    <w:rsid w:val="002B027E"/>
    <w:rsid w:val="002B699E"/>
    <w:rsid w:val="002E0462"/>
    <w:rsid w:val="003005F9"/>
    <w:rsid w:val="00303CA8"/>
    <w:rsid w:val="00307392"/>
    <w:rsid w:val="0031476F"/>
    <w:rsid w:val="003166B4"/>
    <w:rsid w:val="00316A96"/>
    <w:rsid w:val="00332012"/>
    <w:rsid w:val="0034056A"/>
    <w:rsid w:val="00346443"/>
    <w:rsid w:val="00350A53"/>
    <w:rsid w:val="00366D77"/>
    <w:rsid w:val="00376D8E"/>
    <w:rsid w:val="003A0A82"/>
    <w:rsid w:val="003C6B62"/>
    <w:rsid w:val="003D2C6E"/>
    <w:rsid w:val="003F63D7"/>
    <w:rsid w:val="00426080"/>
    <w:rsid w:val="00426C58"/>
    <w:rsid w:val="00436FB2"/>
    <w:rsid w:val="0045730F"/>
    <w:rsid w:val="00463DDA"/>
    <w:rsid w:val="0046473C"/>
    <w:rsid w:val="0048742D"/>
    <w:rsid w:val="004B79E1"/>
    <w:rsid w:val="004D571E"/>
    <w:rsid w:val="004E5D36"/>
    <w:rsid w:val="004F5494"/>
    <w:rsid w:val="004F6906"/>
    <w:rsid w:val="005135B9"/>
    <w:rsid w:val="00514768"/>
    <w:rsid w:val="0053481F"/>
    <w:rsid w:val="005374EE"/>
    <w:rsid w:val="0054144B"/>
    <w:rsid w:val="0054346E"/>
    <w:rsid w:val="00545F16"/>
    <w:rsid w:val="005658BD"/>
    <w:rsid w:val="005707A3"/>
    <w:rsid w:val="0057667A"/>
    <w:rsid w:val="00582014"/>
    <w:rsid w:val="005843A3"/>
    <w:rsid w:val="00597E4B"/>
    <w:rsid w:val="005A02AF"/>
    <w:rsid w:val="005A1889"/>
    <w:rsid w:val="005B22C8"/>
    <w:rsid w:val="005B7221"/>
    <w:rsid w:val="005B7FE0"/>
    <w:rsid w:val="005C3204"/>
    <w:rsid w:val="005E2C2F"/>
    <w:rsid w:val="005F329A"/>
    <w:rsid w:val="005F7E04"/>
    <w:rsid w:val="0060433E"/>
    <w:rsid w:val="006248A8"/>
    <w:rsid w:val="00627F1A"/>
    <w:rsid w:val="00634127"/>
    <w:rsid w:val="006361FB"/>
    <w:rsid w:val="0064123B"/>
    <w:rsid w:val="00645D06"/>
    <w:rsid w:val="00650CF3"/>
    <w:rsid w:val="00652051"/>
    <w:rsid w:val="00662EE8"/>
    <w:rsid w:val="006653CC"/>
    <w:rsid w:val="00665DEF"/>
    <w:rsid w:val="00692D80"/>
    <w:rsid w:val="006A5684"/>
    <w:rsid w:val="006B06B3"/>
    <w:rsid w:val="006B3F14"/>
    <w:rsid w:val="006B4498"/>
    <w:rsid w:val="006B656C"/>
    <w:rsid w:val="006C71C0"/>
    <w:rsid w:val="006C7E58"/>
    <w:rsid w:val="006D1D85"/>
    <w:rsid w:val="006E436A"/>
    <w:rsid w:val="006F4C0C"/>
    <w:rsid w:val="007003FF"/>
    <w:rsid w:val="00744A50"/>
    <w:rsid w:val="0074557C"/>
    <w:rsid w:val="0075014A"/>
    <w:rsid w:val="00752B69"/>
    <w:rsid w:val="00753195"/>
    <w:rsid w:val="0077062C"/>
    <w:rsid w:val="00772D84"/>
    <w:rsid w:val="007744D8"/>
    <w:rsid w:val="00774690"/>
    <w:rsid w:val="00782276"/>
    <w:rsid w:val="00784A23"/>
    <w:rsid w:val="00797C36"/>
    <w:rsid w:val="007B5AD6"/>
    <w:rsid w:val="007D562A"/>
    <w:rsid w:val="007F10F4"/>
    <w:rsid w:val="007F5FBA"/>
    <w:rsid w:val="00801B7A"/>
    <w:rsid w:val="00833FED"/>
    <w:rsid w:val="00834E0B"/>
    <w:rsid w:val="008556A8"/>
    <w:rsid w:val="008578CD"/>
    <w:rsid w:val="00865A87"/>
    <w:rsid w:val="00876E7A"/>
    <w:rsid w:val="00897F99"/>
    <w:rsid w:val="008A0D2B"/>
    <w:rsid w:val="008A5063"/>
    <w:rsid w:val="008B18BC"/>
    <w:rsid w:val="008C1A3C"/>
    <w:rsid w:val="008C2BCD"/>
    <w:rsid w:val="008C5701"/>
    <w:rsid w:val="008D7337"/>
    <w:rsid w:val="008E4BE0"/>
    <w:rsid w:val="008E5ECF"/>
    <w:rsid w:val="00910DB6"/>
    <w:rsid w:val="00920A0E"/>
    <w:rsid w:val="00953BF0"/>
    <w:rsid w:val="00955930"/>
    <w:rsid w:val="00957599"/>
    <w:rsid w:val="00967BA0"/>
    <w:rsid w:val="009846BA"/>
    <w:rsid w:val="009903CD"/>
    <w:rsid w:val="00990CDA"/>
    <w:rsid w:val="00994D2D"/>
    <w:rsid w:val="009B3D11"/>
    <w:rsid w:val="009B6301"/>
    <w:rsid w:val="009C2803"/>
    <w:rsid w:val="009C6207"/>
    <w:rsid w:val="009D29CF"/>
    <w:rsid w:val="009F18B8"/>
    <w:rsid w:val="009F215F"/>
    <w:rsid w:val="009F24AD"/>
    <w:rsid w:val="009F3C13"/>
    <w:rsid w:val="00A05AB6"/>
    <w:rsid w:val="00A07A00"/>
    <w:rsid w:val="00A102B0"/>
    <w:rsid w:val="00A11501"/>
    <w:rsid w:val="00A17596"/>
    <w:rsid w:val="00A20448"/>
    <w:rsid w:val="00A209CD"/>
    <w:rsid w:val="00A21247"/>
    <w:rsid w:val="00A23ADE"/>
    <w:rsid w:val="00A269DA"/>
    <w:rsid w:val="00A26A9D"/>
    <w:rsid w:val="00A47A5A"/>
    <w:rsid w:val="00A615C3"/>
    <w:rsid w:val="00A84C0D"/>
    <w:rsid w:val="00A90440"/>
    <w:rsid w:val="00AA5929"/>
    <w:rsid w:val="00AB0CD7"/>
    <w:rsid w:val="00AB497E"/>
    <w:rsid w:val="00AB7028"/>
    <w:rsid w:val="00AD4411"/>
    <w:rsid w:val="00AE6FC3"/>
    <w:rsid w:val="00AF10C1"/>
    <w:rsid w:val="00AF293F"/>
    <w:rsid w:val="00AF35EA"/>
    <w:rsid w:val="00AF7347"/>
    <w:rsid w:val="00B023BF"/>
    <w:rsid w:val="00B058F7"/>
    <w:rsid w:val="00B15DEF"/>
    <w:rsid w:val="00B206C6"/>
    <w:rsid w:val="00B33D1F"/>
    <w:rsid w:val="00B60046"/>
    <w:rsid w:val="00B65B61"/>
    <w:rsid w:val="00B67882"/>
    <w:rsid w:val="00B7152D"/>
    <w:rsid w:val="00B73040"/>
    <w:rsid w:val="00B74BC3"/>
    <w:rsid w:val="00B7518A"/>
    <w:rsid w:val="00B81E2B"/>
    <w:rsid w:val="00B84AC5"/>
    <w:rsid w:val="00B874A2"/>
    <w:rsid w:val="00B939C9"/>
    <w:rsid w:val="00BB2636"/>
    <w:rsid w:val="00BD4E58"/>
    <w:rsid w:val="00BE49DE"/>
    <w:rsid w:val="00C102BF"/>
    <w:rsid w:val="00C13F92"/>
    <w:rsid w:val="00C151BC"/>
    <w:rsid w:val="00C17704"/>
    <w:rsid w:val="00C64CBD"/>
    <w:rsid w:val="00C863C3"/>
    <w:rsid w:val="00C94A54"/>
    <w:rsid w:val="00CA2585"/>
    <w:rsid w:val="00CA30EA"/>
    <w:rsid w:val="00CA34EB"/>
    <w:rsid w:val="00CC32A3"/>
    <w:rsid w:val="00CD164C"/>
    <w:rsid w:val="00CF2242"/>
    <w:rsid w:val="00CF2DB0"/>
    <w:rsid w:val="00D11364"/>
    <w:rsid w:val="00D31306"/>
    <w:rsid w:val="00D5567A"/>
    <w:rsid w:val="00D61B32"/>
    <w:rsid w:val="00D66896"/>
    <w:rsid w:val="00D760D2"/>
    <w:rsid w:val="00D762FA"/>
    <w:rsid w:val="00D77E19"/>
    <w:rsid w:val="00D91371"/>
    <w:rsid w:val="00DA669B"/>
    <w:rsid w:val="00DB0508"/>
    <w:rsid w:val="00DE05A3"/>
    <w:rsid w:val="00DE38D5"/>
    <w:rsid w:val="00DE58B5"/>
    <w:rsid w:val="00E00CF7"/>
    <w:rsid w:val="00E3778D"/>
    <w:rsid w:val="00E41A91"/>
    <w:rsid w:val="00E42B1B"/>
    <w:rsid w:val="00E62D33"/>
    <w:rsid w:val="00E63622"/>
    <w:rsid w:val="00E81976"/>
    <w:rsid w:val="00E95833"/>
    <w:rsid w:val="00EA35B4"/>
    <w:rsid w:val="00EB6833"/>
    <w:rsid w:val="00EC6550"/>
    <w:rsid w:val="00ED1243"/>
    <w:rsid w:val="00ED6E47"/>
    <w:rsid w:val="00EE47F4"/>
    <w:rsid w:val="00EE5279"/>
    <w:rsid w:val="00EE7879"/>
    <w:rsid w:val="00EF0E95"/>
    <w:rsid w:val="00EF2863"/>
    <w:rsid w:val="00EF3198"/>
    <w:rsid w:val="00F07F76"/>
    <w:rsid w:val="00F11A45"/>
    <w:rsid w:val="00F32E28"/>
    <w:rsid w:val="00F36638"/>
    <w:rsid w:val="00F374ED"/>
    <w:rsid w:val="00F50CF1"/>
    <w:rsid w:val="00F57854"/>
    <w:rsid w:val="00F749F1"/>
    <w:rsid w:val="00F74C38"/>
    <w:rsid w:val="00F76DBD"/>
    <w:rsid w:val="00F811BA"/>
    <w:rsid w:val="00F86F30"/>
    <w:rsid w:val="00F95F91"/>
    <w:rsid w:val="00F96307"/>
    <w:rsid w:val="00F976A3"/>
    <w:rsid w:val="00FA0301"/>
    <w:rsid w:val="00FA5AB6"/>
    <w:rsid w:val="00FB75AC"/>
    <w:rsid w:val="00FC06DD"/>
    <w:rsid w:val="00FC25D1"/>
    <w:rsid w:val="00FF27B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4.docx"/><Relationship Id="rId3" Type="http://schemas.microsoft.com/office/2007/relationships/stylesWithEffects" Target="stylesWithEffects.xml"/><Relationship Id="rId7" Type="http://schemas.openxmlformats.org/officeDocument/2006/relationships/package" Target="embeddings/Microsoft_Word_Document1.docx"/><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Word_Document2.docx"/><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8709</Characters>
  <Application>Microsoft Office Word</Application>
  <DocSecurity>0</DocSecurity>
  <Lines>72</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UJV Rez a.s.</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Husťák</dc:creator>
  <cp:lastModifiedBy>Raji Mohammad Hosein</cp:lastModifiedBy>
  <cp:revision>2</cp:revision>
  <cp:lastPrinted>2019-03-01T13:15:00Z</cp:lastPrinted>
  <dcterms:created xsi:type="dcterms:W3CDTF">2019-04-28T13:22:00Z</dcterms:created>
  <dcterms:modified xsi:type="dcterms:W3CDTF">2019-04-28T13:22:00Z</dcterms:modified>
</cp:coreProperties>
</file>